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72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 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 Securities Exchange Act of 1934</w:t>
      </w:r>
    </w:p>
    <w:p>
      <w:pPr>
        <w:pStyle w:val="TextBody"/>
        <w:bidi w:val="0"/>
        <w:spacing w:lineRule="auto" w:line="288" w:before="240" w:after="283"/>
        <w:jc w:val="center"/>
        <w:rPr/>
      </w:pPr>
      <w:r>
        <w:rPr>
          <w:rFonts w:ascii="Times New Roman;serif" w:hAnsi="Times New Roman;serif"/>
          <w:b w:val="false"/>
          <w:color w:val="000000"/>
          <w:sz w:val="20"/>
          <w:shd w:fill="FFFFFF" w:val="clear"/>
        </w:rPr>
        <w:t xml:space="preserve">Date of Report (Date of earliest event reported): </w:t>
      </w:r>
      <w:r>
        <w:rPr>
          <w:rFonts w:ascii="Times New Roman;serif" w:hAnsi="Times New Roman;serif"/>
          <w:b w:val="false"/>
          <w:color w:val="000000"/>
          <w:sz w:val="20"/>
        </w:rPr>
        <w:t>June 10, 2026</w:t>
      </w:r>
    </w:p>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ACM Research, Inc.</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(Exact Name of Registrant as Specified in its Charter)</w:t>
      </w:r>
    </w:p>
    <w:tbl>
      <w:tblPr>
        <w:tblW w:w="8999" w:type="dxa"/>
        <w:jc w:val="left"/>
        <w:tblInd w:w="0" w:type="dxa"/>
        <w:tblLayout w:type="fixed"/>
        <w:tblCellMar>
          <w:top w:w="28" w:type="dxa"/>
          <w:left w:w="28" w:type="dxa"/>
          <w:bottom w:w="28" w:type="dxa"/>
          <w:right w:w="28" w:type="dxa"/>
        </w:tblCellMar>
      </w:tblPr>
      <w:tblGrid>
        <w:gridCol w:w="1387"/>
        <w:gridCol w:w="1219"/>
        <w:gridCol w:w="1234"/>
        <w:gridCol w:w="757"/>
        <w:gridCol w:w="757"/>
        <w:gridCol w:w="765"/>
        <w:gridCol w:w="842"/>
        <w:gridCol w:w="842"/>
        <w:gridCol w:w="1196"/>
      </w:tblGrid>
      <w:tr>
        <w:trPr/>
        <w:tc>
          <w:tcPr>
            <w:tcW w:w="138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001-38273</w:t>
            </w:r>
          </w:p>
        </w:tc>
        <w:tc>
          <w:tcPr>
            <w:tcW w:w="28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94-3290283</w:t>
            </w:r>
          </w:p>
        </w:tc>
      </w:tr>
      <w:tr>
        <w:trPr/>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w:t>
            </w:r>
          </w:p>
        </w:tc>
        <w:tc>
          <w:tcPr>
            <w:tcW w:w="22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(Commission File Number)</w:t>
            </w:r>
          </w:p>
        </w:tc>
        <w:tc>
          <w:tcPr>
            <w:tcW w:w="28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bl>
    <w:tbl>
      <w:tblPr>
        <w:tblW w:w="4394" w:type="dxa"/>
        <w:jc w:val="left"/>
        <w:tblInd w:w="0" w:type="dxa"/>
        <w:tblLayout w:type="fixed"/>
        <w:tblCellMar>
          <w:top w:w="28" w:type="dxa"/>
          <w:left w:w="28" w:type="dxa"/>
          <w:bottom w:w="28" w:type="dxa"/>
          <w:right w:w="28" w:type="dxa"/>
        </w:tblCellMar>
      </w:tblPr>
      <w:tblGrid>
        <w:gridCol w:w="1221"/>
        <w:gridCol w:w="1074"/>
        <w:gridCol w:w="1079"/>
        <w:gridCol w:w="299"/>
        <w:gridCol w:w="299"/>
        <w:gridCol w:w="422"/>
      </w:tblGrid>
      <w:tr>
        <w:trPr/>
        <w:tc>
          <w:tcPr>
            <w:tcW w:w="1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42307 Osgood Road, Suite I</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Fremont, California</w:t>
            </w:r>
          </w:p>
        </w:tc>
        <w:tc>
          <w:tcPr>
            <w:tcW w:w="102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94539</w:t>
            </w:r>
          </w:p>
        </w:tc>
      </w:tr>
      <w:tr>
        <w:trPr/>
        <w:tc>
          <w:tcPr>
            <w:tcW w:w="33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tc>
        <w:tc>
          <w:tcPr>
            <w:tcW w:w="10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bl>
    <w:p>
      <w:pPr>
        <w:pStyle w:val="TextBody"/>
        <w:bidi w:val="0"/>
        <w:spacing w:lineRule="auto" w:line="288" w:before="240" w:after="283"/>
        <w:jc w:val="center"/>
        <w:rPr/>
      </w:pPr>
      <w:r>
        <w:rPr>
          <w:rFonts w:ascii="Times New Roman;serif" w:hAnsi="Times New Roman;serif"/>
          <w:b w:val="false"/>
          <w:color w:val="000000"/>
          <w:sz w:val="20"/>
          <w:shd w:fill="FFFFFF" w:val="clear"/>
        </w:rPr>
        <w:t xml:space="preserve">Registrant’s telephone number, including area code: </w:t>
      </w:r>
      <w:r>
        <w:rPr>
          <w:rFonts w:ascii="Times New Roman;serif" w:hAnsi="Times New Roman;serif"/>
          <w:b/>
          <w:color w:val="000000"/>
          <w:sz w:val="20"/>
          <w:shd w:fill="FFFFFF" w:val="clear"/>
        </w:rPr>
        <w:t>(510) 445-3700</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60"/>
        <w:gridCol w:w="1367"/>
        <w:gridCol w:w="1382"/>
        <w:gridCol w:w="109"/>
        <w:gridCol w:w="109"/>
        <w:gridCol w:w="109"/>
        <w:gridCol w:w="485"/>
        <w:gridCol w:w="485"/>
        <w:gridCol w:w="487"/>
        <w:gridCol w:w="109"/>
        <w:gridCol w:w="109"/>
        <w:gridCol w:w="109"/>
        <w:gridCol w:w="1105"/>
        <w:gridCol w:w="1105"/>
        <w:gridCol w:w="1575"/>
      </w:tblGrid>
      <w:tr>
        <w:trPr/>
        <w:tc>
          <w:tcPr>
            <w:tcW w:w="156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3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ACMR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Indicate by check mark whether the registrant is an emerging growth company as defined in Rule 405 of the Securities Act of 1933 or Rule 12b-2 of the Securities Exchange Act of 1934:Emerging growth company </w:t>
      </w:r>
      <w:r>
        <w:rPr>
          <w:rFonts w:ascii="Wingdings;sans-serif" w:hAnsi="Wingdings;sans-serif"/>
          <w:b w:val="false"/>
          <w:color w:val="000000"/>
          <w:sz w:val="20"/>
          <w:shd w:fill="FFFFFF" w:val="clear"/>
        </w:rPr>
        <w:t>o</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held our 2026 Annual Meeting of Stockholders on June 10, 2026. The board of directors solicited proxies pursuant to a proxy statement that we filed with the Securities and Exchange Commission under Section 14(a) of the Securities Exchange Act of 1934 on April 27, 2026. There was no solicitation in opposition to the board’s solicitation.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 the meeting, holders of Class A and Class B common stock were asked to consider and vote upon the two proposals set forth below. Each share of Class A common stock was entitled to one vote with respect to each matter submitted to a vote at the meeting, and each share of Class B common stock was entitled to twenty votes with respect to each matter submitted to a vote at the meeting. Shares of Class A and Class B common stock representing 135,814,497 votes, or 84.32% of the total votes attributable to all outstanding shares of Class A and Class B common stock, were present in person or by proxy at the meeting.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voting results reported below are final.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matters considered and voted on by the stockholders at the meeting and the votes of the stockholders were as follows: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Proposal 1. Stockholders voted as follows with respect to the election of each of the nominees for director identified in the proxy statement:</w:t>
      </w:r>
    </w:p>
    <w:p>
      <w:pPr>
        <w:pStyle w:val="TextBody"/>
        <w:bidi w:val="0"/>
        <w:spacing w:before="0" w:after="0"/>
        <w:jc w:val="both"/>
        <w:rPr/>
      </w:pPr>
      <w:r>
        <w:rPr/>
      </w:r>
    </w:p>
    <w:tbl>
      <w:tblPr>
        <w:tblW w:w="5222" w:type="dxa"/>
        <w:jc w:val="left"/>
        <w:tblInd w:w="0" w:type="dxa"/>
        <w:tblLayout w:type="fixed"/>
        <w:tblCellMar>
          <w:top w:w="28" w:type="dxa"/>
          <w:left w:w="28" w:type="dxa"/>
          <w:bottom w:w="28" w:type="dxa"/>
          <w:right w:w="28" w:type="dxa"/>
        </w:tblCellMar>
      </w:tblPr>
      <w:tblGrid>
        <w:gridCol w:w="494"/>
        <w:gridCol w:w="434"/>
        <w:gridCol w:w="437"/>
        <w:gridCol w:w="379"/>
        <w:gridCol w:w="379"/>
        <w:gridCol w:w="383"/>
        <w:gridCol w:w="343"/>
        <w:gridCol w:w="343"/>
        <w:gridCol w:w="350"/>
        <w:gridCol w:w="492"/>
        <w:gridCol w:w="492"/>
        <w:gridCol w:w="696"/>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Nominee</w:t>
            </w:r>
          </w:p>
        </w:tc>
        <w:tc>
          <w:tcPr>
            <w:tcW w:w="114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For</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Withhold</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David H. Wang</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122,956,333</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6,072,472</w:t>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6,785,692</w:t>
            </w:r>
          </w:p>
        </w:tc>
      </w:tr>
      <w:tr>
        <w:trPr/>
        <w:tc>
          <w:tcPr>
            <w:tcW w:w="136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Haiping Dun</w:t>
            </w:r>
          </w:p>
        </w:tc>
        <w:tc>
          <w:tcPr>
            <w:tcW w:w="114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125,995,407</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3,033,398</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6,785,692</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Tracy Liu</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121,026,446</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8,002,359</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6,785,692</w:t>
            </w:r>
          </w:p>
        </w:tc>
      </w:tr>
      <w:tr>
        <w:trPr/>
        <w:tc>
          <w:tcPr>
            <w:tcW w:w="136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Charles Pappis</w:t>
            </w:r>
          </w:p>
        </w:tc>
        <w:tc>
          <w:tcPr>
            <w:tcW w:w="114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117,316,569</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11,712,236</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6,785,692</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this vote, each of the four nominees was elected as a director to serve until the 2027 Annual Meeting of Stockholders and until his or her successor is duly elected and qualified.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Proposal 2. Stockholders ratified the appointment of Ernst &amp; Young Hua Ming LLP as our independent auditor for the fiscal year ending December 31, 2026 by the following vote:</w:t>
      </w:r>
    </w:p>
    <w:p>
      <w:pPr>
        <w:pStyle w:val="TextBody"/>
        <w:bidi w:val="0"/>
        <w:spacing w:before="0" w:after="0"/>
        <w:jc w:val="both"/>
        <w:rPr/>
      </w:pPr>
      <w:r>
        <w:rPr/>
      </w:r>
    </w:p>
    <w:tbl>
      <w:tblPr>
        <w:tblW w:w="8583" w:type="dxa"/>
        <w:jc w:val="left"/>
        <w:tblInd w:w="0" w:type="dxa"/>
        <w:tblLayout w:type="fixed"/>
        <w:tblCellMar>
          <w:top w:w="28" w:type="dxa"/>
          <w:left w:w="28" w:type="dxa"/>
          <w:bottom w:w="28" w:type="dxa"/>
          <w:right w:w="28" w:type="dxa"/>
        </w:tblCellMar>
      </w:tblPr>
      <w:tblGrid>
        <w:gridCol w:w="2135"/>
        <w:gridCol w:w="1875"/>
        <w:gridCol w:w="1885"/>
        <w:gridCol w:w="379"/>
        <w:gridCol w:w="379"/>
        <w:gridCol w:w="383"/>
        <w:gridCol w:w="250"/>
        <w:gridCol w:w="250"/>
        <w:gridCol w:w="251"/>
        <w:gridCol w:w="233"/>
        <w:gridCol w:w="233"/>
        <w:gridCol w:w="330"/>
      </w:tblGrid>
      <w:tr>
        <w:trPr/>
        <w:tc>
          <w:tcPr>
            <w:tcW w:w="213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For</w:t>
            </w:r>
          </w:p>
        </w:tc>
        <w:tc>
          <w:tcPr>
            <w:tcW w:w="75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Against</w:t>
            </w:r>
          </w:p>
        </w:tc>
        <w:tc>
          <w:tcPr>
            <w:tcW w:w="79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Abstain</w:t>
            </w:r>
          </w:p>
        </w:tc>
      </w:tr>
      <w:tr>
        <w:trPr/>
        <w:tc>
          <w:tcPr>
            <w:tcW w:w="5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Ratification of Appointment of Ernst &amp; Young Hua Ming LLP for 2026</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135,717,653</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40,635</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56,209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40" w:before="0" w:after="480"/>
        <w:jc w:val="left"/>
        <w:rPr>
          <w:rFonts w:ascii="Times New Roman;serif" w:hAnsi="Times New Roman;serif"/>
          <w:b w:val="false"/>
          <w:color w:val="000000"/>
          <w:sz w:val="20"/>
        </w:rPr>
      </w:pPr>
      <w:r>
        <w:rPr>
          <w:rFonts w:ascii="Times New Roman;serif" w:hAnsi="Times New Roman;serif"/>
          <w:b w:val="false"/>
          <w:color w:val="000000"/>
          <w:sz w:val="20"/>
        </w:rPr>
        <w:t>ACM RESEARCH, INC.</w:t>
      </w:r>
    </w:p>
    <w:p>
      <w:pPr>
        <w:pStyle w:val="TextBody"/>
        <w:bidi w:val="0"/>
        <w:spacing w:lineRule="auto" w:line="240" w:before="0" w:after="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Mark McKechnie</w:t>
      </w:r>
      <w:r>
        <w:rPr>
          <w:rFonts w:ascii="Times New Roman;serif" w:hAnsi="Times New Roman;serif"/>
          <w:b w:val="false"/>
          <w:color w:val="000000"/>
          <w:sz w:val="20"/>
        </w:rPr>
        <w:t>________________________</w:t>
      </w:r>
    </w:p>
    <w:p>
      <w:pPr>
        <w:pStyle w:val="TextBody"/>
        <w:bidi w:val="0"/>
        <w:spacing w:lineRule="auto" w:line="240" w:before="0" w:after="0"/>
        <w:jc w:val="left"/>
        <w:rPr>
          <w:color w:val="000000"/>
        </w:rPr>
      </w:pPr>
      <w:r>
        <w:rPr>
          <w:color w:val="000000"/>
        </w:rPr>
        <w:t>    </w:t>
      </w:r>
      <w:r>
        <w:rPr>
          <w:rFonts w:ascii="Times New Roman;serif" w:hAnsi="Times New Roman;serif"/>
          <w:b w:val="false"/>
          <w:color w:val="000000"/>
          <w:sz w:val="20"/>
        </w:rPr>
        <w:t>Mark McKechnie</w:t>
      </w:r>
    </w:p>
    <w:p>
      <w:pPr>
        <w:pStyle w:val="TextBody"/>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Dated: June 12,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3549</Characters>
  <CharactersWithSpaces>4152</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