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Feng Lisa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ACM RESEARCH,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42307 OSGOOD ROAD, SUITE I</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FREMONT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ACM Research, Inc.</w:t>
              </w:r>
            </w:hyperlink>
            <w:r>
              <w:rPr/>
              <w:t xml:space="preserve"> [ </w:t>
            </w:r>
            <w:r>
              <w:rPr>
                <w:rFonts w:ascii="Times;serif" w:hAnsi="Times;serif"/>
                <w:color w:val="0000FF"/>
                <w:sz w:val="24"/>
                <w:shd w:fill="FFFFFF" w:val="clear"/>
              </w:rPr>
              <w:t>ACMR</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13.24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08/09/2033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will vest and become exercisable as to 25,000 shares on August 10, 2024 and the remaining 75,000 shares will vest and become exercisable in equal monthly installments over the following 36 months, subject to continued service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Financial Officer of ACM Research (Shanghai), Inc., a subsidiary of the Issuer</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McKechnie, Attorney-in-Fact for Lisa Feng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08/14/2023</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79777" TargetMode="External"/><Relationship Id="rId4" Type="http://schemas.openxmlformats.org/officeDocument/2006/relationships/hyperlink" Target="http://www.sec.gov/cgi-bin/browse-edgar?action=getcompany&amp;CIK=000168006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3397</Characters>
  <CharactersWithSpaces>3956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