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Xiang Yinan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ACM Research,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13"/>
                <w:szCs w:val="13"/>
                <w:color w:val="auto"/>
              </w:rPr>
            </w:pPr>
          </w:p>
        </w:tc>
        <w:tc>
          <w:tcPr>
            <w:tcW w:w="1540" w:type="dxa"/>
            <w:vAlign w:val="bottom"/>
            <w:gridSpan w:val="6"/>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40" w:type="dxa"/>
            <w:vAlign w:val="bottom"/>
            <w:gridSpan w:val="6"/>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12/18/2020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42307 OSGOOD ROAD, SUITE I</w:t>
            </w: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12/18/2020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82,454</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75.3</w:t>
            </w:r>
            <w:r>
              <w:rPr>
                <w:rFonts w:ascii="Arial" w:cs="Arial" w:eastAsia="Arial" w:hAnsi="Arial"/>
                <w:sz w:val="22"/>
                <w:szCs w:val="22"/>
                <w:color w:val="008000"/>
                <w:w w:val="89"/>
                <w:vertAlign w:val="superscript"/>
              </w:rPr>
              <w:t>(2)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1,549,681</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12/18/2020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1,699</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76.1</w:t>
            </w:r>
            <w:r>
              <w:rPr>
                <w:rFonts w:ascii="Arial" w:cs="Arial" w:eastAsia="Arial" w:hAnsi="Arial"/>
                <w:sz w:val="22"/>
                <w:szCs w:val="22"/>
                <w:color w:val="008000"/>
                <w:w w:val="89"/>
                <w:vertAlign w:val="superscript"/>
              </w:rPr>
              <w:t>(4)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1,547,982</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12/21/2020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26,892</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75.08</w:t>
            </w:r>
            <w:r>
              <w:rPr>
                <w:rFonts w:ascii="Arial" w:cs="Arial" w:eastAsia="Arial" w:hAnsi="Arial"/>
                <w:sz w:val="22"/>
                <w:szCs w:val="22"/>
                <w:color w:val="008000"/>
                <w:w w:val="88"/>
                <w:vertAlign w:val="superscript"/>
              </w:rPr>
              <w:t>(5)</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1,521,090</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12/22/2020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14,920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540" w:type="dxa"/>
            <w:vAlign w:val="bottom"/>
            <w:gridSpan w:val="2"/>
            <w:vMerge w:val="restart"/>
          </w:tcPr>
          <w:p>
            <w:pPr>
              <w:jc w:val="center"/>
              <w:ind w:left="4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1,506,170</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7"/>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-4075430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Shanghai Science and Technology Venture Capital Co., Ltd.</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$75.00 to $75.91,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and 5 of this Form 4.</w:t>
      </w:r>
    </w:p>
    <w:p>
      <w:pPr>
        <w:spacing w:after="0" w:line="25" w:lineRule="exact"/>
        <w:rPr>
          <w:rFonts w:ascii="Arial" w:cs="Arial" w:eastAsia="Arial" w:hAnsi="Arial"/>
          <w:sz w:val="13"/>
          <w:szCs w:val="13"/>
          <w:color w:val="008000"/>
        </w:rPr>
      </w:pPr>
    </w:p>
    <w:p>
      <w:pPr>
        <w:ind w:left="40" w:right="3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owned by Shanghai Science and Technology Venture Capital Co., Ltd., which exercised a contractual right in designating the reporting person to the board of directors of the Issuer. The reporting person disclaims beneficial ownership of the shares owned by Shanghai Science and Technology Venture Capital Co., Ltd. except to the extent of her pecuniary interest therein, and this report shall not be deemed an admission that such reporting person is the beneficial owner of such securities for purposes of Section 16 or otherwise.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$76.00 to $76.13,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$75.00 to $75.50, inclusive.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Yinan</w:t>
      </w:r>
      <w:r>
        <w:rPr>
          <w:sz w:val="20"/>
          <w:szCs w:val="20"/>
          <w:color w:val="auto"/>
        </w:rPr>
        <w:tab/>
      </w:r>
      <w:r>
        <w:rPr>
          <w:rFonts w:ascii="Arial" w:cs="Arial" w:eastAsia="Arial" w:hAnsi="Arial"/>
          <w:sz w:val="15"/>
          <w:szCs w:val="15"/>
          <w:color w:val="0000FF"/>
        </w:rPr>
        <w:t>12/22/2020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3"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2020-12-22T16:32:31Z</dcterms:created>
  <dcterms:modified xsi:type="dcterms:W3CDTF">2020-12-22T16:32:31Z</dcterms:modified>
</cp:coreProperties>
</file>