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207010</wp:posOffset>
            </wp:positionH>
            <wp:positionV relativeFrom="page">
              <wp:posOffset>156210</wp:posOffset>
            </wp:positionV>
            <wp:extent cx="7134860"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336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274320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8, 2024</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ACM Research,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510" w:right="339" w:bottom="1440" w:gutter="0" w:footer="0" w:header="0"/>
        </w:sectPr>
      </w:pPr>
    </w:p>
    <w:p>
      <w:pPr>
        <w:spacing w:after="0" w:line="196"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7"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8"/>
          <w:szCs w:val="18"/>
          <w:i w:val="1"/>
          <w:iCs w:val="1"/>
          <w:color w:val="auto"/>
        </w:rPr>
        <w:t>(State or Other</w:t>
      </w:r>
    </w:p>
    <w:p>
      <w:pPr>
        <w:spacing w:after="0" w:line="5"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i w:val="1"/>
          <w:iCs w:val="1"/>
          <w:color w:val="auto"/>
        </w:rPr>
        <w:t>Jurisdiction of Incorporation)</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8"/>
          <w:szCs w:val="18"/>
          <w:b w:val="1"/>
          <w:bCs w:val="1"/>
          <w:color w:val="auto"/>
        </w:rPr>
        <w:t>001-38273</w:t>
      </w:r>
    </w:p>
    <w:p>
      <w:pPr>
        <w:spacing w:after="0" w:line="27"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8"/>
          <w:szCs w:val="18"/>
          <w:i w:val="1"/>
          <w:iCs w:val="1"/>
          <w:color w:val="auto"/>
        </w:rPr>
        <w:t>(Commission</w:t>
      </w:r>
    </w:p>
    <w:p>
      <w:pPr>
        <w:spacing w:after="0" w:line="5"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7"/>
          <w:szCs w:val="17"/>
          <w:i w:val="1"/>
          <w:iCs w:val="1"/>
          <w:color w:val="auto"/>
        </w:rPr>
        <w:t>File Number)</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94-3290283</w:t>
      </w:r>
    </w:p>
    <w:p>
      <w:pPr>
        <w:spacing w:after="0" w:line="27"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i w:val="1"/>
          <w:iCs w:val="1"/>
          <w:color w:val="auto"/>
        </w:rPr>
        <w:t>(IRS Employer</w:t>
      </w:r>
    </w:p>
    <w:p>
      <w:pPr>
        <w:spacing w:after="0" w:line="5"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7"/>
          <w:szCs w:val="17"/>
          <w:i w:val="1"/>
          <w:iCs w:val="1"/>
          <w:color w:val="auto"/>
        </w:rPr>
        <w:t>Identification No.)</w:t>
      </w:r>
    </w:p>
    <w:p>
      <w:pPr>
        <w:spacing w:after="0" w:line="200" w:lineRule="exact"/>
        <w:rPr>
          <w:sz w:val="24"/>
          <w:szCs w:val="24"/>
          <w:color w:val="auto"/>
        </w:rPr>
      </w:pPr>
    </w:p>
    <w:p>
      <w:pPr>
        <w:sectPr>
          <w:pgSz w:w="11900" w:h="16838" w:orient="portrait"/>
          <w:cols w:equalWidth="0" w:num="3">
            <w:col w:w="4400" w:space="720"/>
            <w:col w:w="2880" w:space="720"/>
            <w:col w:w="2520"/>
          </w:cols>
          <w:pgMar w:left="320" w:top="510" w:right="339" w:bottom="1440" w:gutter="0" w:footer="0" w:header="0"/>
          <w:type w:val="continuous"/>
        </w:sectPr>
      </w:pPr>
    </w:p>
    <w:p>
      <w:pPr>
        <w:spacing w:after="0" w:line="8"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42307 Osgood Road, Suite I</w:t>
      </w:r>
    </w:p>
    <w:p>
      <w:pPr>
        <w:spacing w:after="0" w:line="27"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Fremont, California</w:t>
      </w:r>
    </w:p>
    <w:p>
      <w:pPr>
        <w:spacing w:after="0" w:line="5"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94539</w:t>
      </w:r>
    </w:p>
    <w:p>
      <w:pPr>
        <w:spacing w:after="0" w:line="27"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10" w:right="339" w:bottom="1440" w:gutter="0" w:footer="0" w:header="0"/>
          <w:type w:val="continuous"/>
        </w:sectPr>
      </w:pP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445-3700</w:t>
      </w:r>
    </w:p>
    <w:p>
      <w:pPr>
        <w:spacing w:after="0" w:line="220" w:lineRule="exact"/>
        <w:rPr>
          <w:sz w:val="24"/>
          <w:szCs w:val="24"/>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4" w:lineRule="exact"/>
        <w:rPr>
          <w:sz w:val="24"/>
          <w:szCs w:val="24"/>
          <w:color w:val="auto"/>
        </w:rPr>
      </w:pPr>
    </w:p>
    <w:p>
      <w:pPr>
        <w:ind w:left="320" w:hanging="314"/>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17" w:lineRule="exact"/>
        <w:rPr>
          <w:rFonts w:ascii="MS PGothic" w:cs="MS PGothic" w:eastAsia="MS PGothic" w:hAnsi="MS PGothic"/>
          <w:sz w:val="18"/>
          <w:szCs w:val="18"/>
          <w:color w:val="auto"/>
        </w:rPr>
      </w:pPr>
    </w:p>
    <w:p>
      <w:pPr>
        <w:ind w:left="320" w:hanging="314"/>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17" w:lineRule="exact"/>
        <w:rPr>
          <w:rFonts w:ascii="MS PGothic" w:cs="MS PGothic" w:eastAsia="MS PGothic" w:hAnsi="MS PGothic"/>
          <w:sz w:val="18"/>
          <w:szCs w:val="18"/>
          <w:color w:val="auto"/>
        </w:rPr>
      </w:pPr>
    </w:p>
    <w:p>
      <w:pPr>
        <w:ind w:left="320" w:hanging="314"/>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7" w:lineRule="exact"/>
        <w:rPr>
          <w:rFonts w:ascii="MS PGothic" w:cs="MS PGothic" w:eastAsia="MS PGothic" w:hAnsi="MS PGothic"/>
          <w:sz w:val="18"/>
          <w:szCs w:val="18"/>
          <w:color w:val="auto"/>
        </w:rPr>
      </w:pPr>
    </w:p>
    <w:p>
      <w:pPr>
        <w:ind w:right="3020" w:firstLine="6"/>
        <w:spacing w:after="0" w:line="491" w:lineRule="auto"/>
        <w:tabs>
          <w:tab w:leader="none" w:pos="31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39"/>
        </w:trPr>
        <w:tc>
          <w:tcPr>
            <w:tcW w:w="56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94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6"/>
              </w:rPr>
              <w:t>Trading symbol</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Name of each exchange on which registered</w:t>
            </w:r>
          </w:p>
        </w:tc>
      </w:tr>
      <w:tr>
        <w:trPr>
          <w:trHeight w:val="232"/>
        </w:trPr>
        <w:tc>
          <w:tcPr>
            <w:tcW w:w="5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440" w:type="dxa"/>
            <w:vAlign w:val="bottom"/>
          </w:tcPr>
          <w:p>
            <w:pPr>
              <w:spacing w:after="0"/>
              <w:rPr>
                <w:sz w:val="20"/>
                <w:szCs w:val="20"/>
                <w:color w:val="auto"/>
              </w:rPr>
            </w:pPr>
          </w:p>
        </w:tc>
        <w:tc>
          <w:tcPr>
            <w:tcW w:w="1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ACMR</w:t>
            </w:r>
          </w:p>
        </w:tc>
        <w:tc>
          <w:tcPr>
            <w:tcW w:w="540" w:type="dxa"/>
            <w:vAlign w:val="bottom"/>
          </w:tcPr>
          <w:p>
            <w:pPr>
              <w:spacing w:after="0"/>
              <w:rPr>
                <w:sz w:val="20"/>
                <w:szCs w:val="20"/>
                <w:color w:val="auto"/>
              </w:rPr>
            </w:pPr>
          </w:p>
        </w:tc>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The Nasdaq Stock Market LLC</w:t>
            </w:r>
          </w:p>
        </w:tc>
      </w:tr>
    </w:tbl>
    <w:p>
      <w:pPr>
        <w:spacing w:after="0" w:line="17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Exchange Act of 1934:</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16"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168910</wp:posOffset>
            </wp:positionV>
            <wp:extent cx="7134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260985</wp:posOffset>
            </wp:positionV>
            <wp:extent cx="7134860" cy="33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336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412750</wp:posOffset>
            </wp:positionV>
            <wp:extent cx="71348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May 8, 2024, we issued a press release announcing financial results for the first quarter of 2024. The full text of the press release is furnished as Exhibit 99.1 hereto and is incorporated herein by reference</w:t>
      </w:r>
      <w:r>
        <w:rPr>
          <w:rFonts w:ascii="Times New Roman" w:cs="Times New Roman" w:eastAsia="Times New Roman" w:hAnsi="Times New Roman"/>
          <w:sz w:val="18"/>
          <w:szCs w:val="18"/>
          <w:i w:val="1"/>
          <w:iCs w:val="1"/>
          <w:color w:val="auto"/>
        </w:rPr>
        <w:t>.</w:t>
      </w:r>
    </w:p>
    <w:p>
      <w:pPr>
        <w:spacing w:after="0" w:line="16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information contained in this Item 2.02, including the exhibit furnished hereto, is intended to be furnished and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except as expressly set forth by specific reference in such filing.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18" w:lineRule="exact"/>
        <w:rPr>
          <w:sz w:val="20"/>
          <w:szCs w:val="20"/>
          <w:color w:val="auto"/>
        </w:rPr>
      </w:pPr>
    </w:p>
    <w:p>
      <w:pPr>
        <w:ind w:left="660" w:hanging="654"/>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18" w:lineRule="exact"/>
        <w:rPr>
          <w:sz w:val="20"/>
          <w:szCs w:val="20"/>
          <w:color w:val="auto"/>
        </w:rPr>
      </w:pPr>
    </w:p>
    <w:p>
      <w:pPr>
        <w:ind w:left="160"/>
        <w:spacing w:after="0"/>
        <w:tabs>
          <w:tab w:leader="none" w:pos="570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348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14" w:lineRule="exact"/>
        <w:rPr>
          <w:sz w:val="20"/>
          <w:szCs w:val="20"/>
          <w:color w:val="auto"/>
        </w:rPr>
      </w:pPr>
    </w:p>
    <w:p>
      <w:pPr>
        <w:ind w:left="280"/>
        <w:spacing w:after="0"/>
        <w:tabs>
          <w:tab w:leader="none" w:pos="106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color w:val="auto"/>
        </w:rPr>
        <w:t>Press Release of ACM Research, Inc. dated May 8, 2024</w:t>
      </w:r>
    </w:p>
    <w:p>
      <w:pPr>
        <w:spacing w:after="0" w:line="25" w:lineRule="exact"/>
        <w:rPr>
          <w:sz w:val="20"/>
          <w:szCs w:val="20"/>
          <w:color w:val="auto"/>
        </w:rPr>
      </w:pPr>
    </w:p>
    <w:p>
      <w:pPr>
        <w:ind w:left="300"/>
        <w:spacing w:after="0"/>
        <w:tabs>
          <w:tab w:leader="none" w:pos="10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XBRL document)</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38735</wp:posOffset>
            </wp:positionV>
            <wp:extent cx="71348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ACM RESEARCH, INC.</w:t>
      </w:r>
    </w:p>
    <w:p>
      <w:pPr>
        <w:spacing w:after="0" w:line="2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23495</wp:posOffset>
            </wp:positionV>
            <wp:extent cx="33528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2800" cy="17145"/>
                    </a:xfrm>
                    <a:prstGeom prst="rect">
                      <a:avLst/>
                    </a:prstGeom>
                    <a:noFill/>
                  </pic:spPr>
                </pic:pic>
              </a:graphicData>
            </a:graphic>
          </wp:anchor>
        </w:drawing>
      </w:r>
    </w:p>
    <w:p>
      <w:pPr>
        <w:spacing w:after="0" w:line="2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Mark McKechnie</w:t>
      </w:r>
    </w:p>
    <w:p>
      <w:pPr>
        <w:spacing w:after="0" w:line="2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8, 2024</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71348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34860" cy="336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860" cy="3365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151130</wp:posOffset>
            </wp:positionV>
            <wp:extent cx="699135" cy="4381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135" cy="438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ACM Research Reports First Quarter 2024 Results</w:t>
      </w:r>
    </w:p>
    <w:p>
      <w:pPr>
        <w:spacing w:after="0" w:line="223"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8"/>
          <w:szCs w:val="18"/>
          <w:color w:val="auto"/>
        </w:rPr>
        <w:t>FREMONT, Calif., May 08, 2024 (Globe Newswire) – ACM Research, Inc. (“ACM”) (NASDAQ: ACMR), a leading supplier of wafer processing solutions for semiconductor and advanced wafer-level packaging applications, today reported financial results for its first quarter ended March 31, 2024.</w:t>
      </w:r>
    </w:p>
    <w:p>
      <w:pPr>
        <w:spacing w:after="0" w:line="164" w:lineRule="exact"/>
        <w:rPr>
          <w:sz w:val="20"/>
          <w:szCs w:val="20"/>
          <w:color w:val="auto"/>
        </w:rPr>
      </w:pPr>
    </w:p>
    <w:p>
      <w:pPr>
        <w:jc w:val="both"/>
        <w:ind w:right="580"/>
        <w:spacing w:after="0" w:line="260" w:lineRule="auto"/>
        <w:rPr>
          <w:sz w:val="20"/>
          <w:szCs w:val="20"/>
          <w:color w:val="auto"/>
        </w:rPr>
      </w:pPr>
      <w:r>
        <w:rPr>
          <w:rFonts w:ascii="Times New Roman" w:cs="Times New Roman" w:eastAsia="Times New Roman" w:hAnsi="Times New Roman"/>
          <w:sz w:val="18"/>
          <w:szCs w:val="18"/>
          <w:color w:val="auto"/>
        </w:rPr>
        <w:t>“I am pleased with our first quarter results, a solid start for 2024. We delivered 105% revenue growth, record shipments, and strong profitability,” said ACM’s President and Chief Executive Officer, Dr. David Wang. “Our results demonstrate continued spending on mature nodes by our mainland China customers, contribution from new products, and market share gains at both existing and new customers.”</w:t>
      </w:r>
    </w:p>
    <w:p>
      <w:pPr>
        <w:spacing w:after="0" w:line="176" w:lineRule="exact"/>
        <w:rPr>
          <w:sz w:val="20"/>
          <w:szCs w:val="20"/>
          <w:color w:val="auto"/>
        </w:rPr>
      </w:pPr>
    </w:p>
    <w:p>
      <w:pPr>
        <w:ind w:right="380"/>
        <w:spacing w:after="0" w:line="218" w:lineRule="auto"/>
        <w:rPr>
          <w:sz w:val="20"/>
          <w:szCs w:val="20"/>
          <w:color w:val="auto"/>
        </w:rPr>
      </w:pPr>
      <w:r>
        <w:rPr>
          <w:rFonts w:ascii="Times New Roman" w:cs="Times New Roman" w:eastAsia="Times New Roman" w:hAnsi="Times New Roman"/>
          <w:sz w:val="18"/>
          <w:szCs w:val="18"/>
          <w:color w:val="auto"/>
        </w:rPr>
        <w:t>Dr. Wang continued, “We anticipate growth for 2024 as a result of our broadening product portfolio and expanding global footprint. We expect additional market share gains in cleaning with increased customer traction for Tahoe, single wafer high temperature SPM, and supercritical CO</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dry products, continued strength in ECP, and accelerating customer adoption for our furnace products. We expect to begin initial production at our facility in Lingang, Shanghai this year, and we continue to invest in our U.S. and Korea operations to support the global market opportunity.”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7"/>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Three Months Ended March 31,</w:t>
            </w: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9"/>
        </w:trPr>
        <w:tc>
          <w:tcPr>
            <w:tcW w:w="46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ind w:left="760"/>
              <w:spacing w:after="0"/>
              <w:rPr>
                <w:sz w:val="20"/>
                <w:szCs w:val="20"/>
                <w:color w:val="auto"/>
              </w:rPr>
            </w:pPr>
            <w:r>
              <w:rPr>
                <w:rFonts w:ascii="Times New Roman" w:cs="Times New Roman" w:eastAsia="Times New Roman" w:hAnsi="Times New Roman"/>
                <w:sz w:val="18"/>
                <w:szCs w:val="18"/>
                <w:b w:val="1"/>
                <w:bCs w:val="1"/>
                <w:color w:val="auto"/>
              </w:rPr>
              <w:t>GAAP</w:t>
            </w:r>
          </w:p>
        </w:tc>
        <w:tc>
          <w:tcPr>
            <w:tcW w:w="8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5"/>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Non-GAAP(1)</w:t>
            </w:r>
          </w:p>
        </w:tc>
        <w:tc>
          <w:tcPr>
            <w:tcW w:w="160" w:type="dxa"/>
            <w:vAlign w:val="bottom"/>
          </w:tcPr>
          <w:p>
            <w:pPr>
              <w:spacing w:after="0"/>
              <w:rPr>
                <w:sz w:val="19"/>
                <w:szCs w:val="19"/>
                <w:color w:val="auto"/>
              </w:rPr>
            </w:pPr>
          </w:p>
        </w:tc>
      </w:tr>
      <w:tr>
        <w:trPr>
          <w:trHeight w:val="219"/>
        </w:trPr>
        <w:tc>
          <w:tcPr>
            <w:tcW w:w="46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9"/>
                <w:szCs w:val="19"/>
                <w:color w:val="auto"/>
              </w:rPr>
            </w:pPr>
          </w:p>
        </w:tc>
      </w:tr>
      <w:tr>
        <w:trPr>
          <w:trHeight w:val="212"/>
        </w:trPr>
        <w:tc>
          <w:tcPr>
            <w:tcW w:w="4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700" w:type="dxa"/>
            <w:vAlign w:val="bottom"/>
            <w:gridSpan w:val="7"/>
          </w:tcPr>
          <w:p>
            <w:pPr>
              <w:ind w:left="40"/>
              <w:spacing w:after="0"/>
              <w:rPr>
                <w:sz w:val="20"/>
                <w:szCs w:val="20"/>
                <w:color w:val="auto"/>
              </w:rPr>
            </w:pPr>
            <w:r>
              <w:rPr>
                <w:rFonts w:ascii="Times New Roman" w:cs="Times New Roman" w:eastAsia="Times New Roman" w:hAnsi="Times New Roman"/>
                <w:sz w:val="18"/>
                <w:szCs w:val="18"/>
                <w:i w:val="1"/>
                <w:iCs w:val="1"/>
                <w:color w:val="auto"/>
              </w:rPr>
              <w:t>(dollars in thousands, except EPS)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2"/>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152,191</w:t>
            </w: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74,256</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152,191</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74,256</w:t>
            </w:r>
          </w:p>
        </w:tc>
      </w:tr>
      <w:tr>
        <w:trPr>
          <w:trHeight w:val="212"/>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52.0%</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54.0%</w:t>
            </w:r>
          </w:p>
        </w:tc>
      </w:tr>
      <w:tr>
        <w:trPr>
          <w:trHeight w:val="212"/>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25,232</w:t>
            </w: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8,862</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39,801</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10,930</w:t>
            </w:r>
          </w:p>
        </w:tc>
      </w:tr>
      <w:tr>
        <w:trPr>
          <w:trHeight w:val="212"/>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ACM Research, Inc.</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17,433</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7,145</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34,597</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9,867</w:t>
            </w:r>
          </w:p>
        </w:tc>
      </w:tr>
      <w:tr>
        <w:trPr>
          <w:trHeight w:val="212"/>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EPS</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0.28</w:t>
            </w: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0.12</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0.56</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0.17</w:t>
            </w:r>
          </w:p>
        </w:tc>
      </w:tr>
      <w:tr>
        <w:trPr>
          <w:trHeight w:val="232"/>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Diluted EPS</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0.26</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0.11</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0.52</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0.15</w:t>
            </w:r>
          </w:p>
        </w:tc>
      </w:tr>
    </w:tbl>
    <w:p>
      <w:pPr>
        <w:spacing w:after="0" w:line="175" w:lineRule="exact"/>
        <w:rPr>
          <w:sz w:val="20"/>
          <w:szCs w:val="20"/>
          <w:color w:val="auto"/>
        </w:rPr>
      </w:pPr>
    </w:p>
    <w:p>
      <w:pPr>
        <w:ind w:left="320" w:right="20" w:hanging="314"/>
        <w:spacing w:after="0" w:line="282" w:lineRule="auto"/>
        <w:tabs>
          <w:tab w:leader="none" w:pos="3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Reconciliations to U.S. generally accepted accounting principles (“GAAP”) financial measures from non-GAAP financial measures are presented below under “Reconciliation of GAAP to Non-GAAP Financial Measures.” Non-GAAP financial measures exclude stock-based compensation and, with respect to net income attributable to ACM Research, Inc. and basic and diluted earnings per share, also exclude unrealized loss on short-term investments.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Outlook</w:t>
      </w:r>
    </w:p>
    <w:p>
      <w:pPr>
        <w:spacing w:after="0" w:line="220"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ACM is maintaining its revenue guidance range of $650 million to $725 million for fiscal year 2024. This expectation is based on ACM management’s current assessment of the continuing impact from international trade policy, together with various expected spending scenarios of key customers, supply chain constraints, and the timing of acceptances for first tools under evaluation in the field, among other factors.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Highlights and Recent Announcements</w:t>
      </w:r>
    </w:p>
    <w:p>
      <w:pPr>
        <w:spacing w:after="0" w:line="218" w:lineRule="exact"/>
        <w:rPr>
          <w:sz w:val="20"/>
          <w:szCs w:val="20"/>
          <w:color w:val="auto"/>
        </w:rPr>
      </w:pPr>
    </w:p>
    <w:p>
      <w:pPr>
        <w:ind w:left="320" w:right="80" w:hanging="314"/>
        <w:spacing w:after="0" w:line="276" w:lineRule="auto"/>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Shipments. </w:t>
      </w:r>
      <w:r>
        <w:rPr>
          <w:rFonts w:ascii="Times New Roman" w:cs="Times New Roman" w:eastAsia="Times New Roman" w:hAnsi="Times New Roman"/>
          <w:sz w:val="18"/>
          <w:szCs w:val="18"/>
          <w:color w:val="auto"/>
        </w:rPr>
        <w:t>Total shipments in the first quarter of 2024 were $245 million, up 175% from the first quarter of 2023. Total shipments include deliveries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in the quarter and deliveries of first tool systems awaiting customer acceptance for potential revenue in future quarters.</w:t>
      </w:r>
    </w:p>
    <w:p>
      <w:pPr>
        <w:spacing w:after="0" w:line="160" w:lineRule="exact"/>
        <w:rPr>
          <w:rFonts w:ascii="Times New Roman" w:cs="Times New Roman" w:eastAsia="Times New Roman" w:hAnsi="Times New Roman"/>
          <w:sz w:val="18"/>
          <w:szCs w:val="18"/>
          <w:color w:val="auto"/>
        </w:rPr>
      </w:pPr>
    </w:p>
    <w:p>
      <w:pPr>
        <w:ind w:left="320" w:right="80" w:hanging="314"/>
        <w:spacing w:after="0" w:line="256" w:lineRule="auto"/>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Expanded Advanced Packaging Portfolio with Introduction of Frame Wafer Cleaning Tool. </w:t>
      </w:r>
      <w:r>
        <w:rPr>
          <w:rFonts w:ascii="Times New Roman" w:cs="Times New Roman" w:eastAsia="Times New Roman" w:hAnsi="Times New Roman"/>
          <w:sz w:val="18"/>
          <w:szCs w:val="18"/>
          <w:color w:val="auto"/>
        </w:rPr>
        <w:t>We introduced our Frame Wafer Cleaning Tool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advanced packaging. The tool effectively cleans semiconductor wafers during the post-debonding cleaning process. The Frame Wafer Cleaning Tool also includes an innovative solvent reclamation system that provides environmental and cost benefits. We have also successfully completed the installation and qualification of the first tool with a major Chinese manufacturer.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235585</wp:posOffset>
            </wp:positionV>
            <wp:extent cx="71348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First Quarter 2024 Financial Summary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Unless otherwise noted, the following figures refer to the first quarter of 2024 and comparisons are with the first quarter of 2023.</w:t>
      </w:r>
    </w:p>
    <w:p>
      <w:pPr>
        <w:spacing w:after="0" w:line="218" w:lineRule="exact"/>
        <w:rPr>
          <w:sz w:val="20"/>
          <w:szCs w:val="20"/>
          <w:color w:val="auto"/>
        </w:rPr>
      </w:pPr>
    </w:p>
    <w:p>
      <w:pPr>
        <w:ind w:left="320" w:right="400" w:hanging="314"/>
        <w:spacing w:after="0" w:line="276" w:lineRule="auto"/>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was $152.2 million, up 105.0%, reflecting higher sales of single wafer cleaning, Tahoe and semi-critical cleaning equipment and advanced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packaging (excluding ECP), and services and spares.</w:t>
      </w:r>
    </w:p>
    <w:p>
      <w:pPr>
        <w:spacing w:after="0" w:line="160" w:lineRule="exact"/>
        <w:rPr>
          <w:rFonts w:ascii="Times New Roman" w:cs="Times New Roman" w:eastAsia="Times New Roman" w:hAnsi="Times New Roman"/>
          <w:sz w:val="18"/>
          <w:szCs w:val="18"/>
          <w:color w:val="auto"/>
        </w:rPr>
      </w:pPr>
    </w:p>
    <w:p>
      <w:pPr>
        <w:ind w:left="320" w:right="160" w:hanging="314"/>
        <w:spacing w:after="0" w:line="261" w:lineRule="auto"/>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was 52.0% versus 53.8%. Non-GAAP gross margin, which excludes stock-based compensation, was 52.5% versus 54.0%. Gross margin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exceeded ACM’s long-term business model range of 40% to 45%. ACM expects gross margin to vary from period to period due to a variety of factors, such as product mix, currency impacts and sales volume.</w:t>
      </w:r>
    </w:p>
    <w:p>
      <w:pPr>
        <w:spacing w:after="0" w:line="173" w:lineRule="exact"/>
        <w:rPr>
          <w:rFonts w:ascii="Times New Roman" w:cs="Times New Roman" w:eastAsia="Times New Roman" w:hAnsi="Times New Roman"/>
          <w:sz w:val="18"/>
          <w:szCs w:val="18"/>
          <w:color w:val="auto"/>
        </w:rPr>
      </w:pPr>
    </w:p>
    <w:p>
      <w:pPr>
        <w:jc w:val="both"/>
        <w:ind w:left="320" w:right="260" w:hanging="314"/>
        <w:spacing w:after="0" w:line="261" w:lineRule="auto"/>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were $53.9 million, an increase of 73.1%. Operating expenses as a percentage of revenue decreased to 35.4% from 41.9%. Non-GAAP operating expenses, which exclude the effect of stock-based compensation, were $40.1 million, up 37.4%. Non-GAAP operating expenses as a percentage of revenue decreased to 26.3% from 39.3%.</w:t>
      </w:r>
    </w:p>
    <w:p>
      <w:pPr>
        <w:spacing w:after="0" w:line="173" w:lineRule="exact"/>
        <w:rPr>
          <w:rFonts w:ascii="Times New Roman" w:cs="Times New Roman" w:eastAsia="Times New Roman" w:hAnsi="Times New Roman"/>
          <w:sz w:val="18"/>
          <w:szCs w:val="18"/>
          <w:color w:val="auto"/>
        </w:rPr>
      </w:pPr>
    </w:p>
    <w:p>
      <w:pPr>
        <w:ind w:left="320" w:right="80" w:hanging="314"/>
        <w:spacing w:after="0" w:line="261" w:lineRule="auto"/>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income </w:t>
      </w:r>
      <w:r>
        <w:rPr>
          <w:rFonts w:ascii="Times New Roman" w:cs="Times New Roman" w:eastAsia="Times New Roman" w:hAnsi="Times New Roman"/>
          <w:sz w:val="18"/>
          <w:szCs w:val="18"/>
          <w:color w:val="auto"/>
        </w:rPr>
        <w:t>was $25.2 million, up from $8.9 million. Operating margin was 16.6% versus 11.9%. Non-GAAP operating income, which excludes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effect of stock-based compensation, was $39.8 million, up from $10.9 million. Non-GAAP operating margin, which excludes stock-based compensation, was 26.2% versus 14.7%.</w:t>
      </w:r>
    </w:p>
    <w:p>
      <w:pPr>
        <w:spacing w:after="0" w:line="173" w:lineRule="exact"/>
        <w:rPr>
          <w:rFonts w:ascii="Times New Roman" w:cs="Times New Roman" w:eastAsia="Times New Roman" w:hAnsi="Times New Roman"/>
          <w:sz w:val="18"/>
          <w:szCs w:val="18"/>
          <w:color w:val="auto"/>
        </w:rPr>
      </w:pPr>
    </w:p>
    <w:p>
      <w:pPr>
        <w:ind w:left="320" w:right="300" w:hanging="314"/>
        <w:spacing w:after="0" w:line="261" w:lineRule="auto"/>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Unrealized loss on short-term investments </w:t>
      </w:r>
      <w:r>
        <w:rPr>
          <w:rFonts w:ascii="Times New Roman" w:cs="Times New Roman" w:eastAsia="Times New Roman" w:hAnsi="Times New Roman"/>
          <w:sz w:val="18"/>
          <w:szCs w:val="18"/>
          <w:color w:val="auto"/>
        </w:rPr>
        <w:t>was $2.6 million. The loss reflects the change in market value of the investments by ACM’s principal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operating subsidiary, ACM Research (Shanghai), Inc., in short-term investments. The value is marked-to-market quarterly and is excluded in the non-GAAP financial metrics.</w:t>
      </w:r>
    </w:p>
    <w:p>
      <w:pPr>
        <w:spacing w:after="0" w:line="173"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Income tax expense </w:t>
      </w:r>
      <w:r>
        <w:rPr>
          <w:rFonts w:ascii="Times New Roman" w:cs="Times New Roman" w:eastAsia="Times New Roman" w:hAnsi="Times New Roman"/>
          <w:sz w:val="18"/>
          <w:szCs w:val="18"/>
          <w:color w:val="auto"/>
        </w:rPr>
        <w:t>was $4.4 million, compared to $2.9 million.</w:t>
      </w:r>
    </w:p>
    <w:p>
      <w:pPr>
        <w:spacing w:after="0" w:line="217" w:lineRule="exact"/>
        <w:rPr>
          <w:rFonts w:ascii="Times New Roman" w:cs="Times New Roman" w:eastAsia="Times New Roman" w:hAnsi="Times New Roman"/>
          <w:sz w:val="18"/>
          <w:szCs w:val="18"/>
          <w:color w:val="auto"/>
        </w:rPr>
      </w:pPr>
    </w:p>
    <w:p>
      <w:pPr>
        <w:ind w:left="320" w:right="80" w:hanging="314"/>
        <w:spacing w:after="0" w:line="276" w:lineRule="auto"/>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attributable to ACM Research, Inc. </w:t>
      </w:r>
      <w:r>
        <w:rPr>
          <w:rFonts w:ascii="Times New Roman" w:cs="Times New Roman" w:eastAsia="Times New Roman" w:hAnsi="Times New Roman"/>
          <w:sz w:val="18"/>
          <w:szCs w:val="18"/>
          <w:color w:val="auto"/>
        </w:rPr>
        <w:t>was $17.4 million, up from $7.1 million. Non-GAAP net income attributable to ACM Research,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excludes the effect of stock-based compensation and unrealized loss on short-term investments, was $34.6 million, up from $9.9 million.</w:t>
      </w:r>
    </w:p>
    <w:p>
      <w:pPr>
        <w:spacing w:after="0" w:line="160" w:lineRule="exact"/>
        <w:rPr>
          <w:rFonts w:ascii="Times New Roman" w:cs="Times New Roman" w:eastAsia="Times New Roman" w:hAnsi="Times New Roman"/>
          <w:sz w:val="18"/>
          <w:szCs w:val="18"/>
          <w:color w:val="auto"/>
        </w:rPr>
      </w:pPr>
    </w:p>
    <w:p>
      <w:pPr>
        <w:ind w:left="320" w:right="280" w:hanging="314"/>
        <w:spacing w:after="0" w:line="276" w:lineRule="auto"/>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per diluted share attributable to ACM Research, Inc. </w:t>
      </w:r>
      <w:r>
        <w:rPr>
          <w:rFonts w:ascii="Times New Roman" w:cs="Times New Roman" w:eastAsia="Times New Roman" w:hAnsi="Times New Roman"/>
          <w:sz w:val="18"/>
          <w:szCs w:val="18"/>
          <w:color w:val="auto"/>
        </w:rPr>
        <w:t>was $0.26, compared to $0.11. Non-GAAP net income per diluted share,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excludes the effect of stock-based compensation and unrealized loss on short-term investments, was $0.52, up from $0.15.</w:t>
      </w:r>
    </w:p>
    <w:p>
      <w:pPr>
        <w:spacing w:after="0" w:line="160" w:lineRule="exact"/>
        <w:rPr>
          <w:rFonts w:ascii="Times New Roman" w:cs="Times New Roman" w:eastAsia="Times New Roman" w:hAnsi="Times New Roman"/>
          <w:sz w:val="18"/>
          <w:szCs w:val="18"/>
          <w:color w:val="auto"/>
        </w:rPr>
      </w:pPr>
    </w:p>
    <w:p>
      <w:pPr>
        <w:ind w:left="320" w:right="140" w:hanging="314"/>
        <w:spacing w:after="0" w:line="276" w:lineRule="auto"/>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and cash equivalents, plus restricted cash and short-term and long-term time deposits </w:t>
      </w:r>
      <w:r>
        <w:rPr>
          <w:rFonts w:ascii="Times New Roman" w:cs="Times New Roman" w:eastAsia="Times New Roman" w:hAnsi="Times New Roman"/>
          <w:sz w:val="18"/>
          <w:szCs w:val="18"/>
          <w:color w:val="auto"/>
        </w:rPr>
        <w:t>were $288.3 million at March 31, 2024, versus $304.5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at December 31, 2023.</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Details</w:t>
      </w:r>
    </w:p>
    <w:p>
      <w:pPr>
        <w:spacing w:after="0" w:line="22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 conference call to discuss results will be held on Wednesday, May 8, 2024, at 8:00 a.m. Eastern Time (8:00 p.m. China Time). To join the conference call via telephone, participants must use the following link to complete an online registration process. Upon registering, each participant will receive email instructions to access the conference call, including dial-in information and a PIN number allowing access to the conference call. This pre-registration process is designed by the operator to reduce delays due to operator congestion when accessing the live call.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Online Registration: </w:t>
      </w:r>
      <w:r>
        <w:rPr>
          <w:rFonts w:ascii="Times New Roman" w:cs="Times New Roman" w:eastAsia="Times New Roman" w:hAnsi="Times New Roman"/>
          <w:sz w:val="18"/>
          <w:szCs w:val="18"/>
          <w:u w:val="single" w:color="auto"/>
          <w:color w:val="auto"/>
        </w:rPr>
        <w:t>https://register.vevent.com/register/BI7d8a11ab6f694bde910596cd97b8276d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who have not pre-registered may join the webcast by accessing the link at ir.acmrcsh.com/events.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live and archived webcast will be available on the Investors section of the ACM website at </w:t>
      </w:r>
      <w:r>
        <w:rPr>
          <w:rFonts w:ascii="Times New Roman" w:cs="Times New Roman" w:eastAsia="Times New Roman" w:hAnsi="Times New Roman"/>
          <w:sz w:val="18"/>
          <w:szCs w:val="18"/>
          <w:u w:val="single" w:color="auto"/>
          <w:color w:val="auto"/>
        </w:rPr>
        <w:t>www.acmrcsh.com</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Non-GAAP Financial Measures</w:t>
      </w:r>
    </w:p>
    <w:p>
      <w:pPr>
        <w:spacing w:after="0" w:line="22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ACM presents non-GAAP gross margin, operating expenses, operating income, net income attributable to ACM Research, Inc. and basic and diluted earnings per share as supplemental measures to GAAP financial measures regarding ACM’s operational performance. These supplemental measures exclude the impact of stock-based compensation, which ACM does not believe is indicative of its core operating results. In addition, non-GAAP net income attributable to ACM Research, Inc. and basic and diluted earnings per share exclude the effect of stock-based compensation and unrealized loss on short-term investments, which ACM also believes are not indicative of its core operating results. A reconciliation of each non-GAAP financial measure to the most directly comparable GAAP financial measure is provided below under “Reconciliation of GAAP to non-GAAP Financial Measures.”</w:t>
      </w:r>
    </w:p>
    <w:p>
      <w:pPr>
        <w:spacing w:after="0" w:line="18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ACM believes these non-GAAP financial measures are useful to investors in assessing its operating performance. ACM uses these financial measures internally to evaluate its operating performance and for planning and forecasting of future periods. Financial analysts may focus on and publish both historical results and future projections based on the non-GAAP financial measures. ACM also believes it is in the best interests of investors for ACM to provide this non-GAAP information.</w:t>
      </w:r>
    </w:p>
    <w:p>
      <w:pPr>
        <w:spacing w:after="0" w:line="18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While ACM believes these non-GAAP financial measures provide useful supplemental information to investors, there are limitations associated with the use of these non-GAAP financial measures. These non-GAAP financial measures may not be reported by competitors, and they may not be directly comparable to similarly titled measures of other companies due to differences in calculation methodologies. The non-GAAP financial measures are not an alternative to GAAP information and are not meant to be considered in isolation or as a substitute for comparable GAAP financial measures. They should be used only as a supplement to GAAP information and should be considered only in conjunction with ACM’s consolidated financial statements prepared in accordance with GAAP.</w:t>
      </w:r>
    </w:p>
    <w:p>
      <w:pPr>
        <w:sectPr>
          <w:pgSz w:w="11900" w:h="16838" w:orient="portrait"/>
          <w:cols w:equalWidth="0" w:num="1">
            <w:col w:w="11220"/>
          </w:cols>
          <w:pgMar w:left="320" w:top="119" w:right="359" w:bottom="1440" w:gutter="0" w:footer="0" w:header="0"/>
        </w:sect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38735</wp:posOffset>
            </wp:positionV>
            <wp:extent cx="71348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Certain statements contained in this press release are not historical facts and may be forward-looking statements within the meaning of the Private Securities Litigation Reform Act of 1995. Words such as “plans,” “expects,” “believes,” “anticipates,” “designed,” and similar words are intended to identify forward-looking statements. Forward-looking statements are based on ACM management’s current expectations and beliefs, and involve a number of risks and uncertainties that are difficult to predict and that could cause actual results to differ materially from those stated or implied by the forward-looking statements. A description of certain of these risks, uncertainties and other matters can be found in filings ACM makes with the U.S. Securities and Exchange Commission, all of which are available at www.sec.gov. Because forward-looking statements involve risks and uncertainties, actual results and events may differ materially from results and events currently expected by ACM. Readers are cautioned not to place undue reliance on these forward-looking statements, which speak only as of the date hereof. ACM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ACM Research, Inc.</w:t>
      </w:r>
    </w:p>
    <w:p>
      <w:pPr>
        <w:spacing w:after="0" w:line="220" w:lineRule="exact"/>
        <w:rPr>
          <w:sz w:val="20"/>
          <w:szCs w:val="20"/>
          <w:color w:val="auto"/>
        </w:rPr>
      </w:pPr>
    </w:p>
    <w:p>
      <w:pPr>
        <w:ind w:right="400"/>
        <w:spacing w:after="0" w:line="255" w:lineRule="auto"/>
        <w:rPr>
          <w:sz w:val="20"/>
          <w:szCs w:val="20"/>
          <w:color w:val="auto"/>
        </w:rPr>
      </w:pPr>
      <w:r>
        <w:rPr>
          <w:rFonts w:ascii="Times New Roman" w:cs="Times New Roman" w:eastAsia="Times New Roman" w:hAnsi="Times New Roman"/>
          <w:sz w:val="18"/>
          <w:szCs w:val="18"/>
          <w:color w:val="auto"/>
        </w:rPr>
        <w:t>ACM develops, manufactures and sells semiconductor process equipment for single-wafer or batch wet cleaning, electroplating, stress-free polishing and thermal processes that are critical to advanced semiconductor device manufacturing, as well as wafer-level packaging. ACM is committed to delivering customized, high performance, cost-effective process solutions that semiconductor manufacturers can use in numerous manufacturing steps to improve productivity and product yield.</w:t>
      </w:r>
    </w:p>
    <w:p>
      <w:pPr>
        <w:spacing w:after="0" w:line="182" w:lineRule="exact"/>
        <w:rPr>
          <w:sz w:val="20"/>
          <w:szCs w:val="20"/>
          <w:color w:val="auto"/>
        </w:rPr>
      </w:pPr>
    </w:p>
    <w:p>
      <w:pPr>
        <w:ind w:right="20" w:firstLine="6"/>
        <w:spacing w:after="0" w:line="274" w:lineRule="auto"/>
        <w:tabs>
          <w:tab w:leader="none" w:pos="17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ACM Research, Inc. The ACM Research logo is a trademark of ACM Research, Inc. For convenience, this trademark appears in this press release without a ™ symbol, but that practice does not mean that ACM will not assert, to the fullest extent under applicable law, its rights to the trademarks.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the United States:</w:t>
            </w:r>
          </w:p>
        </w:tc>
        <w:tc>
          <w:tcPr>
            <w:tcW w:w="2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The Blueshirt Group</w:t>
            </w:r>
          </w:p>
        </w:tc>
      </w:tr>
      <w:tr>
        <w:trPr>
          <w:trHeight w:val="214"/>
        </w:trPr>
        <w:tc>
          <w:tcPr>
            <w:tcW w:w="6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2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Steven C. Pelayo, CFA</w:t>
            </w:r>
          </w:p>
        </w:tc>
      </w:tr>
      <w:tr>
        <w:trPr>
          <w:trHeight w:val="210"/>
        </w:trPr>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 (360) 808-5154</w:t>
            </w:r>
          </w:p>
        </w:tc>
      </w:tr>
      <w:tr>
        <w:trPr>
          <w:trHeight w:val="234"/>
        </w:trPr>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4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w w:val="96"/>
              </w:rPr>
              <w:t>steven@blueshirtgroup.co</w:t>
            </w:r>
          </w:p>
        </w:tc>
      </w:tr>
      <w:tr>
        <w:trPr>
          <w:trHeight w:val="384"/>
        </w:trPr>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China:</w:t>
            </w:r>
          </w:p>
        </w:tc>
        <w:tc>
          <w:tcPr>
            <w:tcW w:w="254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8"/>
              </w:rPr>
              <w:t>The Blueshirt Group Asia</w:t>
            </w:r>
          </w:p>
        </w:tc>
      </w:tr>
      <w:tr>
        <w:trPr>
          <w:trHeight w:val="214"/>
        </w:trPr>
        <w:tc>
          <w:tcPr>
            <w:tcW w:w="620" w:type="dxa"/>
            <w:vAlign w:val="bottom"/>
            <w:tcBorders>
              <w:top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Gary Dvorchak, CFA</w:t>
            </w:r>
          </w:p>
        </w:tc>
      </w:tr>
      <w:tr>
        <w:trPr>
          <w:trHeight w:val="210"/>
        </w:trPr>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+86 (138) 1079-1480</w:t>
            </w:r>
          </w:p>
        </w:tc>
      </w:tr>
      <w:tr>
        <w:trPr>
          <w:trHeight w:val="234"/>
        </w:trPr>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4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gary@blueshirtgroup.co</w:t>
            </w:r>
          </w:p>
        </w:tc>
      </w:tr>
    </w:tbl>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38735</wp:posOffset>
            </wp:positionV>
            <wp:extent cx="71348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2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192"/>
        </w:trPr>
        <w:tc>
          <w:tcPr>
            <w:tcW w:w="52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right"/>
              <w:ind w:right="360"/>
              <w:spacing w:after="0" w:line="192" w:lineRule="exact"/>
              <w:rPr>
                <w:sz w:val="20"/>
                <w:szCs w:val="20"/>
                <w:color w:val="auto"/>
              </w:rPr>
            </w:pPr>
            <w:r>
              <w:rPr>
                <w:rFonts w:ascii="Times New Roman" w:cs="Times New Roman" w:eastAsia="Times New Roman" w:hAnsi="Times New Roman"/>
                <w:sz w:val="18"/>
                <w:szCs w:val="18"/>
                <w:i w:val="1"/>
                <w:iCs w:val="1"/>
                <w:color w:val="auto"/>
                <w:w w:val="99"/>
              </w:rPr>
              <w:t>(Unaudited)</w:t>
            </w:r>
          </w:p>
        </w:tc>
        <w:tc>
          <w:tcPr>
            <w:tcW w:w="6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20" w:type="dxa"/>
            <w:vAlign w:val="bottom"/>
            <w:vMerge w:val="restart"/>
          </w:tcPr>
          <w:p>
            <w:pPr>
              <w:ind w:left="38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3"/>
          </w:tcPr>
          <w:p>
            <w:pPr>
              <w:ind w:left="76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5220" w:type="dxa"/>
            <w:vAlign w:val="bottom"/>
            <w:vMerge w:val="continue"/>
          </w:tcPr>
          <w:p>
            <w:pPr>
              <w:spacing w:after="0"/>
              <w:rPr>
                <w:sz w:val="16"/>
                <w:szCs w:val="16"/>
                <w:color w:val="auto"/>
              </w:rPr>
            </w:pPr>
          </w:p>
        </w:tc>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40" w:type="dxa"/>
            <w:vAlign w:val="bottom"/>
            <w:gridSpan w:val="2"/>
            <w:shd w:val="clear" w:color="auto" w:fill="CCEEFF"/>
          </w:tcPr>
          <w:p>
            <w:pPr>
              <w:ind w:left="3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211,305</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182,090</w:t>
            </w:r>
          </w:p>
        </w:tc>
        <w:tc>
          <w:tcPr>
            <w:tcW w:w="0" w:type="dxa"/>
            <w:vAlign w:val="bottom"/>
          </w:tcPr>
          <w:p>
            <w:pPr>
              <w:spacing w:after="0"/>
              <w:rPr>
                <w:sz w:val="1"/>
                <w:szCs w:val="1"/>
                <w:color w:val="auto"/>
              </w:rPr>
            </w:pPr>
          </w:p>
        </w:tc>
      </w:tr>
      <w:tr>
        <w:trPr>
          <w:trHeight w:val="212"/>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1,083</w:t>
            </w:r>
          </w:p>
        </w:tc>
        <w:tc>
          <w:tcPr>
            <w:tcW w:w="0" w:type="dxa"/>
            <w:vAlign w:val="bottom"/>
          </w:tcPr>
          <w:p>
            <w:pPr>
              <w:spacing w:after="0"/>
              <w:rPr>
                <w:sz w:val="1"/>
                <w:szCs w:val="1"/>
                <w:color w:val="auto"/>
              </w:rPr>
            </w:pPr>
          </w:p>
        </w:tc>
      </w:tr>
      <w:tr>
        <w:trPr>
          <w:trHeight w:val="212"/>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time deposits</w:t>
            </w:r>
          </w:p>
        </w:tc>
        <w:tc>
          <w:tcPr>
            <w:tcW w:w="3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48,364</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80,524</w:t>
            </w:r>
          </w:p>
        </w:tc>
        <w:tc>
          <w:tcPr>
            <w:tcW w:w="0" w:type="dxa"/>
            <w:vAlign w:val="bottom"/>
          </w:tcPr>
          <w:p>
            <w:pPr>
              <w:spacing w:after="0"/>
              <w:rPr>
                <w:sz w:val="1"/>
                <w:szCs w:val="1"/>
                <w:color w:val="auto"/>
              </w:rPr>
            </w:pPr>
          </w:p>
        </w:tc>
      </w:tr>
      <w:tr>
        <w:trPr>
          <w:trHeight w:val="212"/>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w:t>
            </w: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18,648</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21,312</w:t>
            </w:r>
          </w:p>
        </w:tc>
        <w:tc>
          <w:tcPr>
            <w:tcW w:w="0" w:type="dxa"/>
            <w:vAlign w:val="bottom"/>
          </w:tcPr>
          <w:p>
            <w:pPr>
              <w:spacing w:after="0"/>
              <w:rPr>
                <w:sz w:val="1"/>
                <w:szCs w:val="1"/>
                <w:color w:val="auto"/>
              </w:rPr>
            </w:pPr>
          </w:p>
        </w:tc>
      </w:tr>
      <w:tr>
        <w:trPr>
          <w:trHeight w:val="212"/>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3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296,371</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283,186</w:t>
            </w:r>
          </w:p>
        </w:tc>
        <w:tc>
          <w:tcPr>
            <w:tcW w:w="0" w:type="dxa"/>
            <w:vAlign w:val="bottom"/>
          </w:tcPr>
          <w:p>
            <w:pPr>
              <w:spacing w:after="0"/>
              <w:rPr>
                <w:sz w:val="1"/>
                <w:szCs w:val="1"/>
                <w:color w:val="auto"/>
              </w:rPr>
            </w:pPr>
          </w:p>
        </w:tc>
      </w:tr>
      <w:tr>
        <w:trPr>
          <w:trHeight w:val="212"/>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51,316</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40,065</w:t>
            </w:r>
          </w:p>
        </w:tc>
        <w:tc>
          <w:tcPr>
            <w:tcW w:w="0" w:type="dxa"/>
            <w:vAlign w:val="bottom"/>
          </w:tcPr>
          <w:p>
            <w:pPr>
              <w:spacing w:after="0"/>
              <w:rPr>
                <w:sz w:val="1"/>
                <w:szCs w:val="1"/>
                <w:color w:val="auto"/>
              </w:rPr>
            </w:pPr>
          </w:p>
        </w:tc>
      </w:tr>
      <w:tr>
        <w:trPr>
          <w:trHeight w:val="212"/>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3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581,140</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545,395</w:t>
            </w:r>
          </w:p>
        </w:tc>
        <w:tc>
          <w:tcPr>
            <w:tcW w:w="0" w:type="dxa"/>
            <w:vAlign w:val="bottom"/>
          </w:tcPr>
          <w:p>
            <w:pPr>
              <w:spacing w:after="0"/>
              <w:rPr>
                <w:sz w:val="1"/>
                <w:szCs w:val="1"/>
                <w:color w:val="auto"/>
              </w:rPr>
            </w:pPr>
          </w:p>
        </w:tc>
      </w:tr>
      <w:tr>
        <w:trPr>
          <w:trHeight w:val="212"/>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Advances to related party</w:t>
            </w: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2,432</w:t>
            </w:r>
          </w:p>
        </w:tc>
        <w:tc>
          <w:tcPr>
            <w:tcW w:w="0" w:type="dxa"/>
            <w:vAlign w:val="bottom"/>
          </w:tcPr>
          <w:p>
            <w:pPr>
              <w:spacing w:after="0"/>
              <w:rPr>
                <w:sz w:val="1"/>
                <w:szCs w:val="1"/>
                <w:color w:val="auto"/>
              </w:rPr>
            </w:pPr>
          </w:p>
        </w:tc>
      </w:tr>
      <w:tr>
        <w:trPr>
          <w:trHeight w:val="219"/>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3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20,066</w:t>
            </w:r>
          </w:p>
        </w:tc>
        <w:tc>
          <w:tcPr>
            <w:tcW w:w="2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1,229,356</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1,176,110</w:t>
            </w:r>
          </w:p>
        </w:tc>
        <w:tc>
          <w:tcPr>
            <w:tcW w:w="0" w:type="dxa"/>
            <w:vAlign w:val="bottom"/>
          </w:tcPr>
          <w:p>
            <w:pPr>
              <w:spacing w:after="0"/>
              <w:rPr>
                <w:sz w:val="1"/>
                <w:szCs w:val="1"/>
                <w:color w:val="auto"/>
              </w:rPr>
            </w:pPr>
          </w:p>
        </w:tc>
      </w:tr>
      <w:tr>
        <w:trPr>
          <w:trHeight w:val="212"/>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218,822</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201,848</w:t>
            </w:r>
          </w:p>
        </w:tc>
        <w:tc>
          <w:tcPr>
            <w:tcW w:w="0" w:type="dxa"/>
            <w:vAlign w:val="bottom"/>
          </w:tcPr>
          <w:p>
            <w:pPr>
              <w:spacing w:after="0"/>
              <w:rPr>
                <w:sz w:val="1"/>
                <w:szCs w:val="1"/>
                <w:color w:val="auto"/>
              </w:rPr>
            </w:pPr>
          </w:p>
        </w:tc>
      </w:tr>
      <w:tr>
        <w:trPr>
          <w:trHeight w:val="212"/>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Land use right, net</w:t>
            </w: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8,305</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8,367</w:t>
            </w:r>
          </w:p>
        </w:tc>
        <w:tc>
          <w:tcPr>
            <w:tcW w:w="0" w:type="dxa"/>
            <w:vAlign w:val="bottom"/>
          </w:tcPr>
          <w:p>
            <w:pPr>
              <w:spacing w:after="0"/>
              <w:rPr>
                <w:sz w:val="1"/>
                <w:szCs w:val="1"/>
                <w:color w:val="auto"/>
              </w:rPr>
            </w:pPr>
          </w:p>
        </w:tc>
      </w:tr>
      <w:tr>
        <w:trPr>
          <w:trHeight w:val="212"/>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3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6,498</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7,026</w:t>
            </w:r>
          </w:p>
        </w:tc>
        <w:tc>
          <w:tcPr>
            <w:tcW w:w="0" w:type="dxa"/>
            <w:vAlign w:val="bottom"/>
          </w:tcPr>
          <w:p>
            <w:pPr>
              <w:spacing w:after="0"/>
              <w:rPr>
                <w:sz w:val="1"/>
                <w:szCs w:val="1"/>
                <w:color w:val="auto"/>
              </w:rPr>
            </w:pPr>
          </w:p>
        </w:tc>
      </w:tr>
      <w:tr>
        <w:trPr>
          <w:trHeight w:val="212"/>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2,538</w:t>
            </w:r>
          </w:p>
        </w:tc>
        <w:tc>
          <w:tcPr>
            <w:tcW w:w="0" w:type="dxa"/>
            <w:vAlign w:val="bottom"/>
          </w:tcPr>
          <w:p>
            <w:pPr>
              <w:spacing w:after="0"/>
              <w:rPr>
                <w:sz w:val="1"/>
                <w:szCs w:val="1"/>
                <w:color w:val="auto"/>
              </w:rPr>
            </w:pPr>
          </w:p>
        </w:tc>
      </w:tr>
      <w:tr>
        <w:trPr>
          <w:trHeight w:val="212"/>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time deposits</w:t>
            </w:r>
          </w:p>
        </w:tc>
        <w:tc>
          <w:tcPr>
            <w:tcW w:w="3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27,841</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40,818</w:t>
            </w:r>
          </w:p>
        </w:tc>
        <w:tc>
          <w:tcPr>
            <w:tcW w:w="0" w:type="dxa"/>
            <w:vAlign w:val="bottom"/>
          </w:tcPr>
          <w:p>
            <w:pPr>
              <w:spacing w:after="0"/>
              <w:rPr>
                <w:sz w:val="1"/>
                <w:szCs w:val="1"/>
                <w:color w:val="auto"/>
              </w:rPr>
            </w:pPr>
          </w:p>
        </w:tc>
      </w:tr>
      <w:tr>
        <w:trPr>
          <w:trHeight w:val="212"/>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21,360</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20,271</w:t>
            </w:r>
          </w:p>
        </w:tc>
        <w:tc>
          <w:tcPr>
            <w:tcW w:w="0" w:type="dxa"/>
            <w:vAlign w:val="bottom"/>
          </w:tcPr>
          <w:p>
            <w:pPr>
              <w:spacing w:after="0"/>
              <w:rPr>
                <w:sz w:val="1"/>
                <w:szCs w:val="1"/>
                <w:color w:val="auto"/>
              </w:rPr>
            </w:pPr>
          </w:p>
        </w:tc>
      </w:tr>
      <w:tr>
        <w:trPr>
          <w:trHeight w:val="212"/>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3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31,293</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27,880</w:t>
            </w:r>
          </w:p>
        </w:tc>
        <w:tc>
          <w:tcPr>
            <w:tcW w:w="0" w:type="dxa"/>
            <w:vAlign w:val="bottom"/>
          </w:tcPr>
          <w:p>
            <w:pPr>
              <w:spacing w:after="0"/>
              <w:rPr>
                <w:sz w:val="1"/>
                <w:szCs w:val="1"/>
                <w:color w:val="auto"/>
              </w:rPr>
            </w:pPr>
          </w:p>
        </w:tc>
      </w:tr>
      <w:tr>
        <w:trPr>
          <w:trHeight w:val="21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3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10,471</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6,050</w:t>
            </w:r>
          </w:p>
        </w:tc>
        <w:tc>
          <w:tcPr>
            <w:tcW w:w="0" w:type="dxa"/>
            <w:vAlign w:val="bottom"/>
          </w:tcPr>
          <w:p>
            <w:pPr>
              <w:spacing w:after="0"/>
              <w:rPr>
                <w:sz w:val="1"/>
                <w:szCs w:val="1"/>
                <w:color w:val="auto"/>
              </w:rPr>
            </w:pPr>
          </w:p>
        </w:tc>
      </w:tr>
      <w:tr>
        <w:trPr>
          <w:trHeight w:val="252"/>
        </w:trPr>
        <w:tc>
          <w:tcPr>
            <w:tcW w:w="522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1,556,749</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1,490,908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5220" w:type="dxa"/>
            <w:vAlign w:val="bottom"/>
          </w:tcPr>
          <w:p>
            <w:pPr>
              <w:ind w:left="3300"/>
              <w:spacing w:after="0" w:line="20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Short-term borrowings</w:t>
            </w:r>
          </w:p>
        </w:tc>
        <w:tc>
          <w:tcPr>
            <w:tcW w:w="3240" w:type="dxa"/>
            <w:vAlign w:val="bottom"/>
            <w:gridSpan w:val="2"/>
          </w:tcPr>
          <w:p>
            <w:pPr>
              <w:ind w:left="3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54,706</w:t>
            </w:r>
          </w:p>
        </w:tc>
        <w:tc>
          <w:tcPr>
            <w:tcW w:w="2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31,335</w:t>
            </w:r>
          </w:p>
        </w:tc>
        <w:tc>
          <w:tcPr>
            <w:tcW w:w="0" w:type="dxa"/>
            <w:vAlign w:val="bottom"/>
          </w:tcPr>
          <w:p>
            <w:pPr>
              <w:spacing w:after="0"/>
              <w:rPr>
                <w:sz w:val="1"/>
                <w:szCs w:val="1"/>
                <w:color w:val="auto"/>
              </w:rPr>
            </w:pPr>
          </w:p>
        </w:tc>
      </w:tr>
      <w:tr>
        <w:trPr>
          <w:trHeight w:val="212"/>
        </w:trPr>
        <w:tc>
          <w:tcPr>
            <w:tcW w:w="5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portion of long-term borrowings</w:t>
            </w:r>
          </w:p>
        </w:tc>
        <w:tc>
          <w:tcPr>
            <w:tcW w:w="3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6,549</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6,783</w:t>
            </w:r>
          </w:p>
        </w:tc>
        <w:tc>
          <w:tcPr>
            <w:tcW w:w="0" w:type="dxa"/>
            <w:vAlign w:val="bottom"/>
          </w:tcPr>
          <w:p>
            <w:pPr>
              <w:spacing w:after="0"/>
              <w:rPr>
                <w:sz w:val="1"/>
                <w:szCs w:val="1"/>
                <w:color w:val="auto"/>
              </w:rPr>
            </w:pPr>
          </w:p>
        </w:tc>
      </w:tr>
      <w:tr>
        <w:trPr>
          <w:trHeight w:val="212"/>
        </w:trPr>
        <w:tc>
          <w:tcPr>
            <w:tcW w:w="5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Related party accounts payable</w:t>
            </w: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16,243</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11,407</w:t>
            </w:r>
          </w:p>
        </w:tc>
        <w:tc>
          <w:tcPr>
            <w:tcW w:w="0" w:type="dxa"/>
            <w:vAlign w:val="bottom"/>
          </w:tcPr>
          <w:p>
            <w:pPr>
              <w:spacing w:after="0"/>
              <w:rPr>
                <w:sz w:val="1"/>
                <w:szCs w:val="1"/>
                <w:color w:val="auto"/>
              </w:rPr>
            </w:pPr>
          </w:p>
        </w:tc>
      </w:tr>
      <w:tr>
        <w:trPr>
          <w:trHeight w:val="212"/>
        </w:trPr>
        <w:tc>
          <w:tcPr>
            <w:tcW w:w="5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3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135,499</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141,814</w:t>
            </w:r>
          </w:p>
        </w:tc>
        <w:tc>
          <w:tcPr>
            <w:tcW w:w="0" w:type="dxa"/>
            <w:vAlign w:val="bottom"/>
          </w:tcPr>
          <w:p>
            <w:pPr>
              <w:spacing w:after="0"/>
              <w:rPr>
                <w:sz w:val="1"/>
                <w:szCs w:val="1"/>
                <w:color w:val="auto"/>
              </w:rPr>
            </w:pPr>
          </w:p>
        </w:tc>
      </w:tr>
      <w:tr>
        <w:trPr>
          <w:trHeight w:val="212"/>
        </w:trPr>
        <w:tc>
          <w:tcPr>
            <w:tcW w:w="5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Advances from customers</w:t>
            </w: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182,547</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181,368</w:t>
            </w:r>
          </w:p>
        </w:tc>
        <w:tc>
          <w:tcPr>
            <w:tcW w:w="0" w:type="dxa"/>
            <w:vAlign w:val="bottom"/>
          </w:tcPr>
          <w:p>
            <w:pPr>
              <w:spacing w:after="0"/>
              <w:rPr>
                <w:sz w:val="1"/>
                <w:szCs w:val="1"/>
                <w:color w:val="auto"/>
              </w:rPr>
            </w:pPr>
          </w:p>
        </w:tc>
      </w:tr>
      <w:tr>
        <w:trPr>
          <w:trHeight w:val="212"/>
        </w:trPr>
        <w:tc>
          <w:tcPr>
            <w:tcW w:w="5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3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3,687</w:t>
            </w:r>
          </w:p>
        </w:tc>
        <w:tc>
          <w:tcPr>
            <w:tcW w:w="0" w:type="dxa"/>
            <w:vAlign w:val="bottom"/>
          </w:tcPr>
          <w:p>
            <w:pPr>
              <w:spacing w:after="0"/>
              <w:rPr>
                <w:sz w:val="1"/>
                <w:szCs w:val="1"/>
                <w:color w:val="auto"/>
              </w:rPr>
            </w:pPr>
          </w:p>
        </w:tc>
      </w:tr>
      <w:tr>
        <w:trPr>
          <w:trHeight w:val="212"/>
        </w:trPr>
        <w:tc>
          <w:tcPr>
            <w:tcW w:w="5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taxes payable</w:t>
            </w: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11,403</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6,401</w:t>
            </w:r>
          </w:p>
        </w:tc>
        <w:tc>
          <w:tcPr>
            <w:tcW w:w="0" w:type="dxa"/>
            <w:vAlign w:val="bottom"/>
          </w:tcPr>
          <w:p>
            <w:pPr>
              <w:spacing w:after="0"/>
              <w:rPr>
                <w:sz w:val="1"/>
                <w:szCs w:val="1"/>
                <w:color w:val="auto"/>
              </w:rPr>
            </w:pPr>
          </w:p>
        </w:tc>
      </w:tr>
      <w:tr>
        <w:trPr>
          <w:trHeight w:val="212"/>
        </w:trPr>
        <w:tc>
          <w:tcPr>
            <w:tcW w:w="5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FIN-48 payable</w:t>
            </w:r>
          </w:p>
        </w:tc>
        <w:tc>
          <w:tcPr>
            <w:tcW w:w="3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12,131</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12,149</w:t>
            </w:r>
          </w:p>
        </w:tc>
        <w:tc>
          <w:tcPr>
            <w:tcW w:w="0" w:type="dxa"/>
            <w:vAlign w:val="bottom"/>
          </w:tcPr>
          <w:p>
            <w:pPr>
              <w:spacing w:after="0"/>
              <w:rPr>
                <w:sz w:val="1"/>
                <w:szCs w:val="1"/>
                <w:color w:val="auto"/>
              </w:rPr>
            </w:pPr>
          </w:p>
        </w:tc>
      </w:tr>
      <w:tr>
        <w:trPr>
          <w:trHeight w:val="212"/>
        </w:trPr>
        <w:tc>
          <w:tcPr>
            <w:tcW w:w="5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payables and accrued expenses</w:t>
            </w: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107,098</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102,951</w:t>
            </w:r>
          </w:p>
        </w:tc>
        <w:tc>
          <w:tcPr>
            <w:tcW w:w="0" w:type="dxa"/>
            <w:vAlign w:val="bottom"/>
          </w:tcPr>
          <w:p>
            <w:pPr>
              <w:spacing w:after="0"/>
              <w:rPr>
                <w:sz w:val="1"/>
                <w:szCs w:val="1"/>
                <w:color w:val="auto"/>
              </w:rPr>
            </w:pPr>
          </w:p>
        </w:tc>
      </w:tr>
      <w:tr>
        <w:trPr>
          <w:trHeight w:val="219"/>
        </w:trPr>
        <w:tc>
          <w:tcPr>
            <w:tcW w:w="5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3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2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533,249</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500,659</w:t>
            </w:r>
          </w:p>
        </w:tc>
        <w:tc>
          <w:tcPr>
            <w:tcW w:w="0" w:type="dxa"/>
            <w:vAlign w:val="bottom"/>
          </w:tcPr>
          <w:p>
            <w:pPr>
              <w:spacing w:after="0"/>
              <w:rPr>
                <w:sz w:val="1"/>
                <w:szCs w:val="1"/>
                <w:color w:val="auto"/>
              </w:rPr>
            </w:pPr>
          </w:p>
        </w:tc>
      </w:tr>
      <w:tr>
        <w:trPr>
          <w:trHeight w:val="212"/>
        </w:trPr>
        <w:tc>
          <w:tcPr>
            <w:tcW w:w="5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Long-term borrowings</w:t>
            </w:r>
          </w:p>
        </w:tc>
        <w:tc>
          <w:tcPr>
            <w:tcW w:w="3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53,408</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53,952</w:t>
            </w:r>
          </w:p>
        </w:tc>
        <w:tc>
          <w:tcPr>
            <w:tcW w:w="0" w:type="dxa"/>
            <w:vAlign w:val="bottom"/>
          </w:tcPr>
          <w:p>
            <w:pPr>
              <w:spacing w:after="0"/>
              <w:rPr>
                <w:sz w:val="1"/>
                <w:szCs w:val="1"/>
                <w:color w:val="auto"/>
              </w:rPr>
            </w:pPr>
          </w:p>
        </w:tc>
      </w:tr>
      <w:tr>
        <w:trPr>
          <w:trHeight w:val="212"/>
        </w:trPr>
        <w:tc>
          <w:tcPr>
            <w:tcW w:w="5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4,262</w:t>
            </w:r>
          </w:p>
        </w:tc>
        <w:tc>
          <w:tcPr>
            <w:tcW w:w="0" w:type="dxa"/>
            <w:vAlign w:val="bottom"/>
          </w:tcPr>
          <w:p>
            <w:pPr>
              <w:spacing w:after="0"/>
              <w:rPr>
                <w:sz w:val="1"/>
                <w:szCs w:val="1"/>
                <w:color w:val="auto"/>
              </w:rPr>
            </w:pPr>
          </w:p>
        </w:tc>
      </w:tr>
      <w:tr>
        <w:trPr>
          <w:trHeight w:val="219"/>
        </w:trPr>
        <w:tc>
          <w:tcPr>
            <w:tcW w:w="5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2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2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595,956</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564,746</w:t>
            </w:r>
          </w:p>
        </w:tc>
        <w:tc>
          <w:tcPr>
            <w:tcW w:w="0" w:type="dxa"/>
            <w:vAlign w:val="bottom"/>
          </w:tcPr>
          <w:p>
            <w:pPr>
              <w:spacing w:after="0"/>
              <w:rPr>
                <w:sz w:val="1"/>
                <w:szCs w:val="1"/>
                <w:color w:val="auto"/>
              </w:rPr>
            </w:pPr>
          </w:p>
        </w:tc>
      </w:tr>
      <w:tr>
        <w:trPr>
          <w:trHeight w:val="212"/>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3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2"/>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Common stock</w:t>
            </w:r>
          </w:p>
        </w:tc>
        <w:tc>
          <w:tcPr>
            <w:tcW w:w="3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2"/>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646,800</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629,845</w:t>
            </w:r>
          </w:p>
        </w:tc>
        <w:tc>
          <w:tcPr>
            <w:tcW w:w="0" w:type="dxa"/>
            <w:vAlign w:val="bottom"/>
          </w:tcPr>
          <w:p>
            <w:pPr>
              <w:spacing w:after="0"/>
              <w:rPr>
                <w:sz w:val="1"/>
                <w:szCs w:val="1"/>
                <w:color w:val="auto"/>
              </w:rPr>
            </w:pPr>
          </w:p>
        </w:tc>
      </w:tr>
      <w:tr>
        <w:trPr>
          <w:trHeight w:val="212"/>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3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174,260</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156,827</w:t>
            </w:r>
          </w:p>
        </w:tc>
        <w:tc>
          <w:tcPr>
            <w:tcW w:w="0" w:type="dxa"/>
            <w:vAlign w:val="bottom"/>
          </w:tcPr>
          <w:p>
            <w:pPr>
              <w:spacing w:after="0"/>
              <w:rPr>
                <w:sz w:val="1"/>
                <w:szCs w:val="1"/>
                <w:color w:val="auto"/>
              </w:rPr>
            </w:pPr>
          </w:p>
        </w:tc>
      </w:tr>
      <w:tr>
        <w:trPr>
          <w:trHeight w:val="212"/>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Statutory surplus reserve</w:t>
            </w: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30,060</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30,060</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3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(54,925)</w:t>
            </w:r>
          </w:p>
        </w:tc>
        <w:tc>
          <w:tcPr>
            <w:tcW w:w="6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(49,349)</w:t>
            </w:r>
          </w:p>
        </w:tc>
        <w:tc>
          <w:tcPr>
            <w:tcW w:w="0" w:type="dxa"/>
            <w:vAlign w:val="bottom"/>
          </w:tcPr>
          <w:p>
            <w:pPr>
              <w:spacing w:after="0"/>
              <w:rPr>
                <w:sz w:val="1"/>
                <w:szCs w:val="1"/>
                <w:color w:val="auto"/>
              </w:rPr>
            </w:pPr>
          </w:p>
        </w:tc>
      </w:tr>
      <w:tr>
        <w:trPr>
          <w:trHeight w:val="212"/>
        </w:trPr>
        <w:tc>
          <w:tcPr>
            <w:tcW w:w="52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ACM Research, Inc. stockholders’ equity</w:t>
            </w:r>
          </w:p>
        </w:tc>
        <w:tc>
          <w:tcPr>
            <w:tcW w:w="3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796,202</w:t>
            </w:r>
          </w:p>
        </w:tc>
        <w:tc>
          <w:tcPr>
            <w:tcW w:w="22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767,390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3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164,591</w:t>
            </w:r>
          </w:p>
        </w:tc>
        <w:tc>
          <w:tcPr>
            <w:tcW w:w="2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158,772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960,793</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926,162</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220" w:type="dxa"/>
            <w:vAlign w:val="bottom"/>
            <w:tcBorders>
              <w:bottom w:val="single" w:sz="8" w:color="CCEEFF"/>
            </w:tcBorders>
            <w:shd w:val="clear" w:color="auto" w:fill="CCEEFF"/>
          </w:tcPr>
          <w:p>
            <w:pPr>
              <w:ind w:left="320"/>
              <w:spacing w:after="0" w:line="206" w:lineRule="exact"/>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1,556,749</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1,490,908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39"/>
        </w:trPr>
        <w:tc>
          <w:tcPr>
            <w:tcW w:w="5220" w:type="dxa"/>
            <w:vAlign w:val="bottom"/>
          </w:tcPr>
          <w:p>
            <w:pPr>
              <w:spacing w:after="0"/>
              <w:rPr>
                <w:sz w:val="24"/>
                <w:szCs w:val="24"/>
                <w:color w:val="auto"/>
              </w:rPr>
            </w:pPr>
          </w:p>
        </w:tc>
        <w:tc>
          <w:tcPr>
            <w:tcW w:w="3120" w:type="dxa"/>
            <w:vAlign w:val="bottom"/>
          </w:tcPr>
          <w:p>
            <w:pPr>
              <w:jc w:val="right"/>
              <w:ind w:right="2517"/>
              <w:spacing w:after="0"/>
              <w:rPr>
                <w:sz w:val="20"/>
                <w:szCs w:val="20"/>
                <w:color w:val="auto"/>
              </w:rPr>
            </w:pPr>
            <w:r>
              <w:rPr>
                <w:rFonts w:ascii="Times New Roman" w:cs="Times New Roman" w:eastAsia="Times New Roman" w:hAnsi="Times New Roman"/>
                <w:sz w:val="14"/>
                <w:szCs w:val="14"/>
                <w:color w:val="auto"/>
              </w:rPr>
              <w:t>- 4 -</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5220" w:type="dxa"/>
            <w:vAlign w:val="bottom"/>
            <w:tcBorders>
              <w:bottom w:val="single" w:sz="8" w:color="auto"/>
            </w:tcBorders>
          </w:tcPr>
          <w:p>
            <w:pPr>
              <w:spacing w:after="0"/>
              <w:rPr>
                <w:sz w:val="3"/>
                <w:szCs w:val="3"/>
                <w:color w:val="auto"/>
              </w:rPr>
            </w:pPr>
          </w:p>
        </w:tc>
        <w:tc>
          <w:tcPr>
            <w:tcW w:w="3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9"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40" w:type="dxa"/>
            <w:vAlign w:val="bottom"/>
          </w:tcPr>
          <w:p>
            <w:pPr>
              <w:ind w:left="4680"/>
              <w:spacing w:after="0"/>
              <w:rPr>
                <w:sz w:val="20"/>
                <w:szCs w:val="20"/>
                <w:color w:val="auto"/>
              </w:rPr>
            </w:pPr>
            <w:r>
              <w:rPr>
                <w:rFonts w:ascii="Times New Roman" w:cs="Times New Roman" w:eastAsia="Times New Roman" w:hAnsi="Times New Roman"/>
                <w:sz w:val="18"/>
                <w:szCs w:val="18"/>
                <w:b w:val="1"/>
                <w:bCs w:val="1"/>
                <w:color w:val="auto"/>
              </w:rPr>
              <w:t>ACM RESEARCH, INC.</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4"/>
        </w:trPr>
        <w:tc>
          <w:tcPr>
            <w:tcW w:w="8640" w:type="dxa"/>
            <w:vAlign w:val="bottom"/>
          </w:tcPr>
          <w:p>
            <w:pPr>
              <w:ind w:left="264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 and Comprehensive Income</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0"/>
        </w:trPr>
        <w:tc>
          <w:tcPr>
            <w:tcW w:w="8640" w:type="dxa"/>
            <w:vAlign w:val="bottom"/>
          </w:tcPr>
          <w:p>
            <w:pPr>
              <w:spacing w:after="0"/>
              <w:rPr>
                <w:sz w:val="24"/>
                <w:szCs w:val="24"/>
                <w:color w:val="auto"/>
              </w:rPr>
            </w:pPr>
          </w:p>
        </w:tc>
        <w:tc>
          <w:tcPr>
            <w:tcW w:w="260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Three Months Ended March 31,</w:t>
            </w:r>
          </w:p>
        </w:tc>
      </w:tr>
      <w:tr>
        <w:trPr>
          <w:trHeight w:val="219"/>
        </w:trPr>
        <w:tc>
          <w:tcPr>
            <w:tcW w:w="86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19"/>
                <w:szCs w:val="19"/>
                <w:color w:val="auto"/>
              </w:rPr>
            </w:pPr>
          </w:p>
        </w:tc>
      </w:tr>
      <w:tr>
        <w:trPr>
          <w:trHeight w:val="192"/>
        </w:trPr>
        <w:tc>
          <w:tcPr>
            <w:tcW w:w="8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3"/>
          </w:tcPr>
          <w:p>
            <w:pPr>
              <w:jc w:val="center"/>
              <w:ind w:left="452"/>
              <w:spacing w:after="0" w:line="192" w:lineRule="exact"/>
              <w:rPr>
                <w:sz w:val="20"/>
                <w:szCs w:val="20"/>
                <w:color w:val="auto"/>
              </w:rPr>
            </w:pPr>
            <w:r>
              <w:rPr>
                <w:rFonts w:ascii="Times New Roman" w:cs="Times New Roman" w:eastAsia="Times New Roman" w:hAnsi="Times New Roman"/>
                <w:sz w:val="18"/>
                <w:szCs w:val="18"/>
                <w:i w:val="1"/>
                <w:iCs w:val="1"/>
                <w:color w:val="auto"/>
                <w:w w:val="97"/>
              </w:rPr>
              <w:t>(Unaudited)</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2"/>
        </w:trPr>
        <w:tc>
          <w:tcPr>
            <w:tcW w:w="8640" w:type="dxa"/>
            <w:vAlign w:val="bottom"/>
          </w:tcPr>
          <w:p>
            <w:pPr>
              <w:spacing w:after="0"/>
              <w:rPr>
                <w:sz w:val="18"/>
                <w:szCs w:val="18"/>
                <w:color w:val="auto"/>
              </w:rPr>
            </w:pPr>
          </w:p>
        </w:tc>
        <w:tc>
          <w:tcPr>
            <w:tcW w:w="2600" w:type="dxa"/>
            <w:vAlign w:val="bottom"/>
            <w:gridSpan w:val="6"/>
          </w:tcPr>
          <w:p>
            <w:pPr>
              <w:spacing w:after="0"/>
              <w:rPr>
                <w:sz w:val="20"/>
                <w:szCs w:val="20"/>
                <w:color w:val="auto"/>
              </w:rPr>
            </w:pPr>
            <w:r>
              <w:rPr>
                <w:rFonts w:ascii="Times New Roman" w:cs="Times New Roman" w:eastAsia="Times New Roman" w:hAnsi="Times New Roman"/>
                <w:sz w:val="18"/>
                <w:szCs w:val="18"/>
                <w:i w:val="1"/>
                <w:iCs w:val="1"/>
                <w:color w:val="auto"/>
                <w:w w:val="99"/>
              </w:rPr>
              <w:t>(In thousands, except share and per</w:t>
            </w:r>
          </w:p>
        </w:tc>
      </w:tr>
      <w:tr>
        <w:trPr>
          <w:trHeight w:val="233"/>
        </w:trPr>
        <w:tc>
          <w:tcPr>
            <w:tcW w:w="8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3"/>
          </w:tcPr>
          <w:p>
            <w:pPr>
              <w:jc w:val="center"/>
              <w:ind w:left="452"/>
              <w:spacing w:after="0"/>
              <w:rPr>
                <w:sz w:val="20"/>
                <w:szCs w:val="20"/>
                <w:color w:val="auto"/>
              </w:rPr>
            </w:pPr>
            <w:r>
              <w:rPr>
                <w:rFonts w:ascii="Times New Roman" w:cs="Times New Roman" w:eastAsia="Times New Roman" w:hAnsi="Times New Roman"/>
                <w:sz w:val="18"/>
                <w:szCs w:val="18"/>
                <w:i w:val="1"/>
                <w:iCs w:val="1"/>
                <w:color w:val="auto"/>
                <w:w w:val="99"/>
              </w:rPr>
              <w:t>share data)</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2"/>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152,191</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74,256</w:t>
            </w:r>
          </w:p>
        </w:tc>
      </w:tr>
      <w:tr>
        <w:trPr>
          <w:trHeight w:val="219"/>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73,070</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34,270</w:t>
            </w:r>
          </w:p>
        </w:tc>
      </w:tr>
      <w:tr>
        <w:trPr>
          <w:trHeight w:val="219"/>
        </w:trPr>
        <w:tc>
          <w:tcPr>
            <w:tcW w:w="86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79,121</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2"/>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8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9,337</w:t>
            </w:r>
          </w:p>
        </w:tc>
      </w:tr>
      <w:tr>
        <w:trPr>
          <w:trHeight w:val="212"/>
        </w:trPr>
        <w:tc>
          <w:tcPr>
            <w:tcW w:w="8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14,029</w:t>
            </w:r>
          </w:p>
        </w:tc>
      </w:tr>
      <w:tr>
        <w:trPr>
          <w:trHeight w:val="219"/>
        </w:trPr>
        <w:tc>
          <w:tcPr>
            <w:tcW w:w="8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15,798</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86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53,889</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31,124</w:t>
            </w:r>
          </w:p>
        </w:tc>
      </w:tr>
      <w:tr>
        <w:trPr>
          <w:trHeight w:val="212"/>
        </w:trPr>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25,232</w:t>
            </w: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8,862</w:t>
            </w:r>
          </w:p>
        </w:tc>
        <w:tc>
          <w:tcPr>
            <w:tcW w:w="100" w:type="dxa"/>
            <w:vAlign w:val="bottom"/>
            <w:shd w:val="clear" w:color="auto" w:fill="CCEEFF"/>
          </w:tcPr>
          <w:p>
            <w:pPr>
              <w:spacing w:after="0"/>
              <w:rPr>
                <w:sz w:val="18"/>
                <w:szCs w:val="18"/>
                <w:color w:val="auto"/>
              </w:rPr>
            </w:pPr>
          </w:p>
        </w:tc>
      </w:tr>
      <w:tr>
        <w:trPr>
          <w:trHeight w:val="212"/>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1,785</w:t>
            </w:r>
          </w:p>
        </w:tc>
      </w:tr>
      <w:tr>
        <w:trPr>
          <w:trHeight w:val="212"/>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(783)</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(695)</w:t>
            </w:r>
          </w:p>
        </w:tc>
      </w:tr>
      <w:tr>
        <w:trPr>
          <w:trHeight w:val="212"/>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Realized gain from sale of short-term investments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3,994</w:t>
            </w:r>
          </w:p>
        </w:tc>
      </w:tr>
      <w:tr>
        <w:trPr>
          <w:trHeight w:val="212"/>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 on short-term investments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(2,595)</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(654)</w:t>
            </w:r>
          </w:p>
        </w:tc>
      </w:tr>
      <w:tr>
        <w:trPr>
          <w:trHeight w:val="212"/>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(1,418)</w:t>
            </w:r>
          </w:p>
        </w:tc>
      </w:tr>
      <w:tr>
        <w:trPr>
          <w:trHeight w:val="219"/>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equity method investments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(520)</w:t>
            </w: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r>
      <w:tr>
        <w:trPr>
          <w:trHeight w:val="212"/>
        </w:trPr>
        <w:tc>
          <w:tcPr>
            <w:tcW w:w="8640" w:type="dxa"/>
            <w:vAlign w:val="bottom"/>
            <w:tcBorders>
              <w:top w:val="single" w:sz="8" w:color="CCEEFF"/>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26,461</w:t>
            </w: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11,842</w:t>
            </w:r>
          </w:p>
        </w:tc>
        <w:tc>
          <w:tcPr>
            <w:tcW w:w="100" w:type="dxa"/>
            <w:vAlign w:val="bottom"/>
            <w:tcBorders>
              <w:top w:val="single" w:sz="8" w:color="CCEEFF"/>
            </w:tcBorders>
          </w:tcPr>
          <w:p>
            <w:pPr>
              <w:spacing w:after="0"/>
              <w:rPr>
                <w:sz w:val="18"/>
                <w:szCs w:val="18"/>
                <w:color w:val="auto"/>
              </w:rPr>
            </w:pPr>
          </w:p>
        </w:tc>
      </w:tr>
      <w:tr>
        <w:trPr>
          <w:trHeight w:val="219"/>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(4,369)</w:t>
            </w: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(2,879)</w:t>
            </w:r>
          </w:p>
        </w:tc>
      </w:tr>
      <w:tr>
        <w:trPr>
          <w:trHeight w:val="212"/>
        </w:trPr>
        <w:tc>
          <w:tcPr>
            <w:tcW w:w="8640" w:type="dxa"/>
            <w:vAlign w:val="bottom"/>
            <w:tcBorders>
              <w:top w:val="single" w:sz="8" w:color="CCEEFF"/>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22,092</w:t>
            </w: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8,963</w:t>
            </w:r>
          </w:p>
        </w:tc>
        <w:tc>
          <w:tcPr>
            <w:tcW w:w="100" w:type="dxa"/>
            <w:vAlign w:val="bottom"/>
            <w:tcBorders>
              <w:top w:val="single" w:sz="8" w:color="CCEEFF"/>
            </w:tcBorders>
          </w:tcPr>
          <w:p>
            <w:pPr>
              <w:spacing w:after="0"/>
              <w:rPr>
                <w:sz w:val="18"/>
                <w:szCs w:val="18"/>
                <w:color w:val="auto"/>
              </w:rPr>
            </w:pPr>
          </w:p>
        </w:tc>
      </w:tr>
      <w:tr>
        <w:trPr>
          <w:trHeight w:val="219"/>
        </w:trPr>
        <w:tc>
          <w:tcPr>
            <w:tcW w:w="8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4,659</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2"/>
        </w:trPr>
        <w:tc>
          <w:tcPr>
            <w:tcW w:w="86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Net income attributable to ACM Research, Inc.</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17,433</w:t>
            </w:r>
          </w:p>
        </w:tc>
        <w:tc>
          <w:tcPr>
            <w:tcW w:w="220" w:type="dxa"/>
            <w:vAlign w:val="bottom"/>
          </w:tcPr>
          <w:p>
            <w:pPr>
              <w:spacing w:after="0"/>
              <w:rPr>
                <w:sz w:val="18"/>
                <w:szCs w:val="18"/>
                <w:color w:val="auto"/>
              </w:rPr>
            </w:pPr>
          </w:p>
        </w:tc>
        <w:tc>
          <w:tcPr>
            <w:tcW w:w="360" w:type="dxa"/>
            <w:vAlign w:val="bottom"/>
          </w:tcPr>
          <w:p>
            <w:pPr>
              <w:jc w:val="right"/>
              <w:ind w:right="19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7,145</w:t>
            </w:r>
          </w:p>
        </w:tc>
      </w:tr>
      <w:tr>
        <w:trPr>
          <w:trHeight w:val="20"/>
        </w:trPr>
        <w:tc>
          <w:tcPr>
            <w:tcW w:w="8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5"/>
        </w:trPr>
        <w:tc>
          <w:tcPr>
            <w:tcW w:w="864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Comprehensive income (loss):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8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8,963</w:t>
            </w:r>
          </w:p>
        </w:tc>
      </w:tr>
      <w:tr>
        <w:trPr>
          <w:trHeight w:val="219"/>
        </w:trPr>
        <w:tc>
          <w:tcPr>
            <w:tcW w:w="8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adjustment, net of tax</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(6,829)</w:t>
            </w: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9,423</w:t>
            </w:r>
          </w:p>
        </w:tc>
      </w:tr>
      <w:tr>
        <w:trPr>
          <w:trHeight w:val="212"/>
        </w:trPr>
        <w:tc>
          <w:tcPr>
            <w:tcW w:w="8640" w:type="dxa"/>
            <w:vAlign w:val="bottom"/>
            <w:tcBorders>
              <w:top w:val="single" w:sz="8" w:color="CCEEFF"/>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15,263</w:t>
            </w: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18,386</w:t>
            </w:r>
          </w:p>
        </w:tc>
        <w:tc>
          <w:tcPr>
            <w:tcW w:w="100" w:type="dxa"/>
            <w:vAlign w:val="bottom"/>
            <w:tcBorders>
              <w:top w:val="single" w:sz="8" w:color="CCEEFF"/>
            </w:tcBorders>
          </w:tcPr>
          <w:p>
            <w:pPr>
              <w:spacing w:after="0"/>
              <w:rPr>
                <w:sz w:val="18"/>
                <w:szCs w:val="18"/>
                <w:color w:val="auto"/>
              </w:rPr>
            </w:pPr>
          </w:p>
        </w:tc>
      </w:tr>
      <w:tr>
        <w:trPr>
          <w:trHeight w:val="219"/>
        </w:trPr>
        <w:tc>
          <w:tcPr>
            <w:tcW w:w="8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2"/>
        </w:trPr>
        <w:tc>
          <w:tcPr>
            <w:tcW w:w="86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ACM Research, Inc.</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11,857</w:t>
            </w:r>
          </w:p>
        </w:tc>
        <w:tc>
          <w:tcPr>
            <w:tcW w:w="220" w:type="dxa"/>
            <w:vAlign w:val="bottom"/>
          </w:tcPr>
          <w:p>
            <w:pPr>
              <w:spacing w:after="0"/>
              <w:rPr>
                <w:sz w:val="18"/>
                <w:szCs w:val="18"/>
                <w:color w:val="auto"/>
              </w:rPr>
            </w:pPr>
          </w:p>
        </w:tc>
        <w:tc>
          <w:tcPr>
            <w:tcW w:w="360" w:type="dxa"/>
            <w:vAlign w:val="bottom"/>
          </w:tcPr>
          <w:p>
            <w:pPr>
              <w:jc w:val="right"/>
              <w:ind w:right="19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14,924</w:t>
            </w:r>
          </w:p>
        </w:tc>
      </w:tr>
      <w:tr>
        <w:trPr>
          <w:trHeight w:val="20"/>
        </w:trPr>
        <w:tc>
          <w:tcPr>
            <w:tcW w:w="8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5"/>
        </w:trPr>
        <w:tc>
          <w:tcPr>
            <w:tcW w:w="8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ACM Research, Inc. per common share: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2"/>
        </w:trPr>
        <w:tc>
          <w:tcPr>
            <w:tcW w:w="8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5"/>
        </w:trPr>
        <w:tc>
          <w:tcPr>
            <w:tcW w:w="8640" w:type="dxa"/>
            <w:vAlign w:val="bottom"/>
          </w:tcPr>
          <w:p>
            <w:pPr>
              <w:ind w:left="160"/>
              <w:spacing w:after="0" w:line="206" w:lineRule="exact"/>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0.26</w:t>
            </w:r>
          </w:p>
        </w:tc>
        <w:tc>
          <w:tcPr>
            <w:tcW w:w="220" w:type="dxa"/>
            <w:vAlign w:val="bottom"/>
          </w:tcPr>
          <w:p>
            <w:pPr>
              <w:spacing w:after="0"/>
              <w:rPr>
                <w:sz w:val="17"/>
                <w:szCs w:val="17"/>
                <w:color w:val="auto"/>
              </w:rPr>
            </w:pPr>
          </w:p>
        </w:tc>
        <w:tc>
          <w:tcPr>
            <w:tcW w:w="360" w:type="dxa"/>
            <w:vAlign w:val="bottom"/>
          </w:tcPr>
          <w:p>
            <w:pPr>
              <w:jc w:val="right"/>
              <w:ind w:right="19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0.11</w:t>
            </w:r>
          </w:p>
        </w:tc>
      </w:tr>
      <w:tr>
        <w:trPr>
          <w:trHeight w:val="20"/>
        </w:trPr>
        <w:tc>
          <w:tcPr>
            <w:tcW w:w="8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5"/>
        </w:trPr>
        <w:tc>
          <w:tcPr>
            <w:tcW w:w="8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bl>
    <w:p>
      <w:pPr>
        <w:spacing w:after="0"/>
        <w:rPr>
          <w:sz w:val="20"/>
          <w:szCs w:val="20"/>
          <w:color w:val="auto"/>
        </w:rPr>
      </w:pPr>
      <w:r>
        <w:rPr>
          <w:rFonts w:ascii="Times New Roman" w:cs="Times New Roman" w:eastAsia="Times New Roman" w:hAnsi="Times New Roman"/>
          <w:sz w:val="18"/>
          <w:szCs w:val="18"/>
          <w:color w:val="auto"/>
        </w:rPr>
        <w:t>Weighted average common shares outstanding used in computing per share amounts: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55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61,367,184</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59,736,764</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shd w:val="clear" w:color="auto" w:fill="CCEEFF"/>
          </w:tcPr>
          <w:p>
            <w:pPr>
              <w:spacing w:after="0" w:line="20" w:lineRule="exact"/>
              <w:rPr>
                <w:sz w:val="1"/>
                <w:szCs w:val="1"/>
                <w:color w:val="auto"/>
              </w:rPr>
            </w:pPr>
          </w:p>
        </w:tc>
        <w:tc>
          <w:tcPr>
            <w:tcW w:w="55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100" w:type="dxa"/>
            <w:vAlign w:val="bottom"/>
          </w:tcPr>
          <w:p>
            <w:pPr>
              <w:ind w:left="160"/>
              <w:spacing w:after="0" w:line="206" w:lineRule="exact"/>
              <w:rPr>
                <w:sz w:val="20"/>
                <w:szCs w:val="20"/>
                <w:color w:val="auto"/>
              </w:rPr>
            </w:pPr>
            <w:r>
              <w:rPr>
                <w:rFonts w:ascii="Times New Roman" w:cs="Times New Roman" w:eastAsia="Times New Roman" w:hAnsi="Times New Roman"/>
                <w:sz w:val="18"/>
                <w:szCs w:val="18"/>
                <w:color w:val="auto"/>
              </w:rPr>
              <w:t>Diluted</w:t>
            </w:r>
          </w:p>
        </w:tc>
        <w:tc>
          <w:tcPr>
            <w:tcW w:w="5540" w:type="dxa"/>
            <w:vAlign w:val="bottom"/>
          </w:tcPr>
          <w:p>
            <w:pPr>
              <w:spacing w:after="0"/>
              <w:rPr>
                <w:sz w:val="17"/>
                <w:szCs w:val="17"/>
                <w:color w:val="auto"/>
              </w:rPr>
            </w:pPr>
          </w:p>
        </w:tc>
        <w:tc>
          <w:tcPr>
            <w:tcW w:w="1360" w:type="dxa"/>
            <w:vAlign w:val="bottom"/>
            <w:gridSpan w:val="2"/>
          </w:tcPr>
          <w:p>
            <w:pPr>
              <w:jc w:val="right"/>
              <w:ind w:right="220"/>
              <w:spacing w:after="0" w:line="206" w:lineRule="exact"/>
              <w:rPr>
                <w:sz w:val="20"/>
                <w:szCs w:val="20"/>
                <w:color w:val="auto"/>
              </w:rPr>
            </w:pPr>
            <w:r>
              <w:rPr>
                <w:rFonts w:ascii="Times New Roman" w:cs="Times New Roman" w:eastAsia="Times New Roman" w:hAnsi="Times New Roman"/>
                <w:sz w:val="18"/>
                <w:szCs w:val="18"/>
                <w:color w:val="auto"/>
              </w:rPr>
              <w:t>66,242,321</w:t>
            </w:r>
          </w:p>
        </w:tc>
        <w:tc>
          <w:tcPr>
            <w:tcW w:w="1240" w:type="dxa"/>
            <w:vAlign w:val="bottom"/>
            <w:gridSpan w:val="2"/>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65,058,777</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5540" w:type="dxa"/>
            <w:vAlign w:val="bottom"/>
            <w:vMerge w:val="restart"/>
          </w:tcPr>
          <w:p>
            <w:pPr>
              <w:jc w:val="right"/>
              <w:ind w:right="2829"/>
              <w:spacing w:after="0"/>
              <w:rPr>
                <w:sz w:val="20"/>
                <w:szCs w:val="20"/>
                <w:color w:val="auto"/>
              </w:rPr>
            </w:pPr>
            <w:r>
              <w:rPr>
                <w:rFonts w:ascii="Times New Roman" w:cs="Times New Roman" w:eastAsia="Times New Roman" w:hAnsi="Times New Roman"/>
                <w:sz w:val="14"/>
                <w:szCs w:val="14"/>
                <w:color w:val="auto"/>
              </w:rPr>
              <w:t>- 5 -</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9"/>
        </w:trPr>
        <w:tc>
          <w:tcPr>
            <w:tcW w:w="3100" w:type="dxa"/>
            <w:vAlign w:val="bottom"/>
          </w:tcPr>
          <w:p>
            <w:pPr>
              <w:spacing w:after="0"/>
              <w:rPr>
                <w:sz w:val="24"/>
                <w:szCs w:val="24"/>
                <w:color w:val="auto"/>
              </w:rPr>
            </w:pPr>
          </w:p>
        </w:tc>
        <w:tc>
          <w:tcPr>
            <w:tcW w:w="554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100" w:type="dxa"/>
            <w:vAlign w:val="bottom"/>
            <w:tcBorders>
              <w:bottom w:val="single" w:sz="8" w:color="auto"/>
            </w:tcBorders>
          </w:tcPr>
          <w:p>
            <w:pPr>
              <w:spacing w:after="0"/>
              <w:rPr>
                <w:sz w:val="3"/>
                <w:szCs w:val="3"/>
                <w:color w:val="auto"/>
              </w:rPr>
            </w:pPr>
          </w:p>
        </w:tc>
        <w:tc>
          <w:tcPr>
            <w:tcW w:w="55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9" w:right="339" w:bottom="1440" w:gutter="0" w:footer="0" w:header="0"/>
        </w:sectPr>
      </w:pPr>
    </w:p>
    <w:bookmarkStart w:id="8" w:name="page9"/>
    <w:bookmarkEnd w:id="8"/>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Total Revenue by Product Category and by Region</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6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Three Months Ended March 31,</w:t>
            </w:r>
          </w:p>
        </w:tc>
      </w:tr>
      <w:tr>
        <w:trPr>
          <w:trHeight w:val="431"/>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20" w:type="dxa"/>
            <w:vAlign w:val="bottom"/>
          </w:tcPr>
          <w:p>
            <w:pPr>
              <w:spacing w:after="0"/>
              <w:rPr>
                <w:sz w:val="24"/>
                <w:szCs w:val="24"/>
                <w:color w:val="auto"/>
              </w:rPr>
            </w:pPr>
          </w:p>
        </w:tc>
      </w:tr>
      <w:tr>
        <w:trPr>
          <w:trHeight w:val="192"/>
        </w:trPr>
        <w:tc>
          <w:tcPr>
            <w:tcW w:w="2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gridSpan w:val="2"/>
          </w:tcPr>
          <w:p>
            <w:pPr>
              <w:jc w:val="center"/>
              <w:ind w:left="592"/>
              <w:spacing w:after="0" w:line="192" w:lineRule="exact"/>
              <w:rPr>
                <w:sz w:val="20"/>
                <w:szCs w:val="20"/>
                <w:color w:val="auto"/>
              </w:rPr>
            </w:pPr>
            <w:r>
              <w:rPr>
                <w:rFonts w:ascii="Times New Roman" w:cs="Times New Roman" w:eastAsia="Times New Roman" w:hAnsi="Times New Roman"/>
                <w:sz w:val="18"/>
                <w:szCs w:val="18"/>
                <w:i w:val="1"/>
                <w:iCs w:val="1"/>
                <w:color w:val="auto"/>
                <w:w w:val="97"/>
              </w:rPr>
              <w:t>(Unaudited)</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3"/>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gridSpan w:val="2"/>
          </w:tcPr>
          <w:p>
            <w:pPr>
              <w:jc w:val="center"/>
              <w:ind w:left="592"/>
              <w:spacing w:after="0"/>
              <w:rPr>
                <w:sz w:val="20"/>
                <w:szCs w:val="20"/>
                <w:color w:val="auto"/>
              </w:rPr>
            </w:pPr>
            <w:r>
              <w:rPr>
                <w:rFonts w:ascii="Times New Roman" w:cs="Times New Roman" w:eastAsia="Times New Roman" w:hAnsi="Times New Roman"/>
                <w:sz w:val="18"/>
                <w:szCs w:val="18"/>
                <w:i w:val="1"/>
                <w:iCs w:val="1"/>
                <w:color w:val="auto"/>
                <w:w w:val="97"/>
              </w:rPr>
              <w:t>($ in thousands)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2"/>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Single wafer cleaning, Tahoe and semi-critical cleaning equipment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109,470</w:t>
            </w:r>
          </w:p>
        </w:tc>
        <w:tc>
          <w:tcPr>
            <w:tcW w:w="5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36,614</w:t>
            </w:r>
          </w:p>
        </w:tc>
      </w:tr>
      <w:tr>
        <w:trPr>
          <w:trHeight w:val="212"/>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ECP (front-end and packaging), furnace and other technologies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25,800</w:t>
            </w:r>
          </w:p>
        </w:tc>
        <w:tc>
          <w:tcPr>
            <w:tcW w:w="5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26,598</w:t>
            </w:r>
          </w:p>
        </w:tc>
      </w:tr>
      <w:tr>
        <w:trPr>
          <w:trHeight w:val="219"/>
        </w:trPr>
        <w:tc>
          <w:tcPr>
            <w:tcW w:w="20" w:type="dxa"/>
            <w:vAlign w:val="bottom"/>
          </w:tcPr>
          <w:p>
            <w:pPr>
              <w:spacing w:after="0"/>
              <w:rPr>
                <w:sz w:val="19"/>
                <w:szCs w:val="19"/>
                <w:color w:val="auto"/>
              </w:rPr>
            </w:pPr>
          </w:p>
        </w:tc>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Advanced packaging (excluding ECP), services &amp; spares</w:t>
            </w:r>
          </w:p>
        </w:tc>
        <w:tc>
          <w:tcPr>
            <w:tcW w:w="6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16,921</w:t>
            </w:r>
          </w:p>
        </w:tc>
        <w:tc>
          <w:tcPr>
            <w:tcW w:w="5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11,044</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 by Product Category</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152,191</w:t>
            </w:r>
          </w:p>
        </w:tc>
        <w:tc>
          <w:tcPr>
            <w:tcW w:w="58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74,256</w:t>
            </w: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4"/>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12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Mainland China</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152,135</w:t>
            </w:r>
          </w:p>
        </w:tc>
        <w:tc>
          <w:tcPr>
            <w:tcW w:w="5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72,458</w:t>
            </w:r>
          </w:p>
        </w:tc>
        <w:tc>
          <w:tcPr>
            <w:tcW w:w="12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Other Regions</w:t>
            </w: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56</w:t>
            </w:r>
          </w:p>
        </w:tc>
        <w:tc>
          <w:tcPr>
            <w:tcW w:w="5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120" w:type="dxa"/>
            <w:vAlign w:val="bottom"/>
          </w:tcPr>
          <w:p>
            <w:pPr>
              <w:spacing w:after="0"/>
              <w:rPr>
                <w:sz w:val="19"/>
                <w:szCs w:val="19"/>
                <w:color w:val="auto"/>
              </w:rPr>
            </w:pPr>
          </w:p>
        </w:tc>
      </w:tr>
      <w:tr>
        <w:trPr>
          <w:trHeight w:val="252"/>
        </w:trPr>
        <w:tc>
          <w:tcPr>
            <w:tcW w:w="20" w:type="dxa"/>
            <w:vAlign w:val="bottom"/>
          </w:tcPr>
          <w:p>
            <w:pPr>
              <w:spacing w:after="0"/>
              <w:rPr>
                <w:sz w:val="21"/>
                <w:szCs w:val="21"/>
                <w:color w:val="auto"/>
              </w:rPr>
            </w:pPr>
          </w:p>
        </w:tc>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 by Region</w:t>
            </w: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152,191</w:t>
            </w:r>
          </w:p>
        </w:tc>
        <w:tc>
          <w:tcPr>
            <w:tcW w:w="58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74,256</w:t>
            </w:r>
          </w:p>
        </w:tc>
        <w:tc>
          <w:tcPr>
            <w:tcW w:w="120" w:type="dxa"/>
            <w:vAlign w:val="bottom"/>
            <w:tcBorders>
              <w:bottom w:val="single" w:sz="8" w:color="CCEEFF"/>
            </w:tcBorders>
            <w:shd w:val="clear" w:color="auto" w:fill="CCEEFF"/>
          </w:tcPr>
          <w:p>
            <w:pPr>
              <w:spacing w:after="0"/>
              <w:rPr>
                <w:sz w:val="21"/>
                <w:szCs w:val="21"/>
                <w:color w:val="auto"/>
              </w:rPr>
            </w:pPr>
          </w:p>
        </w:tc>
      </w:tr>
    </w:tbl>
    <w:p>
      <w:pPr>
        <w:spacing w:after="0" w:line="19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Measures</w:t>
      </w:r>
    </w:p>
    <w:p>
      <w:pPr>
        <w:spacing w:after="0" w:line="198" w:lineRule="exact"/>
        <w:rPr>
          <w:sz w:val="20"/>
          <w:szCs w:val="20"/>
          <w:color w:val="auto"/>
        </w:rPr>
      </w:pPr>
    </w:p>
    <w:p>
      <w:pPr>
        <w:ind w:right="340"/>
        <w:spacing w:after="0" w:line="251" w:lineRule="auto"/>
        <w:rPr>
          <w:sz w:val="20"/>
          <w:szCs w:val="20"/>
          <w:color w:val="auto"/>
        </w:rPr>
      </w:pPr>
      <w:r>
        <w:rPr>
          <w:rFonts w:ascii="Times New Roman" w:cs="Times New Roman" w:eastAsia="Times New Roman" w:hAnsi="Times New Roman"/>
          <w:sz w:val="18"/>
          <w:szCs w:val="18"/>
          <w:color w:val="auto"/>
        </w:rPr>
        <w:t>As described under “Use of Non-GAAP Financial Measures” above, ACM presents non-GAAP gross margin, operating expenses, operating income, net income attributable to ACM Research, Inc., and basic and diluted earnings per share as supplemental measures to GAAP financial measures, each of which excludes stock-based compensation (“SBC”) from the equivalent GAAP financial line items. In addition, non-GAAP net income attributable to ACM Research, Inc., and basic and diluted earnings per share exclude unrealized loss on short-term investments. The following tables reconcile gross margin, operating expenses, operating income, net income attributable to ACM Research, Inc., and basic and diluted earnings per share to the related non-GAAP financial measures: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7"/>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8"/>
        </w:trPr>
        <w:tc>
          <w:tcPr>
            <w:tcW w:w="4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94"/>
              </w:rPr>
              <w:t>Actual</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Other non-</w:t>
            </w: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Adjusted</w:t>
            </w:r>
          </w:p>
        </w:tc>
        <w:tc>
          <w:tcPr>
            <w:tcW w:w="88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Other non-</w:t>
            </w: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4"/>
              </w:rPr>
              <w:t>Adjusted</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SBC</w:t>
            </w:r>
          </w:p>
        </w:tc>
        <w:tc>
          <w:tcPr>
            <w:tcW w:w="120" w:type="dxa"/>
            <w:vAlign w:val="bottom"/>
          </w:tcPr>
          <w:p>
            <w:pPr>
              <w:spacing w:after="0"/>
              <w:rPr>
                <w:sz w:val="18"/>
                <w:szCs w:val="18"/>
                <w:color w:val="auto"/>
              </w:rPr>
            </w:pP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97"/>
              </w:rPr>
              <w:t>operating</w:t>
            </w:r>
          </w:p>
        </w:tc>
        <w:tc>
          <w:tcPr>
            <w:tcW w:w="160" w:type="dxa"/>
            <w:vAlign w:val="bottom"/>
          </w:tcPr>
          <w:p>
            <w:pPr>
              <w:spacing w:after="0"/>
              <w:rPr>
                <w:sz w:val="18"/>
                <w:szCs w:val="18"/>
                <w:color w:val="auto"/>
              </w:rPr>
            </w:pPr>
          </w:p>
        </w:tc>
        <w:tc>
          <w:tcPr>
            <w:tcW w:w="780" w:type="dxa"/>
            <w:vAlign w:val="bottom"/>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w w:val="96"/>
              </w:rPr>
              <w:t>SBC</w:t>
            </w:r>
          </w:p>
        </w:tc>
        <w:tc>
          <w:tcPr>
            <w:tcW w:w="120" w:type="dxa"/>
            <w:vAlign w:val="bottom"/>
          </w:tcPr>
          <w:p>
            <w:pPr>
              <w:spacing w:after="0"/>
              <w:rPr>
                <w:sz w:val="18"/>
                <w:szCs w:val="18"/>
                <w:color w:val="auto"/>
              </w:rPr>
            </w:pPr>
          </w:p>
        </w:tc>
        <w:tc>
          <w:tcPr>
            <w:tcW w:w="900" w:type="dxa"/>
            <w:vAlign w:val="bottom"/>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7"/>
              </w:rPr>
              <w:t>operating</w:t>
            </w:r>
          </w:p>
        </w:tc>
        <w:tc>
          <w:tcPr>
            <w:tcW w:w="140" w:type="dxa"/>
            <w:vAlign w:val="bottom"/>
          </w:tcPr>
          <w:p>
            <w:pPr>
              <w:spacing w:after="0"/>
              <w:rPr>
                <w:sz w:val="18"/>
                <w:szCs w:val="18"/>
                <w:color w:val="auto"/>
              </w:rPr>
            </w:pPr>
          </w:p>
        </w:tc>
        <w:tc>
          <w:tcPr>
            <w:tcW w:w="740" w:type="dxa"/>
            <w:vAlign w:val="bottom"/>
            <w:gridSpan w:val="4"/>
            <w:vMerge w:val="restart"/>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0" w:type="dxa"/>
            <w:vAlign w:val="bottom"/>
          </w:tcPr>
          <w:p>
            <w:pPr>
              <w:spacing w:after="0"/>
              <w:rPr>
                <w:sz w:val="1"/>
                <w:szCs w:val="1"/>
                <w:color w:val="auto"/>
              </w:rPr>
            </w:pPr>
          </w:p>
        </w:tc>
      </w:tr>
      <w:tr>
        <w:trPr>
          <w:trHeight w:val="106"/>
        </w:trPr>
        <w:tc>
          <w:tcPr>
            <w:tcW w:w="4060" w:type="dxa"/>
            <w:vAlign w:val="bottom"/>
          </w:tcPr>
          <w:p>
            <w:pPr>
              <w:spacing w:after="0"/>
              <w:rPr>
                <w:sz w:val="9"/>
                <w:szCs w:val="9"/>
                <w:color w:val="auto"/>
              </w:rPr>
            </w:pPr>
          </w:p>
        </w:tc>
        <w:tc>
          <w:tcPr>
            <w:tcW w:w="860" w:type="dxa"/>
            <w:vAlign w:val="bottom"/>
            <w:gridSpan w:val="2"/>
            <w:vMerge w:val="restart"/>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(GAAP)</w:t>
            </w: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adjustments</w:t>
            </w:r>
          </w:p>
        </w:tc>
        <w:tc>
          <w:tcPr>
            <w:tcW w:w="140" w:type="dxa"/>
            <w:vAlign w:val="bottom"/>
          </w:tcPr>
          <w:p>
            <w:pPr>
              <w:spacing w:after="0"/>
              <w:rPr>
                <w:sz w:val="9"/>
                <w:szCs w:val="9"/>
                <w:color w:val="auto"/>
              </w:rPr>
            </w:pPr>
          </w:p>
        </w:tc>
        <w:tc>
          <w:tcPr>
            <w:tcW w:w="7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4060" w:type="dxa"/>
            <w:vAlign w:val="bottom"/>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94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GAAP)</w:t>
            </w:r>
          </w:p>
        </w:tc>
        <w:tc>
          <w:tcPr>
            <w:tcW w:w="8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88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GAAP)</w:t>
            </w:r>
          </w:p>
        </w:tc>
        <w:tc>
          <w:tcPr>
            <w:tcW w:w="0" w:type="dxa"/>
            <w:vAlign w:val="bottom"/>
          </w:tcPr>
          <w:p>
            <w:pPr>
              <w:spacing w:after="0"/>
              <w:rPr>
                <w:sz w:val="1"/>
                <w:szCs w:val="1"/>
                <w:color w:val="auto"/>
              </w:rPr>
            </w:pPr>
          </w:p>
        </w:tc>
      </w:tr>
      <w:tr>
        <w:trPr>
          <w:trHeight w:val="234"/>
        </w:trPr>
        <w:tc>
          <w:tcPr>
            <w:tcW w:w="40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gridSpan w:val="3"/>
          </w:tcPr>
          <w:p>
            <w:pPr>
              <w:jc w:val="right"/>
              <w:ind w:right="432"/>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95"/>
              </w:rPr>
              <w:t>152,191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95"/>
              </w:rPr>
              <w:t>152,191</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74,256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74,256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(73,070)</w:t>
            </w:r>
          </w:p>
        </w:tc>
        <w:tc>
          <w:tcPr>
            <w:tcW w:w="140" w:type="dxa"/>
            <w:vAlign w:val="bottom"/>
          </w:tcPr>
          <w:p>
            <w:pPr>
              <w:spacing w:after="0"/>
              <w:rPr>
                <w:sz w:val="19"/>
                <w:szCs w:val="19"/>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(781)</w:t>
            </w:r>
          </w:p>
        </w:tc>
        <w:tc>
          <w:tcPr>
            <w:tcW w:w="12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(72,289)</w:t>
            </w:r>
          </w:p>
        </w:tc>
        <w:tc>
          <w:tcPr>
            <w:tcW w:w="140" w:type="dxa"/>
            <w:vAlign w:val="bottom"/>
          </w:tcPr>
          <w:p>
            <w:pPr>
              <w:spacing w:after="0"/>
              <w:rPr>
                <w:sz w:val="19"/>
                <w:szCs w:val="19"/>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7"/>
              </w:rPr>
              <w:t>(34,270)</w:t>
            </w:r>
          </w:p>
        </w:tc>
        <w:tc>
          <w:tcPr>
            <w:tcW w:w="120" w:type="dxa"/>
            <w:vAlign w:val="bottom"/>
          </w:tcPr>
          <w:p>
            <w:pPr>
              <w:spacing w:after="0"/>
              <w:rPr>
                <w:sz w:val="19"/>
                <w:szCs w:val="19"/>
                <w:color w:val="auto"/>
              </w:rPr>
            </w:pPr>
          </w:p>
        </w:tc>
        <w:tc>
          <w:tcPr>
            <w:tcW w:w="6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(34,145)</w:t>
            </w:r>
          </w:p>
        </w:tc>
        <w:tc>
          <w:tcPr>
            <w:tcW w:w="0" w:type="dxa"/>
            <w:vAlign w:val="bottom"/>
          </w:tcPr>
          <w:p>
            <w:pPr>
              <w:spacing w:after="0"/>
              <w:rPr>
                <w:sz w:val="1"/>
                <w:szCs w:val="1"/>
                <w:color w:val="auto"/>
              </w:rPr>
            </w:pPr>
          </w:p>
        </w:tc>
      </w:tr>
      <w:tr>
        <w:trPr>
          <w:trHeight w:val="212"/>
        </w:trPr>
        <w:tc>
          <w:tcPr>
            <w:tcW w:w="4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79,121</w:t>
            </w: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(781)</w:t>
            </w: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79,902</w:t>
            </w: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39,986</w:t>
            </w: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40,111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tcPr>
          <w:p>
            <w:pPr>
              <w:ind w:left="48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52.0%</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0.5%</w:t>
            </w:r>
          </w:p>
        </w:tc>
        <w:tc>
          <w:tcPr>
            <w:tcW w:w="12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i w:val="1"/>
                <w:iCs w:val="1"/>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52.5%</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53.8%</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0.2%</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4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i w:val="1"/>
                <w:iCs w:val="1"/>
                <w:color w:val="auto"/>
              </w:rPr>
              <w:t>54.0%</w:t>
            </w:r>
          </w:p>
        </w:tc>
        <w:tc>
          <w:tcPr>
            <w:tcW w:w="0" w:type="dxa"/>
            <w:vAlign w:val="bottom"/>
          </w:tcPr>
          <w:p>
            <w:pPr>
              <w:spacing w:after="0"/>
              <w:rPr>
                <w:sz w:val="1"/>
                <w:szCs w:val="1"/>
                <w:color w:val="auto"/>
              </w:rPr>
            </w:pPr>
          </w:p>
        </w:tc>
      </w:tr>
      <w:tr>
        <w:trPr>
          <w:trHeight w:val="212"/>
        </w:trPr>
        <w:tc>
          <w:tcPr>
            <w:tcW w:w="4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tcPr>
          <w:p>
            <w:pPr>
              <w:spacing w:after="0"/>
              <w:rPr>
                <w:sz w:val="18"/>
                <w:szCs w:val="18"/>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(14,173)</w:t>
            </w:r>
          </w:p>
        </w:tc>
        <w:tc>
          <w:tcPr>
            <w:tcW w:w="140" w:type="dxa"/>
            <w:vAlign w:val="bottom"/>
          </w:tcPr>
          <w:p>
            <w:pPr>
              <w:spacing w:after="0"/>
              <w:rPr>
                <w:sz w:val="18"/>
                <w:szCs w:val="18"/>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(3,027)</w:t>
            </w:r>
          </w:p>
        </w:tc>
        <w:tc>
          <w:tcPr>
            <w:tcW w:w="12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(11,146)</w:t>
            </w:r>
          </w:p>
        </w:tc>
        <w:tc>
          <w:tcPr>
            <w:tcW w:w="14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(9,337)</w:t>
            </w:r>
          </w:p>
        </w:tc>
        <w:tc>
          <w:tcPr>
            <w:tcW w:w="120" w:type="dxa"/>
            <w:vAlign w:val="bottom"/>
          </w:tcPr>
          <w:p>
            <w:pPr>
              <w:spacing w:after="0"/>
              <w:rPr>
                <w:sz w:val="18"/>
                <w:szCs w:val="18"/>
                <w:color w:val="auto"/>
              </w:rPr>
            </w:pPr>
          </w:p>
        </w:tc>
        <w:tc>
          <w:tcPr>
            <w:tcW w:w="6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(8,906)</w:t>
            </w:r>
          </w:p>
        </w:tc>
        <w:tc>
          <w:tcPr>
            <w:tcW w:w="0" w:type="dxa"/>
            <w:vAlign w:val="bottom"/>
          </w:tcPr>
          <w:p>
            <w:pPr>
              <w:spacing w:after="0"/>
              <w:rPr>
                <w:sz w:val="1"/>
                <w:szCs w:val="1"/>
                <w:color w:val="auto"/>
              </w:rPr>
            </w:pPr>
          </w:p>
        </w:tc>
      </w:tr>
      <w:tr>
        <w:trPr>
          <w:trHeight w:val="212"/>
        </w:trPr>
        <w:tc>
          <w:tcPr>
            <w:tcW w:w="4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(23,918)</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(4,503)</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(19,415)</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97"/>
              </w:rPr>
              <w:t>(14,029)</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(13,328)</w:t>
            </w:r>
          </w:p>
        </w:tc>
        <w:tc>
          <w:tcPr>
            <w:tcW w:w="0" w:type="dxa"/>
            <w:vAlign w:val="bottom"/>
          </w:tcPr>
          <w:p>
            <w:pPr>
              <w:spacing w:after="0"/>
              <w:rPr>
                <w:sz w:val="1"/>
                <w:szCs w:val="1"/>
                <w:color w:val="auto"/>
              </w:rPr>
            </w:pPr>
          </w:p>
        </w:tc>
      </w:tr>
      <w:tr>
        <w:trPr>
          <w:trHeight w:val="219"/>
        </w:trPr>
        <w:tc>
          <w:tcPr>
            <w:tcW w:w="4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(15,798)</w:t>
            </w:r>
          </w:p>
        </w:tc>
        <w:tc>
          <w:tcPr>
            <w:tcW w:w="140" w:type="dxa"/>
            <w:vAlign w:val="bottom"/>
          </w:tcPr>
          <w:p>
            <w:pPr>
              <w:spacing w:after="0"/>
              <w:rPr>
                <w:sz w:val="19"/>
                <w:szCs w:val="19"/>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(6,258)</w:t>
            </w:r>
          </w:p>
        </w:tc>
        <w:tc>
          <w:tcPr>
            <w:tcW w:w="12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(9,540)</w:t>
            </w:r>
          </w:p>
        </w:tc>
        <w:tc>
          <w:tcPr>
            <w:tcW w:w="140" w:type="dxa"/>
            <w:vAlign w:val="bottom"/>
          </w:tcPr>
          <w:p>
            <w:pPr>
              <w:spacing w:after="0"/>
              <w:rPr>
                <w:sz w:val="19"/>
                <w:szCs w:val="19"/>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(7,758)</w:t>
            </w:r>
          </w:p>
        </w:tc>
        <w:tc>
          <w:tcPr>
            <w:tcW w:w="120" w:type="dxa"/>
            <w:vAlign w:val="bottom"/>
          </w:tcPr>
          <w:p>
            <w:pPr>
              <w:spacing w:after="0"/>
              <w:rPr>
                <w:sz w:val="19"/>
                <w:szCs w:val="19"/>
                <w:color w:val="auto"/>
              </w:rPr>
            </w:pPr>
          </w:p>
        </w:tc>
        <w:tc>
          <w:tcPr>
            <w:tcW w:w="6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(811)</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(6,947)</w:t>
            </w:r>
          </w:p>
        </w:tc>
        <w:tc>
          <w:tcPr>
            <w:tcW w:w="0" w:type="dxa"/>
            <w:vAlign w:val="bottom"/>
          </w:tcPr>
          <w:p>
            <w:pPr>
              <w:spacing w:after="0"/>
              <w:rPr>
                <w:sz w:val="1"/>
                <w:szCs w:val="1"/>
                <w:color w:val="auto"/>
              </w:rPr>
            </w:pPr>
          </w:p>
        </w:tc>
      </w:tr>
      <w:tr>
        <w:trPr>
          <w:trHeight w:val="219"/>
        </w:trPr>
        <w:tc>
          <w:tcPr>
            <w:tcW w:w="40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(53,889)</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94"/>
              </w:rPr>
              <w:t>(13,788)</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(40,101)</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97"/>
              </w:rPr>
              <w:t>(31,124)</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98"/>
              </w:rPr>
              <w:t>(1,943)</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(29,181)</w:t>
            </w:r>
          </w:p>
        </w:tc>
        <w:tc>
          <w:tcPr>
            <w:tcW w:w="6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25,232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94"/>
              </w:rPr>
              <w:t>(14,569)</w:t>
            </w:r>
          </w:p>
        </w:tc>
        <w:tc>
          <w:tcPr>
            <w:tcW w:w="12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39,801</w:t>
            </w:r>
          </w:p>
        </w:tc>
        <w:tc>
          <w:tcPr>
            <w:tcW w:w="14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8,862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8"/>
              </w:rPr>
              <w:t>(2,068)</w:t>
            </w:r>
          </w:p>
        </w:tc>
        <w:tc>
          <w:tcPr>
            <w:tcW w:w="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10,930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Unrealized loss on short-term investments</w:t>
            </w: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(2,595)</w:t>
            </w: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(654)</w:t>
            </w: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Net income (loss) attributable to ACM Research, Inc. $</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17,433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w w:val="94"/>
              </w:rPr>
              <w:t>(14,569)</w:t>
            </w:r>
          </w:p>
        </w:tc>
        <w:tc>
          <w:tcPr>
            <w:tcW w:w="12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(2,595)</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34,597</w:t>
            </w:r>
          </w:p>
        </w:tc>
        <w:tc>
          <w:tcPr>
            <w:tcW w:w="14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7,145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8"/>
              </w:rPr>
              <w:t>(2,068)</w:t>
            </w:r>
          </w:p>
        </w:tc>
        <w:tc>
          <w:tcPr>
            <w:tcW w:w="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(654)</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9,867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060" w:type="dxa"/>
            <w:vAlign w:val="bottom"/>
            <w:shd w:val="clear" w:color="auto" w:fill="CCEEFF"/>
          </w:tcPr>
          <w:p>
            <w:pPr>
              <w:ind w:left="320"/>
              <w:spacing w:after="0" w:line="206" w:lineRule="exact"/>
              <w:rPr>
                <w:sz w:val="20"/>
                <w:szCs w:val="20"/>
                <w:color w:val="auto"/>
              </w:rPr>
            </w:pPr>
            <w:r>
              <w:rPr>
                <w:rFonts w:ascii="Times New Roman" w:cs="Times New Roman" w:eastAsia="Times New Roman" w:hAnsi="Times New Roman"/>
                <w:sz w:val="18"/>
                <w:szCs w:val="18"/>
                <w:color w:val="auto"/>
              </w:rPr>
              <w:t>Basic EPS</w:t>
            </w:r>
          </w:p>
        </w:tc>
        <w:tc>
          <w:tcPr>
            <w:tcW w:w="1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92"/>
              <w:spacing w:after="0" w:line="206" w:lineRule="exact"/>
              <w:rPr>
                <w:sz w:val="20"/>
                <w:szCs w:val="20"/>
                <w:color w:val="auto"/>
              </w:rPr>
            </w:pPr>
            <w:r>
              <w:rPr>
                <w:rFonts w:ascii="Times New Roman" w:cs="Times New Roman" w:eastAsia="Times New Roman" w:hAnsi="Times New Roman"/>
                <w:sz w:val="18"/>
                <w:szCs w:val="18"/>
                <w:color w:val="auto"/>
              </w:rPr>
              <w:t>0.28</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ind w:left="60"/>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112"/>
              <w:spacing w:after="0" w:line="206" w:lineRule="exact"/>
              <w:rPr>
                <w:sz w:val="20"/>
                <w:szCs w:val="20"/>
                <w:color w:val="auto"/>
              </w:rPr>
            </w:pPr>
            <w:r>
              <w:rPr>
                <w:rFonts w:ascii="Times New Roman" w:cs="Times New Roman" w:eastAsia="Times New Roman" w:hAnsi="Times New Roman"/>
                <w:sz w:val="18"/>
                <w:szCs w:val="18"/>
                <w:color w:val="auto"/>
              </w:rPr>
              <w:t>0.56</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ind w:right="92"/>
              <w:spacing w:after="0" w:line="206" w:lineRule="exact"/>
              <w:rPr>
                <w:sz w:val="20"/>
                <w:szCs w:val="20"/>
                <w:color w:val="auto"/>
              </w:rPr>
            </w:pPr>
            <w:r>
              <w:rPr>
                <w:rFonts w:ascii="Times New Roman" w:cs="Times New Roman" w:eastAsia="Times New Roman" w:hAnsi="Times New Roman"/>
                <w:sz w:val="18"/>
                <w:szCs w:val="18"/>
                <w:color w:val="auto"/>
              </w:rPr>
              <w:t>0.12</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ind w:left="40"/>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0.17</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Diluted EPS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0.26</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0.52</w:t>
            </w:r>
          </w:p>
        </w:tc>
        <w:tc>
          <w:tcPr>
            <w:tcW w:w="14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4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- 6 -</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40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340"/>
      </w:cols>
      <w:pgMar w:left="320" w:top="11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2024-05-08T06:39:56Z</dcterms:created>
  <dcterms:modified xsi:type="dcterms:W3CDTF">2024-05-08T06:39:56Z</dcterms:modified>
</cp:coreProperties>
</file>