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12,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22"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22"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2"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39"/>
        </w:trPr>
        <w:tc>
          <w:tcPr>
            <w:tcW w:w="562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Trading symbol</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44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28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August 2023 Investor Relations Activity (the “Record”). The SSE posted the Record to the SSE’s website on September 12, 2023. A copy of the Record is attached as Exhibit 99.1 hereto.</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80"/>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140" w:hanging="883"/>
        <w:spacing w:after="0" w:line="277" w:lineRule="auto"/>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8"/>
          <w:szCs w:val="18"/>
          <w:color w:val="auto"/>
        </w:rPr>
        <w:t>Record of August 2023 Investor Relations Activity filed by ACM Research (Shanghai), Inc. with the Shanghai Stock Exchange on September 12, 2023</w:t>
      </w:r>
    </w:p>
    <w:p>
      <w:pPr>
        <w:spacing w:after="0" w:line="170" w:lineRule="exact"/>
        <w:rPr>
          <w:sz w:val="20"/>
          <w:szCs w:val="20"/>
          <w:color w:val="auto"/>
        </w:rPr>
      </w:pPr>
    </w:p>
    <w:p>
      <w:pPr>
        <w:ind w:right="4780" w:firstLine="325"/>
        <w:spacing w:after="0" w:line="623" w:lineRule="auto"/>
        <w:tabs>
          <w:tab w:leader="none" w:pos="1134"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2023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Stock Code: 688082</w:t>
            </w:r>
          </w:p>
        </w:tc>
        <w:tc>
          <w:tcPr>
            <w:tcW w:w="4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60" w:type="dxa"/>
            <w:vAlign w:val="bottom"/>
            <w:gridSpan w:val="3"/>
          </w:tcPr>
          <w:p>
            <w:pPr>
              <w:ind w:left="1240"/>
              <w:spacing w:after="0"/>
              <w:rPr>
                <w:sz w:val="20"/>
                <w:szCs w:val="20"/>
                <w:color w:val="auto"/>
              </w:rPr>
            </w:pPr>
            <w:r>
              <w:rPr>
                <w:rFonts w:ascii="Arial" w:cs="Arial" w:eastAsia="Arial" w:hAnsi="Arial"/>
                <w:sz w:val="18"/>
                <w:szCs w:val="18"/>
                <w:b w:val="1"/>
                <w:bCs w:val="1"/>
                <w:color w:val="auto"/>
                <w:w w:val="95"/>
              </w:rPr>
              <w:t>Short Name: ACMSH</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4140" w:type="dxa"/>
            <w:vAlign w:val="bottom"/>
          </w:tcPr>
          <w:p>
            <w:pPr>
              <w:ind w:left="1020"/>
              <w:spacing w:after="0"/>
              <w:rPr>
                <w:sz w:val="20"/>
                <w:szCs w:val="20"/>
                <w:color w:val="auto"/>
              </w:rPr>
            </w:pPr>
            <w:r>
              <w:rPr>
                <w:rFonts w:ascii="Arial" w:cs="Arial" w:eastAsia="Arial" w:hAnsi="Arial"/>
                <w:sz w:val="18"/>
                <w:szCs w:val="18"/>
                <w:b w:val="1"/>
                <w:bCs w:val="1"/>
                <w:color w:val="auto"/>
              </w:rPr>
              <w:t>ACM Research (Shanghai), Inc.</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7880" w:type="dxa"/>
            <w:vAlign w:val="bottom"/>
            <w:gridSpan w:val="5"/>
          </w:tcPr>
          <w:p>
            <w:pPr>
              <w:ind w:left="160"/>
              <w:spacing w:after="0"/>
              <w:rPr>
                <w:sz w:val="20"/>
                <w:szCs w:val="20"/>
                <w:color w:val="auto"/>
              </w:rPr>
            </w:pPr>
            <w:r>
              <w:rPr>
                <w:rFonts w:ascii="Arial" w:cs="Arial" w:eastAsia="Arial" w:hAnsi="Arial"/>
                <w:sz w:val="18"/>
                <w:szCs w:val="18"/>
                <w:b w:val="1"/>
                <w:bCs w:val="1"/>
                <w:color w:val="auto"/>
              </w:rPr>
              <w:t>Record of Investor Relations Activities in August 2023</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Categories of investor</w:t>
            </w:r>
          </w:p>
        </w:tc>
        <w:tc>
          <w:tcPr>
            <w:tcW w:w="4140" w:type="dxa"/>
            <w:vAlign w:val="bottom"/>
            <w:tcBorders>
              <w:right w:val="single" w:sz="8" w:color="auto"/>
            </w:tcBorders>
          </w:tcPr>
          <w:p>
            <w:pPr>
              <w:ind w:left="100"/>
              <w:spacing w:after="0" w:line="203"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Specific object survey</w:t>
            </w:r>
          </w:p>
        </w:tc>
        <w:tc>
          <w:tcPr>
            <w:tcW w:w="3720" w:type="dxa"/>
            <w:vAlign w:val="bottom"/>
            <w:tcBorders>
              <w:right w:val="single" w:sz="8" w:color="auto"/>
            </w:tcBorders>
            <w:gridSpan w:val="3"/>
          </w:tcPr>
          <w:p>
            <w:pPr>
              <w:spacing w:after="0" w:line="202"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Analyst meeting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relations activities</w:t>
            </w:r>
          </w:p>
        </w:tc>
        <w:tc>
          <w:tcPr>
            <w:tcW w:w="4140" w:type="dxa"/>
            <w:vAlign w:val="bottom"/>
            <w:tcBorders>
              <w:right w:val="single" w:sz="8" w:color="auto"/>
            </w:tcBorders>
            <w:vMerge w:val="restart"/>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Media interview</w:t>
            </w:r>
          </w:p>
        </w:tc>
        <w:tc>
          <w:tcPr>
            <w:tcW w:w="3720" w:type="dxa"/>
            <w:vAlign w:val="bottom"/>
            <w:tcBorders>
              <w:right w:val="single" w:sz="8" w:color="auto"/>
            </w:tcBorders>
            <w:gridSpan w:val="3"/>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380" w:type="dxa"/>
            <w:vAlign w:val="bottom"/>
            <w:tcBorders>
              <w:left w:val="single" w:sz="8" w:color="auto"/>
              <w:right w:val="single" w:sz="8" w:color="auto"/>
            </w:tcBorders>
          </w:tcPr>
          <w:p>
            <w:pPr>
              <w:spacing w:after="0" w:line="20" w:lineRule="exact"/>
              <w:rPr>
                <w:sz w:val="1"/>
                <w:szCs w:val="1"/>
                <w:color w:val="auto"/>
              </w:rPr>
            </w:pPr>
          </w:p>
        </w:tc>
        <w:tc>
          <w:tcPr>
            <w:tcW w:w="4140" w:type="dxa"/>
            <w:vAlign w:val="bottom"/>
            <w:tcBorders>
              <w:right w:val="single" w:sz="8" w:color="auto"/>
            </w:tcBorders>
            <w:vMerge w:val="continue"/>
          </w:tcPr>
          <w:p>
            <w:pPr>
              <w:spacing w:after="0" w:line="20" w:lineRule="exact"/>
              <w:rPr>
                <w:sz w:val="1"/>
                <w:szCs w:val="1"/>
                <w:color w:val="auto"/>
              </w:rPr>
            </w:pPr>
          </w:p>
        </w:tc>
        <w:tc>
          <w:tcPr>
            <w:tcW w:w="3720" w:type="dxa"/>
            <w:vAlign w:val="bottom"/>
            <w:tcBorders>
              <w:right w:val="single" w:sz="8" w:color="auto"/>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left w:val="single" w:sz="8" w:color="auto"/>
              <w:right w:val="single" w:sz="8" w:color="auto"/>
            </w:tcBorders>
          </w:tcPr>
          <w:p>
            <w:pPr>
              <w:spacing w:after="0"/>
              <w:rPr>
                <w:sz w:val="22"/>
                <w:szCs w:val="22"/>
                <w:color w:val="auto"/>
              </w:rPr>
            </w:pPr>
          </w:p>
        </w:tc>
        <w:tc>
          <w:tcPr>
            <w:tcW w:w="4140" w:type="dxa"/>
            <w:vAlign w:val="bottom"/>
            <w:tcBorders>
              <w:right w:val="single" w:sz="8" w:color="auto"/>
            </w:tcBorders>
          </w:tcPr>
          <w:p>
            <w:pPr>
              <w:ind w:left="1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Press conference</w:t>
            </w:r>
          </w:p>
        </w:tc>
        <w:tc>
          <w:tcPr>
            <w:tcW w:w="3720" w:type="dxa"/>
            <w:vAlign w:val="bottom"/>
            <w:tcBorders>
              <w:right w:val="single" w:sz="8" w:color="auto"/>
            </w:tcBorders>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Roadshow</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80" w:type="dxa"/>
            <w:vAlign w:val="bottom"/>
            <w:tcBorders>
              <w:left w:val="single" w:sz="8" w:color="auto"/>
              <w:right w:val="single" w:sz="8" w:color="auto"/>
            </w:tcBorders>
          </w:tcPr>
          <w:p>
            <w:pPr>
              <w:spacing w:after="0"/>
              <w:rPr>
                <w:sz w:val="19"/>
                <w:szCs w:val="19"/>
                <w:color w:val="auto"/>
              </w:rPr>
            </w:pPr>
          </w:p>
        </w:tc>
        <w:tc>
          <w:tcPr>
            <w:tcW w:w="4140" w:type="dxa"/>
            <w:vAlign w:val="bottom"/>
            <w:tcBorders>
              <w:right w:val="single" w:sz="8" w:color="auto"/>
            </w:tcBorders>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w:t>
            </w:r>
          </w:p>
        </w:tc>
        <w:tc>
          <w:tcPr>
            <w:tcW w:w="3720" w:type="dxa"/>
            <w:vAlign w:val="bottom"/>
            <w:tcBorders>
              <w:right w:val="single" w:sz="8" w:color="auto"/>
            </w:tcBorders>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Others (open conference call)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August 2023</w:t>
            </w:r>
          </w:p>
        </w:tc>
        <w:tc>
          <w:tcPr>
            <w:tcW w:w="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Venue</w:t>
            </w: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Conference call</w:t>
            </w:r>
          </w:p>
        </w:tc>
        <w:tc>
          <w:tcPr>
            <w:tcW w:w="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Participants of the</w:t>
            </w:r>
          </w:p>
        </w:tc>
        <w:tc>
          <w:tcPr>
            <w:tcW w:w="4140" w:type="dxa"/>
            <w:vAlign w:val="bottom"/>
          </w:tcPr>
          <w:p>
            <w:pPr>
              <w:ind w:left="100"/>
              <w:spacing w:after="0" w:line="198" w:lineRule="exact"/>
              <w:rPr>
                <w:sz w:val="20"/>
                <w:szCs w:val="20"/>
                <w:color w:val="auto"/>
              </w:rPr>
            </w:pPr>
            <w:r>
              <w:rPr>
                <w:rFonts w:ascii="Arial" w:cs="Arial" w:eastAsia="Arial" w:hAnsi="Arial"/>
                <w:sz w:val="18"/>
                <w:szCs w:val="18"/>
                <w:color w:val="auto"/>
              </w:rPr>
              <w:t>Chairman: HUI WANG</w:t>
            </w: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listed company</w:t>
            </w:r>
          </w:p>
        </w:tc>
        <w:tc>
          <w:tcPr>
            <w:tcW w:w="4140" w:type="dxa"/>
            <w:vAlign w:val="bottom"/>
          </w:tcPr>
          <w:p>
            <w:pPr>
              <w:ind w:left="100"/>
              <w:spacing w:after="0"/>
              <w:rPr>
                <w:sz w:val="20"/>
                <w:szCs w:val="20"/>
                <w:color w:val="auto"/>
              </w:rPr>
            </w:pPr>
            <w:r>
              <w:rPr>
                <w:rFonts w:ascii="Arial" w:cs="Arial" w:eastAsia="Arial" w:hAnsi="Arial"/>
                <w:sz w:val="18"/>
                <w:szCs w:val="18"/>
                <w:color w:val="auto"/>
              </w:rPr>
              <w:t>General Manager: JIAN WANG</w:t>
            </w: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Person in Charge of Financial Matters: LISA YI LU FENG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Board Secretary: MINGZHU LUO</w:t>
            </w: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80" w:type="dxa"/>
            <w:vAlign w:val="bottom"/>
            <w:tcBorders>
              <w:left w:val="single" w:sz="8" w:color="auto"/>
              <w:right w:val="single" w:sz="8" w:color="auto"/>
            </w:tcBorders>
          </w:tcPr>
          <w:p>
            <w:pPr>
              <w:spacing w:after="0"/>
              <w:rPr>
                <w:sz w:val="17"/>
                <w:szCs w:val="17"/>
                <w:color w:val="auto"/>
              </w:rPr>
            </w:pPr>
          </w:p>
        </w:tc>
        <w:tc>
          <w:tcPr>
            <w:tcW w:w="7860" w:type="dxa"/>
            <w:vAlign w:val="bottom"/>
            <w:tcBorders>
              <w:right w:val="single" w:sz="8" w:color="auto"/>
            </w:tcBorders>
            <w:gridSpan w:val="4"/>
          </w:tcPr>
          <w:p>
            <w:pPr>
              <w:ind w:left="100"/>
              <w:spacing w:after="0" w:line="201" w:lineRule="exact"/>
              <w:rPr>
                <w:sz w:val="20"/>
                <w:szCs w:val="20"/>
                <w:color w:val="auto"/>
              </w:rPr>
            </w:pPr>
            <w:r>
              <w:rPr>
                <w:rFonts w:ascii="Arial" w:cs="Arial" w:eastAsia="Arial" w:hAnsi="Arial"/>
                <w:sz w:val="18"/>
                <w:szCs w:val="18"/>
                <w:color w:val="auto"/>
                <w:w w:val="96"/>
              </w:rPr>
              <w:t xml:space="preserve">I. </w:t>
            </w:r>
            <w:r>
              <w:rPr>
                <w:rFonts w:ascii="Arial" w:cs="Arial" w:eastAsia="Arial" w:hAnsi="Arial"/>
                <w:sz w:val="18"/>
                <w:szCs w:val="18"/>
                <w:b w:val="1"/>
                <w:bCs w:val="1"/>
                <w:color w:val="auto"/>
                <w:w w:val="96"/>
              </w:rPr>
              <w:t>Company Introduction:</w:t>
            </w:r>
            <w:r>
              <w:rPr>
                <w:rFonts w:ascii="Arial" w:cs="Arial" w:eastAsia="Arial" w:hAnsi="Arial"/>
                <w:sz w:val="18"/>
                <w:szCs w:val="18"/>
                <w:color w:val="auto"/>
                <w:w w:val="96"/>
              </w:rPr>
              <w:t xml:space="preserve"> Leaders of ACM Research (Shanghai), Inc. (the “Company”) gave a brief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introduction to the Company’s performance and financial situation for the first half of 2023 and answered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Borders>
              <w:left w:val="single" w:sz="8" w:color="auto"/>
              <w:right w:val="single" w:sz="8" w:color="auto"/>
            </w:tcBorders>
          </w:tcPr>
          <w:p>
            <w:pPr>
              <w:spacing w:after="0"/>
              <w:rPr>
                <w:sz w:val="20"/>
                <w:szCs w:val="20"/>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questions of concern by investors.</w:t>
            </w: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80" w:type="dxa"/>
            <w:vAlign w:val="bottom"/>
            <w:tcBorders>
              <w:left w:val="single" w:sz="8" w:color="auto"/>
              <w:right w:val="single" w:sz="8" w:color="auto"/>
            </w:tcBorders>
          </w:tcPr>
          <w:p>
            <w:pPr>
              <w:spacing w:after="0"/>
              <w:rPr>
                <w:sz w:val="24"/>
                <w:szCs w:val="24"/>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Q&amp;A:</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1"/>
              </w:rPr>
              <w:t>1. Has there been any expansion of new customers, both domestically and internationally,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1"/>
              </w:rPr>
              <w:t>advanced packaging in the first half of this year? In addition, has there been any expansion of new</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Summary of investor</w:t>
            </w: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customers abroad for advanced packaging electroplating equipment in the first half of the 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relations activities</w:t>
            </w: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What is the future development of overseas markets?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520"/>
              <w:spacing w:after="0"/>
              <w:rPr>
                <w:sz w:val="20"/>
                <w:szCs w:val="20"/>
                <w:color w:val="auto"/>
              </w:rPr>
            </w:pPr>
            <w:r>
              <w:rPr>
                <w:rFonts w:ascii="Arial" w:cs="Arial" w:eastAsia="Arial" w:hAnsi="Arial"/>
                <w:sz w:val="18"/>
                <w:szCs w:val="18"/>
                <w:color w:val="auto"/>
              </w:rPr>
              <w:t>A: We have a relatively complete product line in the field of advanced packaging, covering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89"/>
              </w:rPr>
              <w:t>electroplating equipment, gluer, developer, wet etcher, wet stripper, metal splitter, SFP advanced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planarization equipment, and cleaner. In the first half of 2023, the packaging and back-end equipment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7"/>
              </w:rPr>
              <w:t>recorded a total growth of approximately 47%, and copper plating equipment also experienced rapid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8"/>
              </w:rPr>
              <w:t>growth. This is primarily due to our efforts not only to secure our leading position in China’s copper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plating equipment market but also to promote differentiated equipment, including front-end and back-end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bottom w:val="single" w:sz="8" w:color="auto"/>
              <w:right w:val="single" w:sz="8" w:color="auto"/>
            </w:tcBorders>
          </w:tcPr>
          <w:p>
            <w:pPr>
              <w:spacing w:after="0"/>
              <w:rPr>
                <w:sz w:val="20"/>
                <w:szCs w:val="20"/>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equipment, in the international market.</w:t>
            </w: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3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4" w:name="page5"/>
    <w:bookmarkEnd w:id="4"/>
    <w:p>
      <w:pPr>
        <w:jc w:val="both"/>
        <w:ind w:left="2240" w:firstLine="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We believe we have made good progress in expanding our presence in the overseas market. In addition to our cleaning equipment, we are actively promoting copper plating equipment on a global scale. We believe this effort aligns well with the rapid development of GPT and AI, which we believe demand a substantial quantity of advanced packaging equipment. Therefore, we anticipate a broad prospect for development in the global market. Another encouraging trend is the increasing use of front-end electroplating equipment, such as TSV and Damascus electroplating, by large domestic semiconductor manufacturers in China. We have already received meaningful orders in this regard, which we believe confirms domestic interest for more advanced packaging technologies, which, in turn, presents significant growth opportunities for our electroplating equipment.</w:t>
      </w:r>
    </w:p>
    <w:p>
      <w:pPr>
        <w:spacing w:after="0" w:line="177" w:lineRule="exact"/>
        <w:rPr>
          <w:sz w:val="20"/>
          <w:szCs w:val="20"/>
          <w:color w:val="auto"/>
        </w:rPr>
      </w:pPr>
    </w:p>
    <w:p>
      <w:pPr>
        <w:ind w:left="2240" w:right="20" w:firstLine="430"/>
        <w:spacing w:after="0" w:line="276" w:lineRule="auto"/>
        <w:tabs>
          <w:tab w:leader="none" w:pos="287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How is the development of the Company’s new ALD products progressing? How about the verification and update of the existing ALD products in logic circuits, and storage, etc.?</w:t>
      </w:r>
    </w:p>
    <w:p>
      <w:pPr>
        <w:jc w:val="both"/>
        <w:ind w:left="2240" w:firstLine="432"/>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 Indeed, we believe ALD represents a future trend in technological development. We have placed greater emphasis on ALD, particularly for its furnace tubes, mainly due to their large production capacity, capable of handling at least 50 pieces, 100 pieces, or even more pieces simultaneously across a wide range of processes. However, ALD also poses challenges, primarily in maintaining uniformity and managing chemical carriers. It finds widespread use in storage, advanced processes, and other fields. We have successfully verified two products in this regard with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3" w:right="359" w:bottom="1440" w:gutter="0" w:footer="0" w:header="0"/>
        </w:sectPr>
      </w:pPr>
    </w:p>
    <w:bookmarkStart w:id="5" w:name="page6"/>
    <w:bookmarkEnd w:id="5"/>
    <w:p>
      <w:pPr>
        <w:jc w:val="both"/>
        <w:ind w:left="2240" w:firstLine="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23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t>In the future, we plan to compete in the market with differentiated technical products. For example, regarding furnace tubes, we have special designs to improve ALD in terms of uniformity, particle size, and usage efficiency. As to our ALD products, while continuously expanding in the domestic market in China, we also place great importance on the international market, with the aim of introducing our differentiated ALD technology for furnace tubes to overseas customers through efforts in both domestic and international markets.</w:t>
      </w:r>
    </w:p>
    <w:p>
      <w:pPr>
        <w:spacing w:after="0" w:line="188" w:lineRule="exact"/>
        <w:rPr>
          <w:sz w:val="20"/>
          <w:szCs w:val="20"/>
          <w:color w:val="auto"/>
        </w:rPr>
      </w:pPr>
    </w:p>
    <w:p>
      <w:pPr>
        <w:jc w:val="both"/>
        <w:ind w:left="2240" w:firstLine="430"/>
        <w:spacing w:after="0" w:line="255" w:lineRule="auto"/>
        <w:tabs>
          <w:tab w:leader="none" w:pos="28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data published by the Company for the third quarter of last year shows a year-over-year increase of over 100% in orders. Does the Company typically experience slower delivery speeds in the first half and a more concentrated pace in the second half of each year? Does the Company have a specific pace for delivery?</w:t>
      </w:r>
    </w:p>
    <w:p>
      <w:pPr>
        <w:spacing w:after="0" w:line="2" w:lineRule="exact"/>
        <w:rPr>
          <w:rFonts w:ascii="Arial" w:cs="Arial" w:eastAsia="Arial" w:hAnsi="Arial"/>
          <w:sz w:val="18"/>
          <w:szCs w:val="18"/>
          <w:b w:val="1"/>
          <w:bCs w:val="1"/>
          <w:color w:val="auto"/>
        </w:rPr>
      </w:pPr>
    </w:p>
    <w:p>
      <w:pPr>
        <w:jc w:val="both"/>
        <w:ind w:left="2240" w:firstLine="43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 Our delivery pace is influenced by various factors, including market expansion and supply chain conditions. Overall, our shipment volume shows an upward trend in the second half of the year. From a supply chain perspective, the supply of parts has improved compared to last year, although some parts are still in short supply. Accordingly, in the second half of the year, we expect our delivery schedule will largely depend on supply chain management and the progress of continuous market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73" w:right="359" w:bottom="1440" w:gutter="0" w:footer="0" w:header="0"/>
        </w:sectPr>
      </w:pPr>
    </w:p>
    <w:bookmarkStart w:id="6" w:name="page7"/>
    <w:bookmarkEnd w:id="6"/>
    <w:p>
      <w:pPr>
        <w:jc w:val="both"/>
        <w:ind w:left="2240" w:right="20" w:firstLine="430"/>
        <w:spacing w:after="0" w:line="289" w:lineRule="auto"/>
        <w:tabs>
          <w:tab w:leader="none" w:pos="286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6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t>The Company’s cleaning equipment, including single wafer equipment, wet bench equipment and some unique equipment previously launched, showed significant growth in the second quarter. As to product structure, which type of products contributed most to this growth?</w:t>
      </w:r>
    </w:p>
    <w:p>
      <w:pPr>
        <w:spacing w:after="0" w:line="1" w:lineRule="exact"/>
        <w:rPr>
          <w:rFonts w:ascii="Arial" w:cs="Arial" w:eastAsia="Arial" w:hAnsi="Arial"/>
          <w:sz w:val="16"/>
          <w:szCs w:val="16"/>
          <w:b w:val="1"/>
          <w:bCs w:val="1"/>
          <w:color w:val="auto"/>
        </w:rPr>
      </w:pPr>
    </w:p>
    <w:p>
      <w:pPr>
        <w:jc w:val="both"/>
        <w:ind w:left="2240" w:firstLine="432"/>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A: Three years ago, our cleaning equipment mainly focused on single wafer solutions. With our R&amp;D investment in wet bench equipment in recent years, our wet bench equipment now covers a wide range of processes encompassing cleaning, stripping and more advanced 3D packaging. We believe there is significant potential for the expansion of wet bench equipment in mature processes in the future. Therefore, the growth in our cleaning equipment in the second quarter was largely driven by the expansion of wet bench equipment. In the years ahead, we intend to continue our dual-track development strategy, expanding single wager equipment while also advancing supercritical CO2 drying cleaning, a technology we believe is held by only three companies. Furthermore, with our independent IP and unique technology, we are able to reduce CO2 usage by approximately 40%. We plan to introduce this equipment to both domestic and international markets. Notably, our megasonic cleaning equipment, in combination with CO2 drying, can effectively clean small structures without causing damage, while also enabling drying, which we believe presents a promising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7" w:name="page8"/>
    <w:bookmarkEnd w:id="7"/>
    <w:p>
      <w:pPr>
        <w:jc w:val="both"/>
        <w:ind w:left="2240" w:right="20" w:firstLine="430"/>
        <w:spacing w:after="0" w:line="257" w:lineRule="auto"/>
        <w:tabs>
          <w:tab w:leader="none" w:pos="285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34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t>If China puts focus on mature processes in the coming years, what impact will this have on the structure of revenue from the Company’s cleaning equipment? What is the Company’s revenue structure in the second quarter?</w:t>
      </w:r>
    </w:p>
    <w:p>
      <w:pPr>
        <w:spacing w:after="0" w:line="1" w:lineRule="exact"/>
        <w:rPr>
          <w:rFonts w:ascii="Arial" w:cs="Arial" w:eastAsia="Arial" w:hAnsi="Arial"/>
          <w:sz w:val="18"/>
          <w:szCs w:val="18"/>
          <w:b w:val="1"/>
          <w:bCs w:val="1"/>
          <w:color w:val="auto"/>
        </w:rPr>
      </w:pPr>
    </w:p>
    <w:p>
      <w:pPr>
        <w:jc w:val="both"/>
        <w:ind w:left="2240" w:right="20" w:firstLine="432"/>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 The mature processes in China are mainly divided into two parts, below 28 nanometers and above 45 nanometers. With respect to those below 28 nanometers, we estimate approximately 80% are for single wafer cleaning, and with respect to those above 45 nanometers, we estimate approximately 80% are for wet bench cleaning. Therefore, even in mature processes, we expect single wafer cleaning equipment and wet bench cleaning equipment to have great development prospects. In the future, we expect our cleaning equipment to maintain a structure where both single wafer equipment and wet bench equipment will grow together.</w:t>
      </w:r>
    </w:p>
    <w:p>
      <w:pPr>
        <w:spacing w:after="0" w:line="188" w:lineRule="exact"/>
        <w:rPr>
          <w:rFonts w:ascii="Arial" w:cs="Arial" w:eastAsia="Arial" w:hAnsi="Arial"/>
          <w:sz w:val="18"/>
          <w:szCs w:val="18"/>
          <w:b w:val="1"/>
          <w:bCs w:val="1"/>
          <w:color w:val="auto"/>
        </w:rPr>
      </w:pPr>
    </w:p>
    <w:p>
      <w:pPr>
        <w:jc w:val="both"/>
        <w:ind w:left="2240" w:firstLine="430"/>
        <w:spacing w:after="0" w:line="257" w:lineRule="auto"/>
        <w:tabs>
          <w:tab w:leader="none" w:pos="291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shipment volume of the Company’s electroplating equipment or the revenue recognition therefore mainly be concentrated in the second half of the year? What is the pace of its development?</w:t>
      </w:r>
    </w:p>
    <w:p>
      <w:pPr>
        <w:spacing w:after="0" w:line="1" w:lineRule="exact"/>
        <w:rPr>
          <w:rFonts w:ascii="Arial" w:cs="Arial" w:eastAsia="Arial" w:hAnsi="Arial"/>
          <w:sz w:val="18"/>
          <w:szCs w:val="18"/>
          <w:b w:val="1"/>
          <w:bCs w:val="1"/>
          <w:color w:val="auto"/>
        </w:rPr>
      </w:pPr>
    </w:p>
    <w:p>
      <w:pPr>
        <w:jc w:val="both"/>
        <w:ind w:left="2240" w:firstLine="43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In terms of our electroplating equipment, we are mainly in the stage of new customer expansion. The relevant revenue recognition may take some time, which we expect to occur in the second half of this year or next year. As to the shipment volume of electroplating equipment, a year or two ago, our shipment mix was mainly advanced packaging equipment, and starting this year, it has shifted to primarily meet the demand for front-end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8" w:name="page9"/>
    <w:bookmarkEnd w:id="8"/>
    <w:p>
      <w:pPr>
        <w:jc w:val="both"/>
        <w:ind w:left="2240" w:firstLine="443"/>
        <w:spacing w:after="0" w:line="257" w:lineRule="auto"/>
        <w:tabs>
          <w:tab w:leader="none" w:pos="289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34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t>How effective was the verification of the Track and PECVD equipment launched by the Company in the fourth quarter of last year on the customer side? When will it be put into mass production? Has the Company obtained any new customers?</w:t>
      </w:r>
    </w:p>
    <w:p>
      <w:pPr>
        <w:spacing w:after="0" w:line="1" w:lineRule="exact"/>
        <w:rPr>
          <w:rFonts w:ascii="Arial" w:cs="Arial" w:eastAsia="Arial" w:hAnsi="Arial"/>
          <w:sz w:val="18"/>
          <w:szCs w:val="18"/>
          <w:b w:val="1"/>
          <w:bCs w:val="1"/>
          <w:color w:val="auto"/>
        </w:rPr>
      </w:pPr>
    </w:p>
    <w:p>
      <w:pPr>
        <w:jc w:val="both"/>
        <w:ind w:left="2240" w:firstLine="432"/>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A: Our Track equipment, which launched at the end of last year, is making good progress. However, as it is the first equipment, some routine issues appeared during the early verification. Our team is actively working with the customers and manufacturers to resolve these issues. We hope that this equipment can enter the small-scale validation production stage by the end of the year. Starting from a high baseline, our Track equipment is aimed at achieving a production capacity of 300 pieces per hour or even higher in the future.</w:t>
      </w:r>
    </w:p>
    <w:p>
      <w:pPr>
        <w:spacing w:after="0" w:line="2" w:lineRule="exact"/>
        <w:rPr>
          <w:rFonts w:ascii="Arial" w:cs="Arial" w:eastAsia="Arial" w:hAnsi="Arial"/>
          <w:sz w:val="18"/>
          <w:szCs w:val="18"/>
          <w:b w:val="1"/>
          <w:bCs w:val="1"/>
          <w:color w:val="auto"/>
        </w:rPr>
      </w:pPr>
    </w:p>
    <w:p>
      <w:pPr>
        <w:jc w:val="both"/>
        <w:ind w:left="2240" w:firstLine="43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terms of PECVD equipment, we have also made good progress in communicating and developing together with customers, with some basic issues having been resolved. In the future, we plan to consider having two types of customers: logic circuits and memory. Meanwhile, we believe our PECVD equipment has unique advantages compared to current offerings of our global competitors. We intend to use our differentiated technology to meet higher customer requirements in PECVD and to achieve a balance between uniformity, particle size, film stress, and output. PECVD represents a significant opportunity for us, and we plan to conduct significant R&amp;D and marketing efforts to promote it to the market. We do not anticipate PECVD to provide sales contribution to us until at least next year, but rather anticipate more meaningful contribution in 2025 or 2026. We believe our new Track and PECVD platforms offer a good opportunity for our long-term growth targets for the next 3 to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9" w:name="page10"/>
    <w:bookmarkEnd w:id="9"/>
    <w:p>
      <w:pPr>
        <w:ind w:left="2240" w:firstLine="430"/>
        <w:spacing w:after="0" w:line="261" w:lineRule="auto"/>
        <w:tabs>
          <w:tab w:leader="none" w:pos="2887"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34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t>When will revenue be recognized for orders related to advanced packaging electroplating products? When will it officially be converted into revenue?</w:t>
      </w:r>
    </w:p>
    <w:p>
      <w:pPr>
        <w:jc w:val="both"/>
        <w:ind w:left="2240" w:firstLine="428"/>
        <w:spacing w:after="0" w:line="255" w:lineRule="auto"/>
        <w:tabs>
          <w:tab w:leader="none" w:pos="2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electroplating products are relatively mature. Repeat customers generally accept the products upon installation, while for first time customers the acceptance generally follows a review of each process and thus takes additional time.</w:t>
      </w:r>
    </w:p>
    <w:p>
      <w:pPr>
        <w:spacing w:after="0" w:line="185" w:lineRule="exact"/>
        <w:rPr>
          <w:rFonts w:ascii="Arial" w:cs="Arial" w:eastAsia="Arial" w:hAnsi="Arial"/>
          <w:sz w:val="18"/>
          <w:szCs w:val="18"/>
          <w:color w:val="auto"/>
        </w:rPr>
      </w:pPr>
    </w:p>
    <w:p>
      <w:pPr>
        <w:ind w:left="2240" w:right="20" w:firstLine="430"/>
        <w:spacing w:after="0" w:line="261" w:lineRule="auto"/>
        <w:tabs>
          <w:tab w:leader="none" w:pos="2876"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Is the Company’s gross margin guidance for the whole year required to rise in light of the outlook for the second half of the year?</w:t>
      </w:r>
    </w:p>
    <w:p>
      <w:pPr>
        <w:jc w:val="both"/>
        <w:ind w:left="2240" w:right="20" w:firstLine="428"/>
        <w:spacing w:after="0" w:line="255" w:lineRule="auto"/>
        <w:tabs>
          <w:tab w:leader="none" w:pos="2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margin experiences seasonal fluctuations and is linked to product combinations. Our overall gross margin varies depending on the type of equipment but our target remains within the range of 40% to 45% as a whole.</w:t>
      </w:r>
    </w:p>
    <w:p>
      <w:pPr>
        <w:spacing w:after="0" w:line="185" w:lineRule="exact"/>
        <w:rPr>
          <w:rFonts w:ascii="Arial" w:cs="Arial" w:eastAsia="Arial" w:hAnsi="Arial"/>
          <w:sz w:val="18"/>
          <w:szCs w:val="18"/>
          <w:color w:val="auto"/>
        </w:rPr>
      </w:pPr>
    </w:p>
    <w:p>
      <w:pPr>
        <w:ind w:left="2240" w:right="20" w:firstLine="430"/>
        <w:spacing w:after="0" w:line="261" w:lineRule="auto"/>
        <w:tabs>
          <w:tab w:leader="none" w:pos="2978"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structural differences between the Company’s PECVD equipment and the overseas equipment?</w:t>
      </w:r>
    </w:p>
    <w:p>
      <w:pPr>
        <w:jc w:val="both"/>
        <w:ind w:left="2240" w:right="20" w:firstLine="428"/>
        <w:spacing w:after="0" w:line="292" w:lineRule="auto"/>
        <w:tabs>
          <w:tab w:leader="none" w:pos="29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PECVD covers a wide range of applications, generally for those that are mid to high-end. We have upgraded the equipment from three key points, i.e. uniformity, particle size, and stress, based on customer needs, and have optimized and launched a new architecture for our equipment from such aspects as equipment technology, output, and size. We keep in mind that our products need to differentiate themselves from those of international companies to surpass them. This is why we constantly strive for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249555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10" w:name="page11"/>
    <w:bookmarkEnd w:id="10"/>
    <w:p>
      <w:pPr>
        <w:ind w:left="2240" w:right="20" w:firstLine="430"/>
        <w:spacing w:after="0" w:line="261" w:lineRule="auto"/>
        <w:tabs>
          <w:tab w:leader="none" w:pos="295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66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t>What is the Company’s long-term outlook for gross margin of wet bench equipment in the context that many companies in China can make such equipment?</w:t>
      </w:r>
    </w:p>
    <w:p>
      <w:pPr>
        <w:jc w:val="both"/>
        <w:ind w:left="2240" w:firstLine="428"/>
        <w:spacing w:after="0" w:line="252" w:lineRule="auto"/>
        <w:tabs>
          <w:tab w:leader="none" w:pos="29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gross margin of wet bench equipment is generally lower than that of single wafer equipment, and we anticipate continued or even intensified competition for the semi-critical tools. That said, the reliability and process feature of the equipment are also important factors for the long-term use of semiconductor equipment. With the desire of maximizing output and obtaining process normalization, we believe domestic customers of semiconductor equipment in China balance their desire for low prices with performance-related factors, including long-term stability of the equipment, capability of future technology development, and ability to solve process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11" w:name="page12"/>
    <w:bookmarkEnd w:id="11"/>
    <w:p>
      <w:pPr>
        <w:ind w:left="2240" w:right="20" w:firstLine="430"/>
        <w:spacing w:after="0" w:line="261" w:lineRule="auto"/>
        <w:tabs>
          <w:tab w:leader="none" w:pos="2994"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17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171825"/>
                    </a:xfrm>
                    <a:prstGeom prst="rect">
                      <a:avLst/>
                    </a:prstGeom>
                    <a:noFill/>
                  </pic:spPr>
                </pic:pic>
              </a:graphicData>
            </a:graphic>
          </wp:anchor>
        </w:drawing>
        <w:t>Is there any process for the Company’s electroplating equipment that can be used in advanced packaging?</w:t>
      </w:r>
    </w:p>
    <w:p>
      <w:pPr>
        <w:jc w:val="both"/>
        <w:ind w:left="2240" w:right="20" w:firstLine="428"/>
        <w:spacing w:after="0" w:line="288" w:lineRule="auto"/>
        <w:tabs>
          <w:tab w:leader="none" w:pos="29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advanced packaging electroplating equipment supports various electroplating processes, including copper, nickel, tin silver, and gold electroplating. It has also been extended to include third-generation semiconductor electroplating, a relatively new process that has undergone partial verification on the customer side. In addition, customers from the Taiwan region began to purchase our electroplating equipment for their mainland factories last year, and subsequently placed repeated orders. In the future, we may have the chance to bring our electroplating equipment to the market in the Taiwan region, and would hope to further expand the same to the markets in South Korea, the U.S., Europe and other global markets.</w:t>
      </w:r>
    </w:p>
    <w:p>
      <w:pPr>
        <w:spacing w:after="0" w:line="164" w:lineRule="exact"/>
        <w:rPr>
          <w:rFonts w:ascii="Arial" w:cs="Arial" w:eastAsia="Arial" w:hAnsi="Arial"/>
          <w:sz w:val="16"/>
          <w:szCs w:val="16"/>
          <w:color w:val="auto"/>
        </w:rPr>
      </w:pPr>
    </w:p>
    <w:p>
      <w:pPr>
        <w:ind w:left="2240" w:right="20" w:firstLine="430"/>
        <w:spacing w:after="0" w:line="261" w:lineRule="auto"/>
        <w:tabs>
          <w:tab w:leader="none" w:pos="2946"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Did the year-over-year growth of approximately 26% for cleaning equipment in the first half of the year result from the revenue recognition structure?</w:t>
      </w:r>
    </w:p>
    <w:p>
      <w:pPr>
        <w:jc w:val="both"/>
        <w:ind w:left="2240" w:firstLine="428"/>
        <w:spacing w:after="0" w:line="251" w:lineRule="auto"/>
        <w:tabs>
          <w:tab w:leader="none" w:pos="29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The sales of our cleaning equipment in China have increased by approximately 26%, which we expect will continue to grow. We expect the entire cleaning equipment market to remain a crucial part of our main business in the future. At present, in addition to wet bench equipment, our advanced cleaning equipment with such technologies as high-temperature sulfuric acid and supercritical CO2 drying are being pushed into the market. Therefore, in terms of cleaning equipment, we hope to have a future market share of approximately 55% to 60% in China, as compared to the current level of approximately 25% to 30%. Additionally, whilst valuing the domestic cleaning equipment market in China, we also focus on the international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769" w:right="359" w:bottom="1440" w:gutter="0" w:footer="0" w:header="0"/>
        </w:sectPr>
      </w:pPr>
    </w:p>
    <w:bookmarkStart w:id="12" w:name="page13"/>
    <w:bookmarkEnd w:id="12"/>
    <w:p>
      <w:pPr>
        <w:ind w:left="2240" w:firstLine="430"/>
        <w:spacing w:after="0" w:line="261" w:lineRule="auto"/>
        <w:tabs>
          <w:tab w:leader="none" w:pos="2969"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86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t>Has the peak period of R&amp;D investment by the Company passed? Will the proportion of R&amp;D investment in the future decrease relatively?</w:t>
      </w:r>
    </w:p>
    <w:p>
      <w:pPr>
        <w:ind w:left="2240" w:firstLine="428"/>
        <w:spacing w:after="0" w:line="260" w:lineRule="auto"/>
        <w:tabs>
          <w:tab w:leader="none" w:pos="29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absolute R&amp;D investment continues to grow, and the relative proportion is expected to remain between approximately 14% and 15% of total sales for the future.</w:t>
      </w:r>
    </w:p>
    <w:p>
      <w:pPr>
        <w:spacing w:after="0" w:line="181" w:lineRule="exact"/>
        <w:rPr>
          <w:rFonts w:ascii="Arial" w:cs="Arial" w:eastAsia="Arial" w:hAnsi="Arial"/>
          <w:sz w:val="18"/>
          <w:szCs w:val="18"/>
          <w:color w:val="auto"/>
        </w:rPr>
      </w:pPr>
    </w:p>
    <w:p>
      <w:pPr>
        <w:ind w:left="2240" w:firstLine="430"/>
        <w:spacing w:after="0" w:line="261" w:lineRule="auto"/>
        <w:tabs>
          <w:tab w:leader="none" w:pos="2946"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project in Lingang is in the capping phase. Have the internal decoration and other work been accomplished? Can the project be completed next year?</w:t>
      </w:r>
    </w:p>
    <w:p>
      <w:pPr>
        <w:jc w:val="both"/>
        <w:ind w:left="2240" w:firstLine="428"/>
        <w:spacing w:after="0" w:line="265" w:lineRule="auto"/>
        <w:tabs>
          <w:tab w:leader="none" w:pos="29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project is primarily divided into two parts. Plant I, a central focus at this stage, is expected to commence trial production by the end of the year. The entire project is expected to be completed by the end of the year, including the R&amp;D Laboratory and Plant II which we plan to put into use gradually.</w:t>
      </w:r>
    </w:p>
    <w:p>
      <w:pPr>
        <w:jc w:val="both"/>
        <w:ind w:left="2240" w:firstLine="432"/>
        <w:spacing w:after="0" w:line="253" w:lineRule="auto"/>
        <w:rPr>
          <w:rFonts w:ascii="Arial" w:cs="Arial" w:eastAsia="Arial" w:hAnsi="Arial"/>
          <w:sz w:val="17"/>
          <w:szCs w:val="17"/>
          <w:color w:val="auto"/>
        </w:rPr>
      </w:pPr>
      <w:r>
        <w:rPr>
          <w:rFonts w:ascii="Arial" w:cs="Arial" w:eastAsia="Arial" w:hAnsi="Arial"/>
          <w:sz w:val="18"/>
          <w:szCs w:val="18"/>
          <w:color w:val="auto"/>
        </w:rPr>
        <w:t>In addition, a R&amp;D clean room is scheduled to be completed this year and is expected to be put into use in the first quarter of next year. This will enable us to have a clean room at the same level as our customers, which we believe will greatly improve our R&amp;D conditions. As a result, we expect to be able to verify new products and improved technologies before delivering them to customers, significantly enhancing our R&amp;D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69"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Encl.: List of 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Hel Ved Capital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IGWT Investment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MARCO POLO PURE ASSET MANAGEMENT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Point72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PSA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Quartet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Seiga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shangcheng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Aijian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Allianz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Essence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Baichuan (Beijing)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Chengtianjiu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Golden Trust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VISION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Hongcheng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Huanuo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Jingma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Shengxi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Ted Sun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Acorn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Yiyuanda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Yutian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Yutian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Bosera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Caitong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CHASING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Twin Peaks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Chuangjin Hexin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Dajia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Springs Capital (Beijing)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Capital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Oriental Alpha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Dongguan Rongguo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Dongguan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Soochow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Dongxing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Dongxing Securities Corporation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Northeast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DH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Fuanda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 Investment Management (Shanghai)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Templeton Investment Management (Shanghai)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Yongming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 Dong Ze Quan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Glodon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Guangxi Yingzhou Management Consulting Service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Ruimin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Guangzhou Hangchang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GuangZhou Snowball Investment Management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Guangzhou Yunxi Private Placement Securities Fund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Sealand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Guohua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Sinolink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Development Bank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Guolian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Guorong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Junan International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Junan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Guoyuan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Yineng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Innovation Securities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International Securities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INTERNATIONAL ASSET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Jwin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Linnuo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 ASSET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Forever Capital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Hefei Weiming Hengyuan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Asset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Hexie Health Insurance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Sequoia Capital Equity Investment Management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Manulife Investment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Hongyun Private Equity Fund Management (Hainan)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Hua’an Financial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Fortune Sg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Guizhou Huachuang Securities Broker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Huajin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Huaneng Guicheng Trust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Baoxiao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Financial Holdings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Huaxi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Future Capital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SINO-IC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Huiyuan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Jiaxuyinghai (Shanghai)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Jiahe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Financial Asset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Parallel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Jiangsu High Hope Wisdom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Jiangsu Ruihua Venture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Shagang Group Investment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Communications Schroder Fund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Goldstate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Great Wall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 Bloom Public Relations Consultant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Nine Thai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Junhai Chuangxin (Beijing) Consulting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Junyi Zhenhua (Beijing) Management Consulting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Kai’en (Suzhou)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KGI Asia Limited Shanghai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Ledger Capital Investment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MACQUARIE CAPITAL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Bank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(China)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Asset Management (China)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High-Flyer Quant Investment Management (Ningbo)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RuoXi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Ningbo Yishu Equity Investment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Lord Abbert 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Penghua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 An UOB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Qianyi Private Equity Fund Management (Shandong)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RAYS Capital Partners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Cephei Capital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SHANXI SECURITIES INTERNATIONAL ASSET MANAGEMENT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Shanghai Anything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Bodu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Chen Yan Asset Management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CongRong Investment Management Co., Ltd.,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Dingsa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Dushi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Fengcang Equity Investment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Fortune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Fusheng Assets Management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Genxi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Goomoo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Hengrui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Granview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Huichen Private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Huiyi Investment Management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Jiashi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Jin’en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Genius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Jingu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Eureka Investment Partner Co., Ltd.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2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t>Shanghai Junhe Licheng Investment Management Center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Everlead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Miyuan Investment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Minghe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S-land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Niuhu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Panyao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Pawoof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Cosea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Qinmu Asset Management Partnership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RESEARCH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Tai Yang Asset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Tinnyinvestment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T.Y.D.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Cactus Private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Xiansheng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Xiangyi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Xueshi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Bund Capltial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Yude Investment Management Center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Yuanhao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Zhaowan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Wisdom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Shagnhai Zhongyu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Zige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SWS MU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Chengyi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Hong Ding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Haiya Financial HOLDINGS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Ruiyuan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Qianhai Xuxin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Shenzhen Shiji Zhiyuan Private Securities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Shenzhen Tiaobo Yuanxin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Guohui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Commando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Shenzhen Qianhai Shichuan International Investment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Shenzhen Qianhai Tangrong Capital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Weiming Hengyuan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Kwt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Yuanwangjiao Investment Management Enterprise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Zoomtrend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2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t>SCHRODERS GROUP CO.,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Securities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Suzhou Junrong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Pension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Tianhong Innovation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Wuze Zhiyuan (Beijing)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Wuhan Meiyang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Xi’an Waterfall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Tibet Hezhong Yisheng Investment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Tibet Yuancheng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Southwest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Cinda Aoyin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Xingyin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Xingyin Financial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Symbol Investment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Minan Property and Casualty Insurance Company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Sunlight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Yimi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OAKTREE INVESTMENT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Infore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Yongan Guofu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SINOPAC SECURITIES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AIA Investment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Yuhui Capital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Winfor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Yuanxin (Zhuhai) Private Equity Fund Management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Chang’an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Great Wall Wealth Insurance Asset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China Greatwall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Shaoxia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Zhonghuan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Zheshang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Zheshang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Zhengzhou Yunshan Investment Management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Zhongdianke Investment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Galaxy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United Insurance Group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CICC Capital Operation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Lombarda 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CITIC-PRUDENTIAL Fund Management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Prudential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Samsung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CHINA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Zhuhai Chengming Asset Management Co., Ltd.</w:t>
      </w:r>
    </w:p>
    <w:p>
      <w:pPr>
        <w:spacing w:after="0" w:line="211" w:lineRule="exact"/>
        <w:rPr>
          <w:sz w:val="20"/>
          <w:szCs w:val="20"/>
          <w:color w:val="auto"/>
        </w:rPr>
      </w:pPr>
    </w:p>
    <w:p>
      <w:pPr>
        <w:ind w:left="5040"/>
        <w:spacing w:after="0"/>
        <w:tabs>
          <w:tab w:leader="none" w:pos="556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The following information is provided in connection with the furnishing of the above Record of August 2023 Investor Relation Activity of ACM Research (Shanghai), Inc. (“ACMSH”) (the “Record”) pursuant to the Current Report on Form 8-K reporting requirements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04"/>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upperLetter"/>
      <w:start w:val="1"/>
    </w:lvl>
    <w:lvl w:ilvl="1">
      <w:lvlJc w:val="left"/>
      <w:lvlText w:val="%2."/>
      <w:numFmt w:val="decimal"/>
      <w:start w:val="8"/>
    </w:lvl>
  </w:abstractNum>
  <w:abstractNum w:abstractNumId="8">
    <w:nsid w:val="DED7263"/>
    <w:multiLevelType w:val="hybridMultilevel"/>
    <w:lvl w:ilvl="0">
      <w:lvlJc w:val="left"/>
      <w:lvlText w:val="%1:"/>
      <w:numFmt w:val="upperLetter"/>
      <w:start w:val="1"/>
    </w:lvl>
    <w:lvl w:ilvl="1">
      <w:lvlJc w:val="left"/>
      <w:lvlText w:val="%2."/>
      <w:numFmt w:val="decimal"/>
      <w:start w:val="9"/>
    </w:lvl>
  </w:abstractNum>
  <w:abstractNum w:abstractNumId="9">
    <w:nsid w:val="7FDCC233"/>
    <w:multiLevelType w:val="hybridMultilevel"/>
    <w:lvl w:ilvl="0">
      <w:lvlJc w:val="left"/>
      <w:lvlText w:val="%1:"/>
      <w:numFmt w:val="upperLetter"/>
      <w:start w:val="1"/>
    </w:lvl>
    <w:lvl w:ilvl="1">
      <w:lvlJc w:val="left"/>
      <w:lvlText w:val="%2."/>
      <w:numFmt w:val="decimal"/>
      <w:start w:val="10"/>
    </w:lvl>
  </w:abstractNum>
  <w:abstractNum w:abstractNumId="10">
    <w:nsid w:val="1BEFD79F"/>
    <w:multiLevelType w:val="hybridMultilevel"/>
    <w:lvl w:ilvl="0">
      <w:lvlJc w:val="left"/>
      <w:lvlText w:val="%1:"/>
      <w:numFmt w:val="upperLetter"/>
      <w:start w:val="1"/>
    </w:lvl>
    <w:lvl w:ilvl="1">
      <w:lvlJc w:val="left"/>
      <w:lvlText w:val="%2"/>
      <w:numFmt w:val="decimal"/>
      <w:start w:val="1"/>
    </w:lvl>
  </w:abstractNum>
  <w:abstractNum w:abstractNumId="11">
    <w:nsid w:val="41A7C4C9"/>
    <w:multiLevelType w:val="hybridMultilevel"/>
    <w:lvl w:ilvl="0">
      <w:lvlJc w:val="left"/>
      <w:lvlText w:val="%1"/>
      <w:numFmt w:val="upperLetter"/>
      <w:start w:val="1"/>
    </w:lvl>
    <w:lvl w:ilvl="1">
      <w:lvlJc w:val="left"/>
      <w:lvlText w:val="%2."/>
      <w:numFmt w:val="decimal"/>
      <w:start w:val="11"/>
    </w:lvl>
  </w:abstractNum>
  <w:abstractNum w:abstractNumId="12">
    <w:nsid w:val="6B68079A"/>
    <w:multiLevelType w:val="hybridMultilevel"/>
    <w:lvl w:ilvl="0">
      <w:lvlJc w:val="left"/>
      <w:lvlText w:val="%1:"/>
      <w:numFmt w:val="upperLetter"/>
      <w:start w:val="1"/>
    </w:lvl>
    <w:lvl w:ilvl="1">
      <w:lvlJc w:val="left"/>
      <w:lvlText w:val="%2"/>
      <w:numFmt w:val="decimal"/>
      <w:start w:val="1"/>
    </w:lvl>
  </w:abstractNum>
  <w:abstractNum w:abstractNumId="13">
    <w:nsid w:val="4E6AFB66"/>
    <w:multiLevelType w:val="hybridMultilevel"/>
    <w:lvl w:ilvl="0">
      <w:lvlJc w:val="left"/>
      <w:lvlText w:val="%1"/>
      <w:numFmt w:val="upperLetter"/>
      <w:start w:val="1"/>
    </w:lvl>
    <w:lvl w:ilvl="1">
      <w:lvlJc w:val="left"/>
      <w:lvlText w:val="%2."/>
      <w:numFmt w:val="decimal"/>
      <w:start w:val="12"/>
    </w:lvl>
  </w:abstractNum>
  <w:abstractNum w:abstractNumId="14">
    <w:nsid w:val="25E45D32"/>
    <w:multiLevelType w:val="hybridMultilevel"/>
    <w:lvl w:ilvl="0">
      <w:lvlJc w:val="left"/>
      <w:lvlText w:val="%1:"/>
      <w:numFmt w:val="upperLetter"/>
      <w:start w:val="1"/>
    </w:lvl>
    <w:lvl w:ilvl="1">
      <w:lvlJc w:val="left"/>
      <w:lvlText w:val="%2."/>
      <w:numFmt w:val="decimal"/>
      <w:start w:val="13"/>
    </w:lvl>
  </w:abstractNum>
  <w:abstractNum w:abstractNumId="15">
    <w:nsid w:val="519B500D"/>
    <w:multiLevelType w:val="hybridMultilevel"/>
    <w:lvl w:ilvl="0">
      <w:lvlJc w:val="left"/>
      <w:lvlText w:val="%1:"/>
      <w:numFmt w:val="upperLetter"/>
      <w:start w:val="1"/>
    </w:lvl>
    <w:lvl w:ilvl="1">
      <w:lvlJc w:val="left"/>
      <w:lvlText w:val="%2"/>
      <w:numFmt w:val="decimal"/>
      <w:start w:val="1"/>
    </w:lvl>
  </w:abstractNum>
  <w:abstractNum w:abstractNumId="16">
    <w:nsid w:val="431BD7B7"/>
    <w:multiLevelType w:val="hybridMultilevel"/>
    <w:lvl w:ilvl="0">
      <w:lvlJc w:val="left"/>
      <w:lvlText w:val="%1"/>
      <w:numFmt w:val="upperLetter"/>
      <w:start w:val="1"/>
    </w:lvl>
    <w:lvl w:ilvl="1">
      <w:lvlJc w:val="left"/>
      <w:lvlText w:val="%2."/>
      <w:numFmt w:val="decimal"/>
      <w:start w:val="14"/>
    </w:lvl>
  </w:abstractNum>
  <w:abstractNum w:abstractNumId="17">
    <w:nsid w:val="3F2DBA31"/>
    <w:multiLevelType w:val="hybridMultilevel"/>
    <w:lvl w:ilvl="0">
      <w:lvlJc w:val="left"/>
      <w:lvlText w:val="%1:"/>
      <w:numFmt w:val="upperLetter"/>
      <w:start w:val="1"/>
    </w:lvl>
    <w:lvl w:ilvl="1">
      <w:lvlJc w:val="left"/>
      <w:lvlText w:val="%2."/>
      <w:numFmt w:val="decimal"/>
      <w:start w:val="15"/>
    </w:lvl>
  </w:abstractNum>
  <w:abstractNum w:abstractNumId="18">
    <w:nsid w:val="7C83E458"/>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2023-09-25T16:41:32Z</dcterms:created>
  <dcterms:modified xsi:type="dcterms:W3CDTF">2023-09-25T16:41:32Z</dcterms:modified>
</cp:coreProperties>
</file>