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Dun Haiping</w:t>
              </w:r>
            </w:hyperlink>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ACM RESEARCH,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08/23/2019</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4"/>
              </w:rPr>
              <w:t>42307 OSGOOD ROAD, SUITE I</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FREMONT</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94539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08/23/2019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98"/>
              </w:rPr>
              <w:t>D</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28,661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13.195</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285,030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Common Stock funded by the net proceeds, if any, from the Issuer's sale of Class A Common Stock pursuant to an exercise of the underwriters' over-allotment option. The transaction being reported relates to the reporting person's sale under the Equity Purchase Agreement. The obligations of the parties to the Equity Purchase Agreement became fixed and irrevocable as of the transaction date, which is the date of the closing of the underwriters' over-allotment option.</w:t>
      </w:r>
    </w:p>
    <w:p>
      <w:pPr>
        <w:sectPr>
          <w:pgSz w:w="11900" w:h="16838" w:orient="portrait"/>
          <w:cols w:equalWidth="0" w:num="1">
            <w:col w:w="11420"/>
          </w:cols>
          <w:pgMar w:left="240" w:top="226" w:right="239" w:bottom="1440" w:gutter="0" w:footer="0" w:header="0"/>
          <w:type w:val="continuous"/>
        </w:sectPr>
      </w:pP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 for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80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08/27/2019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2019-12-24T09:16:33Z</dcterms:created>
  <dcterms:modified xsi:type="dcterms:W3CDTF">2019-12-24T09:16:33Z</dcterms:modified>
</cp:coreProperties>
</file>