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4D4D4F"/>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 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4D4D4F"/>
        </w:rPr>
        <w:t>Washington, D.C. 20549</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4D4D4F"/>
        </w:rPr>
        <w:t>SCHEDULE 14A</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4D4D4F"/>
        </w:rPr>
        <w:t>Proxy Statement Pursuant to</w:t>
      </w:r>
    </w:p>
    <w:p>
      <w:pPr>
        <w:jc w:val="center"/>
        <w:spacing w:after="0"/>
        <w:rPr>
          <w:sz w:val="20"/>
          <w:szCs w:val="20"/>
          <w:color w:val="auto"/>
        </w:rPr>
      </w:pPr>
      <w:r>
        <w:rPr>
          <w:rFonts w:ascii="Arial" w:cs="Arial" w:eastAsia="Arial" w:hAnsi="Arial"/>
          <w:sz w:val="22"/>
          <w:szCs w:val="22"/>
          <w:b w:val="1"/>
          <w:bCs w:val="1"/>
          <w:color w:val="4D4D4F"/>
        </w:rPr>
        <w:t>Section 14(a) of the Securities Exchange Act of 1934</w:t>
      </w:r>
    </w:p>
    <w:p>
      <w:pPr>
        <w:spacing w:after="0" w:line="166" w:lineRule="exact"/>
        <w:rPr>
          <w:sz w:val="24"/>
          <w:szCs w:val="24"/>
          <w:color w:val="auto"/>
        </w:rPr>
      </w:pPr>
    </w:p>
    <w:p>
      <w:pPr>
        <w:spacing w:after="0" w:line="207" w:lineRule="exact"/>
        <w:tabs>
          <w:tab w:leader="none" w:pos="7720" w:val="left"/>
        </w:tabs>
        <w:rPr>
          <w:sz w:val="20"/>
          <w:szCs w:val="20"/>
          <w:color w:val="auto"/>
        </w:rPr>
      </w:pPr>
      <w:r>
        <w:rPr>
          <w:rFonts w:ascii="Arial" w:cs="Arial" w:eastAsia="Arial" w:hAnsi="Arial"/>
          <w:sz w:val="18"/>
          <w:szCs w:val="18"/>
          <w:color w:val="4D4D4F"/>
        </w:rPr>
        <w:t xml:space="preserve">Filed by the Registrant </w:t>
      </w:r>
      <w:r>
        <w:rPr>
          <w:rFonts w:ascii="MS PGothic" w:cs="MS PGothic" w:eastAsia="MS PGothic" w:hAnsi="MS PGothic"/>
          <w:sz w:val="18"/>
          <w:szCs w:val="18"/>
          <w:color w:val="4D4D4F"/>
        </w:rPr>
        <w:t>☒</w:t>
      </w:r>
      <w:r>
        <w:rPr>
          <w:sz w:val="20"/>
          <w:szCs w:val="20"/>
          <w:color w:val="auto"/>
        </w:rPr>
        <w:tab/>
      </w:r>
      <w:r>
        <w:rPr>
          <w:rFonts w:ascii="Arial" w:cs="Arial" w:eastAsia="Arial" w:hAnsi="Arial"/>
          <w:sz w:val="17"/>
          <w:szCs w:val="17"/>
          <w:color w:val="4D4D4F"/>
        </w:rPr>
        <w:t xml:space="preserve">Filed by a Party other than the Registrant </w:t>
      </w:r>
      <w:r>
        <w:rPr>
          <w:rFonts w:ascii="MS PGothic" w:cs="MS PGothic" w:eastAsia="MS PGothic" w:hAnsi="MS PGothic"/>
          <w:sz w:val="17"/>
          <w:szCs w:val="17"/>
          <w:color w:val="4D4D4F"/>
        </w:rPr>
        <w:t>☐</w:t>
      </w:r>
    </w:p>
    <w:p>
      <w:pPr>
        <w:spacing w:after="0" w:line="141" w:lineRule="exact"/>
        <w:rPr>
          <w:sz w:val="24"/>
          <w:szCs w:val="24"/>
          <w:color w:val="auto"/>
        </w:rPr>
      </w:pPr>
    </w:p>
    <w:p>
      <w:pPr>
        <w:spacing w:after="0"/>
        <w:rPr>
          <w:sz w:val="20"/>
          <w:szCs w:val="20"/>
          <w:color w:val="auto"/>
        </w:rPr>
      </w:pPr>
      <w:r>
        <w:rPr>
          <w:rFonts w:ascii="Arial" w:cs="Arial" w:eastAsia="Arial" w:hAnsi="Arial"/>
          <w:sz w:val="18"/>
          <w:szCs w:val="18"/>
          <w:color w:val="4D4D4F"/>
        </w:rPr>
        <w:t>Check the appropriate box:</w:t>
      </w:r>
    </w:p>
    <w:p>
      <w:pPr>
        <w:ind w:left="340" w:hanging="332"/>
        <w:spacing w:after="0" w:line="234" w:lineRule="auto"/>
        <w:tabs>
          <w:tab w:leader="none" w:pos="340" w:val="left"/>
        </w:tabs>
        <w:numPr>
          <w:ilvl w:val="0"/>
          <w:numId w:val="1"/>
        </w:numPr>
        <w:rPr>
          <w:rFonts w:ascii="MS PGothic" w:cs="MS PGothic" w:eastAsia="MS PGothic" w:hAnsi="MS PGothic"/>
          <w:sz w:val="18"/>
          <w:szCs w:val="18"/>
          <w:color w:val="4D4D4F"/>
        </w:rPr>
      </w:pPr>
      <w:r>
        <w:rPr>
          <w:rFonts w:ascii="Arial" w:cs="Arial" w:eastAsia="Arial" w:hAnsi="Arial"/>
          <w:sz w:val="18"/>
          <w:szCs w:val="18"/>
          <w:color w:val="4D4D4F"/>
        </w:rPr>
        <w:t>Preliminary Proxy Statement</w:t>
      </w:r>
    </w:p>
    <w:p>
      <w:pPr>
        <w:ind w:left="340" w:hanging="332"/>
        <w:spacing w:after="0"/>
        <w:tabs>
          <w:tab w:leader="none" w:pos="340" w:val="left"/>
        </w:tabs>
        <w:numPr>
          <w:ilvl w:val="0"/>
          <w:numId w:val="2"/>
        </w:numPr>
        <w:rPr>
          <w:rFonts w:ascii="MS PGothic" w:cs="MS PGothic" w:eastAsia="MS PGothic" w:hAnsi="MS PGothic"/>
          <w:sz w:val="18"/>
          <w:szCs w:val="18"/>
          <w:color w:val="4D4D4F"/>
        </w:rPr>
      </w:pPr>
      <w:r>
        <w:rPr>
          <w:rFonts w:ascii="Arial" w:cs="Arial" w:eastAsia="Arial" w:hAnsi="Arial"/>
          <w:sz w:val="18"/>
          <w:szCs w:val="18"/>
          <w:b w:val="1"/>
          <w:bCs w:val="1"/>
          <w:color w:val="4D4D4F"/>
        </w:rPr>
        <w:t>Confidential, for Use of the Commission Only (as permitted by Rule 14a-6(e)(2))</w:t>
      </w:r>
    </w:p>
    <w:p>
      <w:pPr>
        <w:ind w:left="340" w:hanging="332"/>
        <w:spacing w:after="0" w:line="234" w:lineRule="auto"/>
        <w:tabs>
          <w:tab w:leader="none" w:pos="340" w:val="left"/>
        </w:tabs>
        <w:numPr>
          <w:ilvl w:val="0"/>
          <w:numId w:val="2"/>
        </w:numPr>
        <w:rPr>
          <w:rFonts w:ascii="MS PGothic" w:cs="MS PGothic" w:eastAsia="MS PGothic" w:hAnsi="MS PGothic"/>
          <w:sz w:val="18"/>
          <w:szCs w:val="18"/>
          <w:color w:val="4D4D4F"/>
        </w:rPr>
      </w:pPr>
      <w:r>
        <w:rPr>
          <w:rFonts w:ascii="Arial" w:cs="Arial" w:eastAsia="Arial" w:hAnsi="Arial"/>
          <w:sz w:val="18"/>
          <w:szCs w:val="18"/>
          <w:color w:val="4D4D4F"/>
        </w:rPr>
        <w:t>Definitive Proxy Statement</w:t>
      </w:r>
    </w:p>
    <w:p>
      <w:pPr>
        <w:ind w:left="340" w:hanging="332"/>
        <w:spacing w:after="0" w:line="234" w:lineRule="auto"/>
        <w:tabs>
          <w:tab w:leader="none" w:pos="340" w:val="left"/>
        </w:tabs>
        <w:numPr>
          <w:ilvl w:val="0"/>
          <w:numId w:val="2"/>
        </w:numPr>
        <w:rPr>
          <w:rFonts w:ascii="MS PGothic" w:cs="MS PGothic" w:eastAsia="MS PGothic" w:hAnsi="MS PGothic"/>
          <w:sz w:val="18"/>
          <w:szCs w:val="18"/>
          <w:color w:val="4D4D4F"/>
        </w:rPr>
      </w:pPr>
      <w:r>
        <w:rPr>
          <w:rFonts w:ascii="Arial" w:cs="Arial" w:eastAsia="Arial" w:hAnsi="Arial"/>
          <w:sz w:val="18"/>
          <w:szCs w:val="18"/>
          <w:color w:val="4D4D4F"/>
        </w:rPr>
        <w:t>Definitive Additional Materials</w:t>
      </w:r>
    </w:p>
    <w:p>
      <w:pPr>
        <w:ind w:left="340" w:hanging="332"/>
        <w:spacing w:after="0"/>
        <w:tabs>
          <w:tab w:leader="none" w:pos="340" w:val="left"/>
        </w:tabs>
        <w:numPr>
          <w:ilvl w:val="0"/>
          <w:numId w:val="2"/>
        </w:numPr>
        <w:rPr>
          <w:rFonts w:ascii="MS PGothic" w:cs="MS PGothic" w:eastAsia="MS PGothic" w:hAnsi="MS PGothic"/>
          <w:sz w:val="18"/>
          <w:szCs w:val="18"/>
          <w:color w:val="4D4D4F"/>
        </w:rPr>
      </w:pPr>
      <w:r>
        <w:rPr>
          <w:rFonts w:ascii="Arial" w:cs="Arial" w:eastAsia="Arial" w:hAnsi="Arial"/>
          <w:sz w:val="18"/>
          <w:szCs w:val="18"/>
          <w:color w:val="4D4D4F"/>
        </w:rPr>
        <w:t>Soliciting Material Pursuant to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3168015</wp:posOffset>
            </wp:positionH>
            <wp:positionV relativeFrom="paragraph">
              <wp:posOffset>134620</wp:posOffset>
            </wp:positionV>
            <wp:extent cx="814070" cy="514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14070" cy="5143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4D4D4F"/>
        </w:rPr>
        <w:t>ACM Research, Inc.</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4D4D4F"/>
        </w:rPr>
        <w:t>(Name of Registrant as Specified In Its Charter)</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4D4D4F"/>
        </w:rPr>
        <w:t>Payment of Filing Fee (Check the appropriate box):</w:t>
      </w:r>
    </w:p>
    <w:p>
      <w:pPr>
        <w:spacing w:after="0" w:line="63" w:lineRule="exact"/>
        <w:rPr>
          <w:sz w:val="24"/>
          <w:szCs w:val="24"/>
          <w:color w:val="auto"/>
        </w:rPr>
      </w:pPr>
    </w:p>
    <w:p>
      <w:pPr>
        <w:ind w:left="440" w:hanging="432"/>
        <w:spacing w:after="0"/>
        <w:tabs>
          <w:tab w:leader="none" w:pos="4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4D4D4F"/>
        </w:rPr>
        <w:t>No fee required.</w:t>
      </w:r>
    </w:p>
    <w:p>
      <w:pPr>
        <w:spacing w:after="0" w:line="59" w:lineRule="exact"/>
        <w:rPr>
          <w:sz w:val="24"/>
          <w:szCs w:val="24"/>
          <w:color w:val="auto"/>
        </w:rPr>
      </w:pPr>
    </w:p>
    <w:p>
      <w:pPr>
        <w:ind w:left="440" w:hanging="432"/>
        <w:spacing w:after="0"/>
        <w:tabs>
          <w:tab w:leader="none" w:pos="4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4D4D4F"/>
        </w:rPr>
        <w:t>Fee computed on table below per Exchange Act Rules 14a-6(i)(1) and 0-11.</w:t>
      </w:r>
    </w:p>
    <w:p>
      <w:pPr>
        <w:ind w:left="980" w:hanging="540"/>
        <w:spacing w:after="0"/>
        <w:tabs>
          <w:tab w:leader="none" w:pos="980" w:val="left"/>
        </w:tabs>
        <w:numPr>
          <w:ilvl w:val="1"/>
          <w:numId w:val="4"/>
        </w:numPr>
        <w:rPr>
          <w:rFonts w:ascii="Arial" w:cs="Arial" w:eastAsia="Arial" w:hAnsi="Arial"/>
          <w:sz w:val="18"/>
          <w:szCs w:val="18"/>
          <w:color w:val="4D4D4F"/>
        </w:rPr>
      </w:pPr>
      <w:r>
        <w:rPr>
          <w:rFonts w:ascii="Arial" w:cs="Arial" w:eastAsia="Arial" w:hAnsi="Arial"/>
          <w:sz w:val="18"/>
          <w:szCs w:val="18"/>
          <w:color w:val="4D4D4F"/>
        </w:rPr>
        <w:t>Title of each class of securities to which transaction applies:</w:t>
      </w:r>
    </w:p>
    <w:p>
      <w:pPr>
        <w:spacing w:after="0" w:line="225" w:lineRule="exact"/>
        <w:rPr>
          <w:rFonts w:ascii="Arial" w:cs="Arial" w:eastAsia="Arial" w:hAnsi="Arial"/>
          <w:sz w:val="18"/>
          <w:szCs w:val="18"/>
          <w:color w:val="4D4D4F"/>
        </w:rPr>
      </w:pPr>
    </w:p>
    <w:p>
      <w:pPr>
        <w:ind w:left="980" w:hanging="540"/>
        <w:spacing w:after="0"/>
        <w:tabs>
          <w:tab w:leader="none" w:pos="980" w:val="left"/>
        </w:tabs>
        <w:numPr>
          <w:ilvl w:val="1"/>
          <w:numId w:val="4"/>
        </w:numPr>
        <w:rPr>
          <w:rFonts w:ascii="Arial" w:cs="Arial" w:eastAsia="Arial" w:hAnsi="Arial"/>
          <w:sz w:val="18"/>
          <w:szCs w:val="18"/>
          <w:color w:val="4D4D4F"/>
        </w:rPr>
      </w:pPr>
      <w:r>
        <w:rPr>
          <w:rFonts w:ascii="Arial" w:cs="Arial" w:eastAsia="Arial" w:hAnsi="Arial"/>
          <w:sz w:val="18"/>
          <w:szCs w:val="18"/>
          <w:color w:val="4D4D4F"/>
        </w:rPr>
        <w:t>Aggregate number of securities to which transaction applies:</w:t>
      </w:r>
    </w:p>
    <w:p>
      <w:pPr>
        <w:spacing w:after="0" w:line="225" w:lineRule="exact"/>
        <w:rPr>
          <w:rFonts w:ascii="Arial" w:cs="Arial" w:eastAsia="Arial" w:hAnsi="Arial"/>
          <w:sz w:val="18"/>
          <w:szCs w:val="18"/>
          <w:color w:val="4D4D4F"/>
        </w:rPr>
      </w:pPr>
    </w:p>
    <w:p>
      <w:pPr>
        <w:ind w:left="980" w:hanging="540"/>
        <w:spacing w:after="0" w:line="246" w:lineRule="auto"/>
        <w:tabs>
          <w:tab w:leader="none" w:pos="980" w:val="left"/>
        </w:tabs>
        <w:numPr>
          <w:ilvl w:val="1"/>
          <w:numId w:val="4"/>
        </w:numPr>
        <w:rPr>
          <w:rFonts w:ascii="Arial" w:cs="Arial" w:eastAsia="Arial" w:hAnsi="Arial"/>
          <w:sz w:val="18"/>
          <w:szCs w:val="18"/>
          <w:color w:val="4D4D4F"/>
        </w:rPr>
      </w:pPr>
      <w:r>
        <w:rPr>
          <w:rFonts w:ascii="Arial" w:cs="Arial" w:eastAsia="Arial" w:hAnsi="Arial"/>
          <w:sz w:val="18"/>
          <w:szCs w:val="18"/>
          <w:color w:val="4D4D4F"/>
        </w:rPr>
        <w:t>Per unit price or other underlying value of transaction computed pursuant to Exchange Act Rule 0-11 (set forth the amount on which the filing fee is calculated and state how it was determined):</w:t>
      </w:r>
    </w:p>
    <w:p>
      <w:pPr>
        <w:spacing w:after="0" w:line="210" w:lineRule="exact"/>
        <w:rPr>
          <w:rFonts w:ascii="Arial" w:cs="Arial" w:eastAsia="Arial" w:hAnsi="Arial"/>
          <w:sz w:val="18"/>
          <w:szCs w:val="18"/>
          <w:color w:val="4D4D4F"/>
        </w:rPr>
      </w:pPr>
    </w:p>
    <w:p>
      <w:pPr>
        <w:ind w:left="980" w:hanging="540"/>
        <w:spacing w:after="0"/>
        <w:tabs>
          <w:tab w:leader="none" w:pos="980" w:val="left"/>
        </w:tabs>
        <w:numPr>
          <w:ilvl w:val="1"/>
          <w:numId w:val="4"/>
        </w:numPr>
        <w:rPr>
          <w:rFonts w:ascii="Arial" w:cs="Arial" w:eastAsia="Arial" w:hAnsi="Arial"/>
          <w:sz w:val="18"/>
          <w:szCs w:val="18"/>
          <w:color w:val="4D4D4F"/>
        </w:rPr>
      </w:pPr>
      <w:r>
        <w:rPr>
          <w:rFonts w:ascii="Arial" w:cs="Arial" w:eastAsia="Arial" w:hAnsi="Arial"/>
          <w:sz w:val="18"/>
          <w:szCs w:val="18"/>
          <w:color w:val="4D4D4F"/>
        </w:rPr>
        <w:t>Proposed maximum aggregate value of transaction:</w:t>
      </w:r>
    </w:p>
    <w:p>
      <w:pPr>
        <w:spacing w:after="0" w:line="225" w:lineRule="exact"/>
        <w:rPr>
          <w:rFonts w:ascii="Arial" w:cs="Arial" w:eastAsia="Arial" w:hAnsi="Arial"/>
          <w:sz w:val="18"/>
          <w:szCs w:val="18"/>
          <w:color w:val="4D4D4F"/>
        </w:rPr>
      </w:pPr>
    </w:p>
    <w:p>
      <w:pPr>
        <w:ind w:left="980" w:hanging="540"/>
        <w:spacing w:after="0"/>
        <w:tabs>
          <w:tab w:leader="none" w:pos="980" w:val="left"/>
        </w:tabs>
        <w:numPr>
          <w:ilvl w:val="1"/>
          <w:numId w:val="4"/>
        </w:numPr>
        <w:rPr>
          <w:rFonts w:ascii="Arial" w:cs="Arial" w:eastAsia="Arial" w:hAnsi="Arial"/>
          <w:sz w:val="18"/>
          <w:szCs w:val="18"/>
          <w:color w:val="4D4D4F"/>
        </w:rPr>
      </w:pPr>
      <w:r>
        <w:rPr>
          <w:rFonts w:ascii="Arial" w:cs="Arial" w:eastAsia="Arial" w:hAnsi="Arial"/>
          <w:sz w:val="18"/>
          <w:szCs w:val="18"/>
          <w:color w:val="4D4D4F"/>
        </w:rPr>
        <w:t>Total fee paid:</w:t>
      </w:r>
    </w:p>
    <w:p>
      <w:pPr>
        <w:spacing w:after="0" w:line="121" w:lineRule="exact"/>
        <w:rPr>
          <w:rFonts w:ascii="Arial" w:cs="Arial" w:eastAsia="Arial" w:hAnsi="Arial"/>
          <w:sz w:val="18"/>
          <w:szCs w:val="18"/>
          <w:color w:val="4D4D4F"/>
        </w:rPr>
      </w:pPr>
    </w:p>
    <w:p>
      <w:pPr>
        <w:ind w:left="440" w:hanging="432"/>
        <w:spacing w:after="0"/>
        <w:tabs>
          <w:tab w:leader="none" w:pos="440" w:val="left"/>
        </w:tabs>
        <w:numPr>
          <w:ilvl w:val="0"/>
          <w:numId w:val="4"/>
        </w:numPr>
        <w:rPr>
          <w:rFonts w:ascii="MS PGothic" w:cs="MS PGothic" w:eastAsia="MS PGothic" w:hAnsi="MS PGothic"/>
          <w:sz w:val="36"/>
          <w:szCs w:val="36"/>
          <w:color w:val="auto"/>
          <w:vertAlign w:val="superscript"/>
        </w:rPr>
      </w:pPr>
      <w:r>
        <w:rPr>
          <w:rFonts w:ascii="Arial" w:cs="Arial" w:eastAsia="Arial" w:hAnsi="Arial"/>
          <w:sz w:val="18"/>
          <w:szCs w:val="18"/>
          <w:color w:val="4D4D4F"/>
        </w:rPr>
        <w:t>Fee paid previously with preliminary materials.</w:t>
      </w:r>
    </w:p>
    <w:p>
      <w:pPr>
        <w:ind w:left="440" w:hanging="432"/>
        <w:spacing w:after="0" w:line="234" w:lineRule="auto"/>
        <w:tabs>
          <w:tab w:leader="none" w:pos="4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4D4D4F"/>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MS PGothic" w:cs="MS PGothic" w:eastAsia="MS PGothic" w:hAnsi="MS PGothic"/>
          <w:sz w:val="18"/>
          <w:szCs w:val="18"/>
          <w:color w:val="auto"/>
        </w:rPr>
      </w:pPr>
    </w:p>
    <w:p>
      <w:pPr>
        <w:ind w:left="980" w:hanging="540"/>
        <w:spacing w:after="0"/>
        <w:tabs>
          <w:tab w:leader="none" w:pos="980" w:val="left"/>
        </w:tabs>
        <w:numPr>
          <w:ilvl w:val="1"/>
          <w:numId w:val="4"/>
        </w:numPr>
        <w:rPr>
          <w:rFonts w:ascii="Arial" w:cs="Arial" w:eastAsia="Arial" w:hAnsi="Arial"/>
          <w:sz w:val="18"/>
          <w:szCs w:val="18"/>
          <w:color w:val="4D4D4F"/>
        </w:rPr>
      </w:pPr>
      <w:r>
        <w:rPr>
          <w:rFonts w:ascii="Arial" w:cs="Arial" w:eastAsia="Arial" w:hAnsi="Arial"/>
          <w:sz w:val="18"/>
          <w:szCs w:val="18"/>
          <w:color w:val="4D4D4F"/>
        </w:rPr>
        <w:t>Amount Previously Paid:</w:t>
      </w:r>
    </w:p>
    <w:p>
      <w:pPr>
        <w:spacing w:after="0" w:line="238" w:lineRule="exact"/>
        <w:rPr>
          <w:rFonts w:ascii="Arial" w:cs="Arial" w:eastAsia="Arial" w:hAnsi="Arial"/>
          <w:sz w:val="18"/>
          <w:szCs w:val="18"/>
          <w:color w:val="4D4D4F"/>
        </w:rPr>
      </w:pPr>
    </w:p>
    <w:p>
      <w:pPr>
        <w:ind w:left="980" w:hanging="540"/>
        <w:spacing w:after="0"/>
        <w:tabs>
          <w:tab w:leader="none" w:pos="980" w:val="left"/>
        </w:tabs>
        <w:numPr>
          <w:ilvl w:val="1"/>
          <w:numId w:val="4"/>
        </w:numPr>
        <w:rPr>
          <w:rFonts w:ascii="Arial" w:cs="Arial" w:eastAsia="Arial" w:hAnsi="Arial"/>
          <w:sz w:val="18"/>
          <w:szCs w:val="18"/>
          <w:color w:val="4D4D4F"/>
        </w:rPr>
      </w:pPr>
      <w:r>
        <w:rPr>
          <w:rFonts w:ascii="Arial" w:cs="Arial" w:eastAsia="Arial" w:hAnsi="Arial"/>
          <w:sz w:val="18"/>
          <w:szCs w:val="18"/>
          <w:color w:val="4D4D4F"/>
        </w:rPr>
        <w:t>Form, Schedule or Registration Statement No.:</w:t>
      </w:r>
    </w:p>
    <w:p>
      <w:pPr>
        <w:spacing w:after="0" w:line="238" w:lineRule="exact"/>
        <w:rPr>
          <w:rFonts w:ascii="Arial" w:cs="Arial" w:eastAsia="Arial" w:hAnsi="Arial"/>
          <w:sz w:val="18"/>
          <w:szCs w:val="18"/>
          <w:color w:val="4D4D4F"/>
        </w:rPr>
      </w:pPr>
    </w:p>
    <w:p>
      <w:pPr>
        <w:ind w:left="980" w:hanging="540"/>
        <w:spacing w:after="0"/>
        <w:tabs>
          <w:tab w:leader="none" w:pos="980" w:val="left"/>
        </w:tabs>
        <w:numPr>
          <w:ilvl w:val="1"/>
          <w:numId w:val="4"/>
        </w:numPr>
        <w:rPr>
          <w:rFonts w:ascii="Arial" w:cs="Arial" w:eastAsia="Arial" w:hAnsi="Arial"/>
          <w:sz w:val="18"/>
          <w:szCs w:val="18"/>
          <w:color w:val="4D4D4F"/>
        </w:rPr>
      </w:pPr>
      <w:r>
        <w:rPr>
          <w:rFonts w:ascii="Arial" w:cs="Arial" w:eastAsia="Arial" w:hAnsi="Arial"/>
          <w:sz w:val="18"/>
          <w:szCs w:val="18"/>
          <w:color w:val="4D4D4F"/>
        </w:rPr>
        <w:t>Filing Party:</w:t>
      </w:r>
    </w:p>
    <w:p>
      <w:pPr>
        <w:spacing w:after="0" w:line="238" w:lineRule="exact"/>
        <w:rPr>
          <w:rFonts w:ascii="Arial" w:cs="Arial" w:eastAsia="Arial" w:hAnsi="Arial"/>
          <w:sz w:val="18"/>
          <w:szCs w:val="18"/>
          <w:color w:val="4D4D4F"/>
        </w:rPr>
      </w:pPr>
    </w:p>
    <w:p>
      <w:pPr>
        <w:ind w:left="980" w:hanging="540"/>
        <w:spacing w:after="0"/>
        <w:tabs>
          <w:tab w:leader="none" w:pos="980" w:val="left"/>
        </w:tabs>
        <w:numPr>
          <w:ilvl w:val="1"/>
          <w:numId w:val="4"/>
        </w:numPr>
        <w:rPr>
          <w:rFonts w:ascii="Arial" w:cs="Arial" w:eastAsia="Arial" w:hAnsi="Arial"/>
          <w:sz w:val="18"/>
          <w:szCs w:val="18"/>
          <w:color w:val="4D4D4F"/>
        </w:rPr>
      </w:pPr>
      <w:r>
        <w:rPr>
          <w:rFonts w:ascii="Arial" w:cs="Arial" w:eastAsia="Arial" w:hAnsi="Arial"/>
          <w:sz w:val="18"/>
          <w:szCs w:val="18"/>
          <w:color w:val="4D4D4F"/>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622300</wp:posOffset>
            </wp:positionH>
            <wp:positionV relativeFrom="paragraph">
              <wp:posOffset>126365</wp:posOffset>
            </wp:positionV>
            <wp:extent cx="651510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15100" cy="1714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-147320</wp:posOffset>
            </wp:positionV>
            <wp:extent cx="651510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15100" cy="1714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-430530</wp:posOffset>
            </wp:positionV>
            <wp:extent cx="651510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15100" cy="1714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-713105</wp:posOffset>
            </wp:positionV>
            <wp:extent cx="651510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15100" cy="1714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-1416050</wp:posOffset>
            </wp:positionV>
            <wp:extent cx="651510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15100" cy="1714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-1690370</wp:posOffset>
            </wp:positionV>
            <wp:extent cx="651510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15100" cy="1714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-1964690</wp:posOffset>
            </wp:positionV>
            <wp:extent cx="651510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15100" cy="1714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-2367915</wp:posOffset>
            </wp:positionV>
            <wp:extent cx="651510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15100" cy="1714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-2642235</wp:posOffset>
            </wp:positionV>
            <wp:extent cx="651510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1510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614680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53917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5391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20"/>
        <w:spacing w:after="0"/>
        <w:rPr>
          <w:sz w:val="20"/>
          <w:szCs w:val="20"/>
          <w:color w:val="auto"/>
        </w:rPr>
      </w:pPr>
      <w:r>
        <w:rPr>
          <w:rFonts w:ascii="Arial" w:cs="Arial" w:eastAsia="Arial" w:hAnsi="Arial"/>
          <w:sz w:val="58"/>
          <w:szCs w:val="58"/>
          <w:color w:val="FFFFFF"/>
        </w:rPr>
        <w:t>NOTICE OF</w:t>
      </w:r>
    </w:p>
    <w:p>
      <w:pPr>
        <w:jc w:val="center"/>
        <w:ind w:right="-120"/>
        <w:spacing w:after="0"/>
        <w:rPr>
          <w:sz w:val="20"/>
          <w:szCs w:val="20"/>
          <w:color w:val="auto"/>
        </w:rPr>
      </w:pPr>
      <w:r>
        <w:rPr>
          <w:rFonts w:ascii="Arial" w:cs="Arial" w:eastAsia="Arial" w:hAnsi="Arial"/>
          <w:sz w:val="57"/>
          <w:szCs w:val="57"/>
          <w:color w:val="FFFFFF"/>
        </w:rPr>
        <w:t>2021 ANNUAL MEETING</w:t>
      </w:r>
    </w:p>
    <w:p>
      <w:pPr>
        <w:spacing w:after="0" w:line="6" w:lineRule="exact"/>
        <w:rPr>
          <w:sz w:val="20"/>
          <w:szCs w:val="20"/>
          <w:color w:val="auto"/>
        </w:rPr>
      </w:pPr>
    </w:p>
    <w:p>
      <w:pPr>
        <w:jc w:val="center"/>
        <w:ind w:right="-120"/>
        <w:spacing w:after="0"/>
        <w:rPr>
          <w:sz w:val="20"/>
          <w:szCs w:val="20"/>
          <w:color w:val="auto"/>
        </w:rPr>
      </w:pPr>
      <w:r>
        <w:rPr>
          <w:rFonts w:ascii="Arial" w:cs="Arial" w:eastAsia="Arial" w:hAnsi="Arial"/>
          <w:sz w:val="58"/>
          <w:szCs w:val="58"/>
          <w:color w:val="FFFFFF"/>
        </w:rPr>
        <w:t>OF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20"/>
        <w:spacing w:after="0"/>
        <w:rPr>
          <w:sz w:val="20"/>
          <w:szCs w:val="20"/>
          <w:color w:val="auto"/>
        </w:rPr>
      </w:pPr>
      <w:r>
        <w:rPr>
          <w:rFonts w:ascii="Arial" w:cs="Arial" w:eastAsia="Arial" w:hAnsi="Arial"/>
          <w:sz w:val="32"/>
          <w:szCs w:val="32"/>
          <w:i w:val="1"/>
          <w:iCs w:val="1"/>
          <w:color w:val="FFFFFF"/>
        </w:rPr>
        <w:t>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20"/>
        <w:spacing w:after="0"/>
        <w:rPr>
          <w:sz w:val="20"/>
          <w:szCs w:val="20"/>
          <w:color w:val="auto"/>
        </w:rPr>
      </w:pPr>
      <w:r>
        <w:rPr>
          <w:rFonts w:ascii="Arial" w:cs="Arial" w:eastAsia="Arial" w:hAnsi="Arial"/>
          <w:sz w:val="50"/>
          <w:szCs w:val="50"/>
          <w:color w:val="FFFFFF"/>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123190</wp:posOffset>
            </wp:positionV>
            <wp:extent cx="7132320" cy="2168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2168525"/>
                    </a:xfrm>
                    <a:prstGeom prst="rect">
                      <a:avLst/>
                    </a:prstGeom>
                    <a:noFill/>
                  </pic:spPr>
                </pic:pic>
              </a:graphicData>
            </a:graphic>
          </wp:anchor>
        </w:drawing>
      </w:r>
    </w:p>
    <w:p>
      <w:pPr>
        <w:sectPr>
          <w:pgSz w:w="11900" w:h="16838" w:orient="portrait"/>
          <w:cols w:equalWidth="0" w:num="1">
            <w:col w:w="9159"/>
          </w:cols>
          <w:pgMar w:left="1300" w:top="1440" w:right="1440" w:bottom="1440" w:gutter="0" w:footer="0" w:header="0"/>
        </w:sectPr>
      </w:pPr>
    </w:p>
    <w:p>
      <w:pPr>
        <w:spacing w:after="0" w:line="208" w:lineRule="exact"/>
        <w:rPr>
          <w:sz w:val="20"/>
          <w:szCs w:val="20"/>
          <w:color w:val="auto"/>
        </w:rPr>
      </w:pPr>
    </w:p>
    <w:p>
      <w:pPr>
        <w:spacing w:after="0"/>
        <w:rPr>
          <w:sz w:val="20"/>
          <w:szCs w:val="20"/>
          <w:color w:val="auto"/>
        </w:rPr>
      </w:pPr>
      <w:r>
        <w:rPr>
          <w:rFonts w:ascii="Arial" w:cs="Arial" w:eastAsia="Arial" w:hAnsi="Arial"/>
          <w:sz w:val="29"/>
          <w:szCs w:val="29"/>
          <w:b w:val="1"/>
          <w:bCs w:val="1"/>
          <w:color w:val="FFFFFF"/>
        </w:rPr>
        <w:t>2021 Annual Meeting</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FFFFFF"/>
        </w:rPr>
        <w:t>June 2, 2021</w:t>
      </w:r>
    </w:p>
    <w:p>
      <w:pPr>
        <w:spacing w:after="0"/>
        <w:rPr>
          <w:sz w:val="20"/>
          <w:szCs w:val="20"/>
          <w:color w:val="auto"/>
        </w:rPr>
      </w:pPr>
      <w:r>
        <w:rPr>
          <w:rFonts w:ascii="Arial" w:cs="Arial" w:eastAsia="Arial" w:hAnsi="Arial"/>
          <w:sz w:val="22"/>
          <w:szCs w:val="22"/>
          <w:color w:val="FFFFFF"/>
        </w:rPr>
        <w:t>7 a.m., Pacific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0"/>
        <w:spacing w:after="0" w:line="257" w:lineRule="auto"/>
        <w:rPr>
          <w:sz w:val="20"/>
          <w:szCs w:val="20"/>
          <w:color w:val="auto"/>
        </w:rPr>
      </w:pPr>
      <w:r>
        <w:rPr>
          <w:rFonts w:ascii="Arial" w:cs="Arial" w:eastAsia="Arial" w:hAnsi="Arial"/>
          <w:sz w:val="19"/>
          <w:szCs w:val="19"/>
          <w:color w:val="FFFFFF"/>
        </w:rPr>
        <w:t xml:space="preserve">Virtual-only meeting, with webcast access at </w:t>
      </w:r>
      <w:r>
        <w:rPr>
          <w:rFonts w:ascii="Arial" w:cs="Arial" w:eastAsia="Arial" w:hAnsi="Arial"/>
          <w:sz w:val="19"/>
          <w:szCs w:val="19"/>
          <w:i w:val="1"/>
          <w:iCs w:val="1"/>
          <w:color w:val="FFFFFF"/>
        </w:rPr>
        <w:t>virtualshareholdermeeting.com/ACMR2021</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Arial" w:cs="Arial" w:eastAsia="Arial" w:hAnsi="Arial"/>
          <w:sz w:val="29"/>
          <w:szCs w:val="29"/>
          <w:b w:val="1"/>
          <w:bCs w:val="1"/>
          <w:color w:val="FFFFFF"/>
        </w:rPr>
        <w:t>Inside</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color w:val="FFFFFF"/>
        </w:rPr>
        <w:t>CEO’s letter to stockholders</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FFFFFF"/>
        </w:rPr>
        <w:t>Information on four voting proposals:</w:t>
      </w:r>
    </w:p>
    <w:p>
      <w:pPr>
        <w:spacing w:after="0" w:line="267" w:lineRule="exact"/>
        <w:rPr>
          <w:sz w:val="20"/>
          <w:szCs w:val="20"/>
          <w:color w:val="auto"/>
        </w:rPr>
      </w:pPr>
    </w:p>
    <w:p>
      <w:pPr>
        <w:ind w:left="700"/>
        <w:spacing w:after="0"/>
        <w:rPr>
          <w:sz w:val="20"/>
          <w:szCs w:val="20"/>
          <w:color w:val="auto"/>
        </w:rPr>
      </w:pPr>
      <w:r>
        <w:rPr>
          <w:rFonts w:ascii="Arial" w:cs="Arial" w:eastAsia="Arial" w:hAnsi="Arial"/>
          <w:sz w:val="16"/>
          <w:szCs w:val="16"/>
          <w:color w:val="FFFFFF"/>
        </w:rPr>
        <w:t>Election of five directors</w:t>
      </w:r>
    </w:p>
    <w:p>
      <w:pPr>
        <w:spacing w:after="0" w:line="154" w:lineRule="exact"/>
        <w:rPr>
          <w:sz w:val="20"/>
          <w:szCs w:val="20"/>
          <w:color w:val="auto"/>
        </w:rPr>
      </w:pPr>
    </w:p>
    <w:p>
      <w:pPr>
        <w:ind w:left="700" w:right="139"/>
        <w:spacing w:after="0" w:line="275" w:lineRule="auto"/>
        <w:rPr>
          <w:sz w:val="20"/>
          <w:szCs w:val="20"/>
          <w:color w:val="auto"/>
        </w:rPr>
      </w:pPr>
      <w:r>
        <w:rPr>
          <w:rFonts w:ascii="Arial" w:cs="Arial" w:eastAsia="Arial" w:hAnsi="Arial"/>
          <w:sz w:val="16"/>
          <w:szCs w:val="16"/>
          <w:color w:val="FFFFFF"/>
        </w:rPr>
        <w:t>Amendments to certificate of incorporation principally to increase numbers of authorized shares of common stock</w:t>
      </w:r>
    </w:p>
    <w:p>
      <w:pPr>
        <w:spacing w:after="0" w:line="2" w:lineRule="exact"/>
        <w:rPr>
          <w:sz w:val="20"/>
          <w:szCs w:val="20"/>
          <w:color w:val="auto"/>
        </w:rPr>
      </w:pPr>
    </w:p>
    <w:p>
      <w:pPr>
        <w:ind w:left="700"/>
        <w:spacing w:after="0"/>
        <w:rPr>
          <w:sz w:val="20"/>
          <w:szCs w:val="20"/>
          <w:color w:val="auto"/>
        </w:rPr>
      </w:pPr>
      <w:r>
        <w:rPr>
          <w:rFonts w:ascii="Arial" w:cs="Arial" w:eastAsia="Arial" w:hAnsi="Arial"/>
          <w:sz w:val="16"/>
          <w:szCs w:val="16"/>
          <w:color w:val="FFFFFF"/>
          <w:shd w:val="clear" w:color="auto" w:fill="4D4D4F"/>
        </w:rPr>
        <w:t>Ratification of appointment of independent</w:t>
      </w:r>
    </w:p>
    <w:p>
      <w:pPr>
        <w:spacing w:after="0" w:line="40" w:lineRule="exact"/>
        <w:rPr>
          <w:sz w:val="20"/>
          <w:szCs w:val="20"/>
          <w:color w:val="auto"/>
        </w:rPr>
      </w:pPr>
    </w:p>
    <w:p>
      <w:pPr>
        <w:ind w:left="700"/>
        <w:spacing w:after="0"/>
        <w:rPr>
          <w:sz w:val="20"/>
          <w:szCs w:val="20"/>
          <w:color w:val="auto"/>
        </w:rPr>
      </w:pPr>
      <w:r>
        <w:rPr>
          <w:rFonts w:ascii="Arial" w:cs="Arial" w:eastAsia="Arial" w:hAnsi="Arial"/>
          <w:sz w:val="18"/>
          <w:szCs w:val="18"/>
          <w:color w:val="FFFFFF"/>
        </w:rPr>
        <w:t>auditor for 2021</w:t>
      </w:r>
    </w:p>
    <w:p>
      <w:pPr>
        <w:spacing w:after="0" w:line="218" w:lineRule="exact"/>
        <w:rPr>
          <w:sz w:val="20"/>
          <w:szCs w:val="20"/>
          <w:color w:val="auto"/>
        </w:rPr>
      </w:pPr>
    </w:p>
    <w:p>
      <w:pPr>
        <w:ind w:left="700"/>
        <w:spacing w:after="0"/>
        <w:rPr>
          <w:sz w:val="20"/>
          <w:szCs w:val="20"/>
          <w:color w:val="auto"/>
        </w:rPr>
      </w:pPr>
      <w:r>
        <w:rPr>
          <w:rFonts w:ascii="Arial" w:cs="Arial" w:eastAsia="Arial" w:hAnsi="Arial"/>
          <w:sz w:val="16"/>
          <w:szCs w:val="16"/>
          <w:color w:val="FFFFFF"/>
        </w:rPr>
        <w:t>Advisory vote on 2020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-3664585</wp:posOffset>
            </wp:positionH>
            <wp:positionV relativeFrom="paragraph">
              <wp:posOffset>379095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4080" w:space="720"/>
            <w:col w:w="4359"/>
          </w:cols>
          <w:pgMar w:left="1300" w:top="1440" w:right="1440" w:bottom="1440" w:gutter="0" w:footer="0" w:header="0"/>
          <w:type w:val="continuous"/>
        </w:sectPr>
      </w:pPr>
    </w:p>
    <w:bookmarkStart w:id="2" w:name="page3"/>
    <w:bookmarkEnd w:id="2"/>
    <w:p>
      <w:pPr>
        <w:jc w:val="right"/>
        <w:spacing w:after="0"/>
        <w:rPr>
          <w:sz w:val="20"/>
          <w:szCs w:val="20"/>
          <w:color w:val="auto"/>
        </w:rPr>
      </w:pPr>
      <w:r>
        <w:rPr>
          <w:rFonts w:ascii="Arial" w:cs="Arial" w:eastAsia="Arial" w:hAnsi="Arial"/>
          <w:sz w:val="22"/>
          <w:szCs w:val="22"/>
          <w:b w:val="1"/>
          <w:bCs w:val="1"/>
          <w:color w:val="4D4D4F"/>
        </w:rPr>
        <w:drawing>
          <wp:anchor simplePos="0" relativeHeight="251657728" behindDoc="1" locked="0" layoutInCell="0" allowOverlap="1">
            <wp:simplePos x="0" y="0"/>
            <wp:positionH relativeFrom="page">
              <wp:posOffset>208280</wp:posOffset>
            </wp:positionH>
            <wp:positionV relativeFrom="page">
              <wp:posOffset>88900</wp:posOffset>
            </wp:positionV>
            <wp:extent cx="1217295" cy="7626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217295" cy="762635"/>
                    </a:xfrm>
                    <a:prstGeom prst="rect">
                      <a:avLst/>
                    </a:prstGeom>
                    <a:noFill/>
                  </pic:spPr>
                </pic:pic>
              </a:graphicData>
            </a:graphic>
          </wp:anchor>
        </w:drawing>
        <w:t>42307 Osgood Rd, Suite I</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4D4D4F"/>
        </w:rPr>
        <w:t>Fremont, California 94539</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4D4D4F"/>
        </w:rPr>
        <w:t>April</w:t>
        <w:tab/>
        <w:t>, 2021</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color w:val="4D4D4F"/>
        </w:rPr>
        <w:t>Dear Fellow Stockholder:</w:t>
      </w:r>
    </w:p>
    <w:p>
      <w:pPr>
        <w:spacing w:after="0" w:line="17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4D4D4F"/>
        </w:rPr>
        <w:t xml:space="preserve">It is my pleasure to invite you to attend the Annual Meeting of Stockholders of ACM Research, Inc. to be held on June 2, 2021, at 7 a.m., Pacific time. This year’s Annual Meeting will be a “virtual meeting” conducted via live audio webcast, consistent with our prior practice and with prudent planning in light of the public health risks attributable to the COVID-19 (Coronavirus) pandemic. Each holder of Class A or Class B common stock as of 5 p.m., Eastern time, on the record date of April 8, 2021, will be able to participate in the Annual Meeting by accessing a live webcast at </w:t>
      </w:r>
      <w:r>
        <w:rPr>
          <w:rFonts w:ascii="Arial" w:cs="Arial" w:eastAsia="Arial" w:hAnsi="Arial"/>
          <w:sz w:val="18"/>
          <w:szCs w:val="18"/>
          <w:i w:val="1"/>
          <w:iCs w:val="1"/>
          <w:color w:val="4D4D4F"/>
        </w:rPr>
        <w:t>virtualshareholdermeeting.com/ACMR2021</w:t>
      </w:r>
      <w:r>
        <w:rPr>
          <w:rFonts w:ascii="Arial" w:cs="Arial" w:eastAsia="Arial" w:hAnsi="Arial"/>
          <w:sz w:val="18"/>
          <w:szCs w:val="18"/>
          <w:color w:val="4D4D4F"/>
        </w:rPr>
        <w:t xml:space="preserve"> and entering the control number included on the stockholder’s Notice of Internet Availability of Proxy Materials or proxy card. Stockholders will also be able to vote their shares and submit questions via the Internet during the meeting by participating in the webcast.</w:t>
      </w:r>
    </w:p>
    <w:p>
      <w:pPr>
        <w:spacing w:after="0" w:line="17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4D4D4F"/>
        </w:rPr>
        <w:t>During the Annual Meeting, stockholders will be asked to elect the entire board of directors, to approve amendments to our certificate of incorporation principally to increase the numbers of authorized shares of common stock and to ratify the appointment of BDO China Shu Lun Pan Certified Public Accountants LLP as our independent auditor for 2021. We will also be asking stockholders to approve, by an advisory vote, our 2020 executive compensation as disclosed in the Proxy Statement for the Annual Meeting (a “say-on-pay”) vote. Each of these matters is important, and we urge you to vote in favor of the election of each of the director nominees, the amendments to our certificate of incorporation, the ratification of the appointment of independent auditor, and the say-on-pay vote.</w:t>
      </w:r>
    </w:p>
    <w:p>
      <w:pPr>
        <w:spacing w:after="0" w:line="16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4D4D4F"/>
        </w:rPr>
        <w:t>We are furnishing proxy materials to our stockholders over the Internet. This process expedites the delivery of proxy materials to our stockholders, lowers our costs and reduces the environmental impact of the Annual Meeting. Today we are sending to each of our stockholders a Notice of Internet Availability of Proxy Materials containing instructions on how to access our Proxy Statement for the Annual Meeting and our 2020 Annual Report to Stockholders, as well as how to vote via proxy either by telephone or over the Internet.</w:t>
      </w:r>
    </w:p>
    <w:p>
      <w:pPr>
        <w:spacing w:after="0" w:line="164" w:lineRule="exact"/>
        <w:rPr>
          <w:sz w:val="20"/>
          <w:szCs w:val="20"/>
          <w:color w:val="auto"/>
        </w:rPr>
      </w:pPr>
    </w:p>
    <w:p>
      <w:pPr>
        <w:jc w:val="both"/>
        <w:spacing w:after="0"/>
        <w:rPr>
          <w:sz w:val="20"/>
          <w:szCs w:val="20"/>
          <w:color w:val="auto"/>
        </w:rPr>
      </w:pPr>
      <w:r>
        <w:rPr>
          <w:rFonts w:ascii="Arial" w:cs="Arial" w:eastAsia="Arial" w:hAnsi="Arial"/>
          <w:sz w:val="18"/>
          <w:szCs w:val="18"/>
          <w:color w:val="4D4D4F"/>
        </w:rPr>
        <w:t>It is important that you vote your shares of Class A and Class B common stock virtually or by proxy, regardless of the number of shares you own. You will find the instructions for voting on your Notice of Internet Availability of Proxy Materials or proxy card. We appreciate your prompt attention.</w:t>
      </w:r>
    </w:p>
    <w:p>
      <w:pPr>
        <w:spacing w:after="0" w:line="17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4D4D4F"/>
        </w:rPr>
        <w:t>The board invites you to participate in the Annual Meeting so that management can listen to your suggestions, answer your questions, and discuss business developments and trends with you. Thank you for your support, and we look forward to joining you at the Annual Meeting.</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4D4D4F"/>
        </w:rPr>
        <w:t>Sincerely,</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color w:val="4D4D4F"/>
        </w:rPr>
        <w:t>David H. Wang</w:t>
      </w:r>
    </w:p>
    <w:p>
      <w:pPr>
        <w:spacing w:after="0"/>
        <w:rPr>
          <w:sz w:val="20"/>
          <w:szCs w:val="20"/>
          <w:color w:val="auto"/>
        </w:rPr>
      </w:pPr>
      <w:r>
        <w:rPr>
          <w:rFonts w:ascii="Arial" w:cs="Arial" w:eastAsia="Arial" w:hAnsi="Arial"/>
          <w:sz w:val="18"/>
          <w:szCs w:val="18"/>
          <w:i w:val="1"/>
          <w:iCs w:val="1"/>
          <w:color w:val="4D4D4F"/>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i w:val="1"/>
          <w:iCs w:val="1"/>
          <w:color w:val="4D4D4F"/>
        </w:rPr>
        <w:drawing>
          <wp:anchor simplePos="0" relativeHeight="251657728" behindDoc="1" locked="0" layoutInCell="0" allowOverlap="1">
            <wp:simplePos x="0" y="0"/>
            <wp:positionH relativeFrom="page">
              <wp:posOffset>208280</wp:posOffset>
            </wp:positionH>
            <wp:positionV relativeFrom="page">
              <wp:posOffset>88900</wp:posOffset>
            </wp:positionV>
            <wp:extent cx="1217295" cy="737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217295" cy="737235"/>
                    </a:xfrm>
                    <a:prstGeom prst="rect">
                      <a:avLst/>
                    </a:prstGeom>
                    <a:noFill/>
                  </pic:spPr>
                </pic:pic>
              </a:graphicData>
            </a:graphic>
          </wp:anchor>
        </w:drawing>
        <w:t>NOTICE OF</w:t>
      </w:r>
    </w:p>
    <w:p>
      <w:pPr>
        <w:spacing w:after="0" w:line="45" w:lineRule="exact"/>
        <w:rPr>
          <w:sz w:val="20"/>
          <w:szCs w:val="20"/>
          <w:color w:val="auto"/>
        </w:rPr>
      </w:pPr>
    </w:p>
    <w:p>
      <w:pPr>
        <w:jc w:val="right"/>
        <w:spacing w:after="0"/>
        <w:rPr>
          <w:sz w:val="20"/>
          <w:szCs w:val="20"/>
          <w:color w:val="auto"/>
        </w:rPr>
      </w:pPr>
      <w:r>
        <w:rPr>
          <w:rFonts w:ascii="Arial" w:cs="Arial" w:eastAsia="Arial" w:hAnsi="Arial"/>
          <w:sz w:val="22"/>
          <w:szCs w:val="22"/>
          <w:b w:val="1"/>
          <w:bCs w:val="1"/>
          <w:i w:val="1"/>
          <w:iCs w:val="1"/>
          <w:color w:val="4D4D4F"/>
        </w:rPr>
        <w:t>2021 ANNUAL MEETING OF STOCKHOLDERS</w:t>
      </w:r>
    </w:p>
    <w:p>
      <w:pPr>
        <w:sectPr>
          <w:pgSz w:w="11900" w:h="16838" w:orient="portrait"/>
          <w:cols w:equalWidth="0" w:num="1">
            <w:col w:w="11240"/>
          </w:cols>
          <w:pgMar w:left="320" w:top="731" w:right="33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0079C0"/>
        </w:rPr>
        <w:t>To Stockholders of ACM Research,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50"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4D4D4F"/>
        </w:rPr>
        <w:t>The board of directors is soliciting proxies for use at the ACM Research, Inc. 2021 Annual Meeting. You are receiving the enclosed proxy statement because you were a holder of Class A or Class B common stock as of 5 p.m., Eastern time, on the record date of April 8, 2021 and therefore are entitled to vote at the Annual Meeting.</w:t>
      </w:r>
    </w:p>
    <w:p>
      <w:pPr>
        <w:spacing w:after="0" w:line="154" w:lineRule="exact"/>
        <w:rPr>
          <w:sz w:val="20"/>
          <w:szCs w:val="20"/>
          <w:color w:val="auto"/>
        </w:rPr>
      </w:pPr>
    </w:p>
    <w:p>
      <w:pPr>
        <w:jc w:val="both"/>
        <w:spacing w:after="0" w:line="230" w:lineRule="auto"/>
        <w:rPr>
          <w:sz w:val="20"/>
          <w:szCs w:val="20"/>
          <w:color w:val="auto"/>
        </w:rPr>
      </w:pPr>
      <w:r>
        <w:rPr>
          <w:rFonts w:ascii="Arial" w:cs="Arial" w:eastAsia="Arial" w:hAnsi="Arial"/>
          <w:sz w:val="22"/>
          <w:szCs w:val="22"/>
          <w:color w:val="4D4D4F"/>
        </w:rPr>
        <w:t>You may participate in the Annual Meeting, including casting votes and submitting questions, by accessing a</w:t>
      </w:r>
    </w:p>
    <w:p>
      <w:pPr>
        <w:spacing w:after="0" w:line="1" w:lineRule="exact"/>
        <w:rPr>
          <w:sz w:val="20"/>
          <w:szCs w:val="20"/>
          <w:color w:val="auto"/>
        </w:rPr>
      </w:pPr>
    </w:p>
    <w:p>
      <w:pPr>
        <w:jc w:val="both"/>
        <w:spacing w:after="0" w:line="231" w:lineRule="auto"/>
        <w:rPr>
          <w:sz w:val="20"/>
          <w:szCs w:val="20"/>
          <w:color w:val="auto"/>
        </w:rPr>
      </w:pPr>
      <w:r>
        <w:rPr>
          <w:rFonts w:ascii="Arial" w:cs="Arial" w:eastAsia="Arial" w:hAnsi="Arial"/>
          <w:sz w:val="22"/>
          <w:szCs w:val="22"/>
          <w:color w:val="4D4D4F"/>
        </w:rPr>
        <w:t xml:space="preserve">live webcast at </w:t>
      </w:r>
      <w:r>
        <w:rPr>
          <w:rFonts w:ascii="Arial" w:cs="Arial" w:eastAsia="Arial" w:hAnsi="Arial"/>
          <w:sz w:val="22"/>
          <w:szCs w:val="22"/>
          <w:i w:val="1"/>
          <w:iCs w:val="1"/>
          <w:color w:val="4D4D4F"/>
        </w:rPr>
        <w:t xml:space="preserve">virtualshareholdermeeting.com/ACMR2021 </w:t>
      </w:r>
      <w:r>
        <w:rPr>
          <w:rFonts w:ascii="Arial" w:cs="Arial" w:eastAsia="Arial" w:hAnsi="Arial"/>
          <w:sz w:val="22"/>
          <w:szCs w:val="22"/>
          <w:color w:val="4D4D4F"/>
        </w:rPr>
        <w:t>and then</w:t>
      </w:r>
      <w:r>
        <w:rPr>
          <w:rFonts w:ascii="Arial" w:cs="Arial" w:eastAsia="Arial" w:hAnsi="Arial"/>
          <w:sz w:val="22"/>
          <w:szCs w:val="22"/>
          <w:i w:val="1"/>
          <w:iCs w:val="1"/>
          <w:color w:val="4D4D4F"/>
        </w:rPr>
        <w:t xml:space="preserve"> </w:t>
      </w:r>
      <w:r>
        <w:rPr>
          <w:rFonts w:ascii="Arial" w:cs="Arial" w:eastAsia="Arial" w:hAnsi="Arial"/>
          <w:sz w:val="22"/>
          <w:szCs w:val="22"/>
          <w:color w:val="4D4D4F"/>
        </w:rPr>
        <w:t>using the 16-digit control number provided on the Notice of Internet Availability of Proxy Materials or proxy card being delivered to the stockholder. Online check-in to the Annual Meeting will begin at 6:45 a.m., Pacific time, and stockholders are encouraged to allow time to log in to the meeting webcast and test their computer audio system. There will be no physical location for the Annual Meeting. The Annual Meeting will be held to consider and vote upon:</w:t>
      </w:r>
    </w:p>
    <w:p>
      <w:pPr>
        <w:spacing w:after="0" w:line="37" w:lineRule="exact"/>
        <w:rPr>
          <w:sz w:val="20"/>
          <w:szCs w:val="20"/>
          <w:color w:val="auto"/>
        </w:rPr>
      </w:pPr>
    </w:p>
    <w:p>
      <w:pPr>
        <w:spacing w:after="0"/>
        <w:tabs>
          <w:tab w:leader="none" w:pos="1280" w:val="left"/>
        </w:tabs>
        <w:rPr>
          <w:sz w:val="20"/>
          <w:szCs w:val="20"/>
          <w:color w:val="auto"/>
        </w:rPr>
      </w:pPr>
      <w:r>
        <w:rPr>
          <w:rFonts w:ascii="Arial" w:cs="Arial" w:eastAsia="Arial" w:hAnsi="Arial"/>
          <w:sz w:val="16"/>
          <w:szCs w:val="16"/>
          <w:b w:val="1"/>
          <w:bCs w:val="1"/>
          <w:color w:val="17365D"/>
        </w:rPr>
        <w:t>Proposal 1.</w:t>
      </w:r>
      <w:r>
        <w:rPr>
          <w:sz w:val="20"/>
          <w:szCs w:val="20"/>
          <w:color w:val="auto"/>
        </w:rPr>
        <w:tab/>
      </w:r>
      <w:r>
        <w:rPr>
          <w:rFonts w:ascii="Arial" w:cs="Arial" w:eastAsia="Arial" w:hAnsi="Arial"/>
          <w:sz w:val="16"/>
          <w:szCs w:val="16"/>
          <w:b w:val="1"/>
          <w:bCs w:val="1"/>
          <w:color w:val="17365D"/>
        </w:rPr>
        <w:t>Election of five directors</w:t>
      </w:r>
    </w:p>
    <w:p>
      <w:pPr>
        <w:spacing w:after="0" w:line="59" w:lineRule="exact"/>
        <w:rPr>
          <w:sz w:val="20"/>
          <w:szCs w:val="20"/>
          <w:color w:val="auto"/>
        </w:rPr>
      </w:pPr>
    </w:p>
    <w:p>
      <w:pPr>
        <w:jc w:val="both"/>
        <w:ind w:left="1300" w:right="20" w:hanging="1295"/>
        <w:spacing w:after="0" w:line="266" w:lineRule="auto"/>
        <w:tabs>
          <w:tab w:leader="none" w:pos="1280" w:val="left"/>
        </w:tabs>
        <w:rPr>
          <w:sz w:val="20"/>
          <w:szCs w:val="20"/>
          <w:color w:val="auto"/>
        </w:rPr>
      </w:pPr>
      <w:r>
        <w:rPr>
          <w:rFonts w:ascii="Arial" w:cs="Arial" w:eastAsia="Arial" w:hAnsi="Arial"/>
          <w:sz w:val="16"/>
          <w:szCs w:val="16"/>
          <w:b w:val="1"/>
          <w:bCs w:val="1"/>
          <w:color w:val="17365D"/>
        </w:rPr>
        <w:t>Proposal 2.</w:t>
      </w:r>
      <w:r>
        <w:rPr>
          <w:sz w:val="20"/>
          <w:szCs w:val="20"/>
          <w:color w:val="auto"/>
        </w:rPr>
        <w:tab/>
      </w:r>
      <w:r>
        <w:rPr>
          <w:rFonts w:ascii="Arial" w:cs="Arial" w:eastAsia="Arial" w:hAnsi="Arial"/>
          <w:sz w:val="16"/>
          <w:szCs w:val="16"/>
          <w:b w:val="1"/>
          <w:bCs w:val="1"/>
          <w:color w:val="17365D"/>
        </w:rPr>
        <w:t>Amendments to certificate of incorporation principally to increase numbers of authorized shares of common stock</w:t>
      </w:r>
    </w:p>
    <w:p>
      <w:pPr>
        <w:spacing w:after="0" w:line="9" w:lineRule="exact"/>
        <w:rPr>
          <w:sz w:val="20"/>
          <w:szCs w:val="20"/>
          <w:color w:val="auto"/>
        </w:rPr>
      </w:pPr>
    </w:p>
    <w:p>
      <w:pPr>
        <w:jc w:val="both"/>
        <w:ind w:left="1300" w:right="20" w:hanging="1295"/>
        <w:spacing w:after="0" w:line="281" w:lineRule="auto"/>
        <w:tabs>
          <w:tab w:leader="none" w:pos="1280" w:val="left"/>
        </w:tabs>
        <w:rPr>
          <w:sz w:val="20"/>
          <w:szCs w:val="20"/>
          <w:color w:val="auto"/>
        </w:rPr>
      </w:pPr>
      <w:r>
        <w:rPr>
          <w:rFonts w:ascii="Arial" w:cs="Arial" w:eastAsia="Arial" w:hAnsi="Arial"/>
          <w:sz w:val="16"/>
          <w:szCs w:val="16"/>
          <w:b w:val="1"/>
          <w:bCs w:val="1"/>
          <w:color w:val="17365D"/>
        </w:rPr>
        <w:t>Proposal 3.</w:t>
      </w:r>
      <w:r>
        <w:rPr>
          <w:sz w:val="20"/>
          <w:szCs w:val="20"/>
          <w:color w:val="auto"/>
        </w:rPr>
        <w:tab/>
      </w:r>
      <w:r>
        <w:rPr>
          <w:rFonts w:ascii="Arial" w:cs="Arial" w:eastAsia="Arial" w:hAnsi="Arial"/>
          <w:sz w:val="16"/>
          <w:szCs w:val="16"/>
          <w:b w:val="1"/>
          <w:bCs w:val="1"/>
          <w:color w:val="17365D"/>
        </w:rPr>
        <w:t>Ratification of appointment of independent auditor for 2021</w:t>
      </w:r>
    </w:p>
    <w:p>
      <w:pPr>
        <w:spacing w:after="0" w:line="1" w:lineRule="exact"/>
        <w:rPr>
          <w:sz w:val="20"/>
          <w:szCs w:val="20"/>
          <w:color w:val="auto"/>
        </w:rPr>
      </w:pPr>
    </w:p>
    <w:p>
      <w:pPr>
        <w:spacing w:after="0"/>
        <w:tabs>
          <w:tab w:leader="none" w:pos="1280" w:val="left"/>
        </w:tabs>
        <w:rPr>
          <w:sz w:val="20"/>
          <w:szCs w:val="20"/>
          <w:color w:val="auto"/>
        </w:rPr>
      </w:pPr>
      <w:r>
        <w:rPr>
          <w:rFonts w:ascii="Arial" w:cs="Arial" w:eastAsia="Arial" w:hAnsi="Arial"/>
          <w:sz w:val="16"/>
          <w:szCs w:val="16"/>
          <w:b w:val="1"/>
          <w:bCs w:val="1"/>
          <w:color w:val="17365D"/>
        </w:rPr>
        <w:t>Proposal 4.</w:t>
      </w:r>
      <w:r>
        <w:rPr>
          <w:sz w:val="20"/>
          <w:szCs w:val="20"/>
          <w:color w:val="auto"/>
        </w:rPr>
        <w:tab/>
      </w:r>
      <w:r>
        <w:rPr>
          <w:rFonts w:ascii="Arial" w:cs="Arial" w:eastAsia="Arial" w:hAnsi="Arial"/>
          <w:sz w:val="16"/>
          <w:szCs w:val="16"/>
          <w:b w:val="1"/>
          <w:bCs w:val="1"/>
          <w:color w:val="17365D"/>
        </w:rPr>
        <w:t>Advisory vote on 2020 executive compensation</w:t>
      </w:r>
    </w:p>
    <w:p>
      <w:pPr>
        <w:spacing w:after="0" w:line="71"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4D4D4F"/>
        </w:rPr>
        <w:t>In addition, any other business properly presented may be acted upon at the Annual Meeting. Each share of Class A common stock is entitled to one vote, and each share of Class B common stock is entitled to twenty votes, for each director position and other proposal.</w:t>
      </w:r>
    </w:p>
    <w:p>
      <w:pPr>
        <w:spacing w:after="0" w:line="90"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4D4D4F"/>
        </w:rPr>
        <w:t>In accordance with Securities and Exchange Commission rules, we are providing stockholders with access to proxy materials on the Internet, instead of mailing printed copies. We are mailing to stockholders, commencing on or about April , 2021, a Notice of Internet Availability of Proxy Materials to provide:</w:t>
      </w:r>
    </w:p>
    <w:p>
      <w:pPr>
        <w:spacing w:after="0" w:line="47" w:lineRule="exact"/>
        <w:rPr>
          <w:sz w:val="20"/>
          <w:szCs w:val="20"/>
          <w:color w:val="auto"/>
        </w:rPr>
      </w:pPr>
    </w:p>
    <w:p>
      <w:pPr>
        <w:ind w:left="180" w:right="20" w:hanging="172"/>
        <w:spacing w:after="0" w:line="246" w:lineRule="auto"/>
        <w:tabs>
          <w:tab w:leader="none" w:pos="180" w:val="left"/>
        </w:tabs>
        <w:numPr>
          <w:ilvl w:val="0"/>
          <w:numId w:val="5"/>
        </w:numPr>
        <w:rPr>
          <w:rFonts w:ascii="Arial" w:cs="Arial" w:eastAsia="Arial" w:hAnsi="Arial"/>
          <w:sz w:val="16"/>
          <w:szCs w:val="16"/>
          <w:color w:val="4D4D4F"/>
        </w:rPr>
      </w:pPr>
      <w:r>
        <w:rPr>
          <w:rFonts w:ascii="Arial" w:cs="Arial" w:eastAsia="Arial" w:hAnsi="Arial"/>
          <w:sz w:val="16"/>
          <w:szCs w:val="16"/>
          <w:color w:val="4D4D4F"/>
        </w:rPr>
        <w:t>directions for accessing and reviewing the proxy materials on the Internet and submitting a proxy over the Internet or by telephone;</w:t>
      </w:r>
    </w:p>
    <w:p>
      <w:pPr>
        <w:ind w:left="180" w:right="20" w:hanging="172"/>
        <w:spacing w:after="0" w:line="246" w:lineRule="auto"/>
        <w:tabs>
          <w:tab w:leader="none" w:pos="180" w:val="left"/>
        </w:tabs>
        <w:numPr>
          <w:ilvl w:val="0"/>
          <w:numId w:val="5"/>
        </w:numPr>
        <w:rPr>
          <w:rFonts w:ascii="Arial" w:cs="Arial" w:eastAsia="Arial" w:hAnsi="Arial"/>
          <w:sz w:val="16"/>
          <w:szCs w:val="16"/>
          <w:color w:val="4D4D4F"/>
        </w:rPr>
      </w:pPr>
      <w:r>
        <w:rPr>
          <w:rFonts w:ascii="Arial" w:cs="Arial" w:eastAsia="Arial" w:hAnsi="Arial"/>
          <w:sz w:val="16"/>
          <w:szCs w:val="16"/>
          <w:color w:val="4D4D4F"/>
        </w:rPr>
        <w:t>instructions for requesting copies of proxy materials in printed form or by email at no charge; and</w:t>
      </w:r>
    </w:p>
    <w:p>
      <w:pPr>
        <w:ind w:left="180" w:right="20" w:hanging="172"/>
        <w:spacing w:after="0" w:line="260" w:lineRule="auto"/>
        <w:tabs>
          <w:tab w:leader="none" w:pos="180" w:val="left"/>
        </w:tabs>
        <w:numPr>
          <w:ilvl w:val="0"/>
          <w:numId w:val="5"/>
        </w:numPr>
        <w:rPr>
          <w:rFonts w:ascii="Arial" w:cs="Arial" w:eastAsia="Arial" w:hAnsi="Arial"/>
          <w:sz w:val="16"/>
          <w:szCs w:val="16"/>
          <w:color w:val="4D4D4F"/>
        </w:rPr>
      </w:pPr>
      <w:r>
        <w:rPr>
          <w:rFonts w:ascii="Arial" w:cs="Arial" w:eastAsia="Arial" w:hAnsi="Arial"/>
          <w:sz w:val="16"/>
          <w:szCs w:val="16"/>
          <w:color w:val="4D4D4F"/>
        </w:rPr>
        <w:t>a control number for use in submitting proxies and accessing the Annual Meeting webcast.</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color w:val="4D4D4F"/>
        </w:rPr>
        <w:t>By Order of the Board,</w:t>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900" w:type="dxa"/>
            <w:vAlign w:val="bottom"/>
          </w:tcPr>
          <w:p>
            <w:pPr>
              <w:spacing w:after="0"/>
              <w:rPr>
                <w:sz w:val="20"/>
                <w:szCs w:val="20"/>
                <w:color w:val="auto"/>
              </w:rPr>
            </w:pPr>
            <w:r>
              <w:rPr>
                <w:rFonts w:ascii="Arial" w:cs="Arial" w:eastAsia="Arial" w:hAnsi="Arial"/>
                <w:sz w:val="16"/>
                <w:szCs w:val="16"/>
                <w:color w:val="4D4D4F"/>
              </w:rPr>
              <w:t>Mark McKechnie</w:t>
            </w:r>
          </w:p>
        </w:tc>
        <w:tc>
          <w:tcPr>
            <w:tcW w:w="2500" w:type="dxa"/>
            <w:vAlign w:val="bottom"/>
            <w:vMerge w:val="restart"/>
          </w:tcPr>
          <w:p>
            <w:pPr>
              <w:ind w:left="1580"/>
              <w:spacing w:after="0"/>
              <w:rPr>
                <w:sz w:val="20"/>
                <w:szCs w:val="20"/>
                <w:color w:val="auto"/>
              </w:rPr>
            </w:pPr>
            <w:r>
              <w:rPr>
                <w:rFonts w:ascii="Arial" w:cs="Arial" w:eastAsia="Arial" w:hAnsi="Arial"/>
                <w:sz w:val="16"/>
                <w:szCs w:val="16"/>
                <w:color w:val="4D4D4F"/>
              </w:rPr>
              <w:t>April  , 2021</w:t>
            </w:r>
          </w:p>
        </w:tc>
        <w:tc>
          <w:tcPr>
            <w:tcW w:w="0" w:type="dxa"/>
            <w:vAlign w:val="bottom"/>
          </w:tcPr>
          <w:p>
            <w:pPr>
              <w:spacing w:after="0"/>
              <w:rPr>
                <w:sz w:val="1"/>
                <w:szCs w:val="1"/>
                <w:color w:val="auto"/>
              </w:rPr>
            </w:pPr>
          </w:p>
        </w:tc>
      </w:tr>
      <w:tr>
        <w:trPr>
          <w:trHeight w:val="100"/>
        </w:trPr>
        <w:tc>
          <w:tcPr>
            <w:tcW w:w="2900" w:type="dxa"/>
            <w:vAlign w:val="bottom"/>
            <w:vMerge w:val="restart"/>
          </w:tcPr>
          <w:p>
            <w:pPr>
              <w:spacing w:after="0"/>
              <w:rPr>
                <w:sz w:val="20"/>
                <w:szCs w:val="20"/>
                <w:color w:val="auto"/>
              </w:rPr>
            </w:pPr>
            <w:r>
              <w:rPr>
                <w:rFonts w:ascii="Arial" w:cs="Arial" w:eastAsia="Arial" w:hAnsi="Arial"/>
                <w:sz w:val="16"/>
                <w:szCs w:val="16"/>
                <w:color w:val="4D4D4F"/>
              </w:rPr>
              <w:t>Secretary</w:t>
            </w:r>
          </w:p>
        </w:tc>
        <w:tc>
          <w:tcPr>
            <w:tcW w:w="2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900" w:type="dxa"/>
            <w:vAlign w:val="bottom"/>
            <w:vMerge w:val="continue"/>
          </w:tcPr>
          <w:p>
            <w:pPr>
              <w:spacing w:after="0"/>
              <w:rPr>
                <w:sz w:val="8"/>
                <w:szCs w:val="8"/>
                <w:color w:val="auto"/>
              </w:rPr>
            </w:pPr>
          </w:p>
        </w:tc>
        <w:tc>
          <w:tcPr>
            <w:tcW w:w="25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color w:val="003E64"/>
        </w:rPr>
        <w:t>When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-105410</wp:posOffset>
            </wp:positionH>
            <wp:positionV relativeFrom="paragraph">
              <wp:posOffset>-139065</wp:posOffset>
            </wp:positionV>
            <wp:extent cx="3420110" cy="11061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0110" cy="1106170"/>
                    </a:xfrm>
                    <a:prstGeom prst="rect">
                      <a:avLst/>
                    </a:prstGeom>
                    <a:noFill/>
                  </pic:spPr>
                </pic:pic>
              </a:graphicData>
            </a:graphic>
          </wp:anchor>
        </w:drawing>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003E64"/>
        </w:rPr>
        <w:t>7 a.m., Pacific time, on June 2, 2021</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color w:val="003E64"/>
        </w:rPr>
        <w:t>Where</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003E64"/>
        </w:rPr>
        <w:t>Webcast only, access at:</w:t>
      </w:r>
    </w:p>
    <w:p>
      <w:pPr>
        <w:spacing w:after="0" w:line="5"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4D4D4F"/>
        </w:rPr>
        <w:t>virtualshareholdermeeting.com/ACMR2021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-105410</wp:posOffset>
            </wp:positionH>
            <wp:positionV relativeFrom="paragraph">
              <wp:posOffset>70485</wp:posOffset>
            </wp:positionV>
            <wp:extent cx="3420110" cy="12598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0110" cy="1259840"/>
                    </a:xfrm>
                    <a:prstGeom prst="rect">
                      <a:avLst/>
                    </a:prstGeom>
                    <a:noFill/>
                  </pic:spPr>
                </pic:pic>
              </a:graphicData>
            </a:graphic>
          </wp:anchor>
        </w:drawing>
      </w:r>
    </w:p>
    <w:p>
      <w:pPr>
        <w:spacing w:after="0" w:line="370"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color w:val="FFFFFF"/>
        </w:rPr>
        <w:t>IMPORTANT NOTICE REGARDING THE AVAILABILITY OF PROXY MATERIALS FOR THE ANNUAL MEETING OF STOCKHOLDERS TO BE HELD ON JUNE 2, 2021:</w:t>
      </w:r>
    </w:p>
    <w:p>
      <w:pPr>
        <w:spacing w:after="0" w:line="109" w:lineRule="exact"/>
        <w:rPr>
          <w:sz w:val="20"/>
          <w:szCs w:val="20"/>
          <w:color w:val="auto"/>
        </w:rPr>
      </w:pPr>
    </w:p>
    <w:p>
      <w:pPr>
        <w:jc w:val="both"/>
        <w:spacing w:after="0" w:line="281" w:lineRule="auto"/>
        <w:rPr>
          <w:sz w:val="20"/>
          <w:szCs w:val="20"/>
          <w:color w:val="auto"/>
        </w:rPr>
      </w:pPr>
      <w:r>
        <w:rPr>
          <w:rFonts w:ascii="Arial" w:cs="Arial" w:eastAsia="Arial" w:hAnsi="Arial"/>
          <w:sz w:val="16"/>
          <w:szCs w:val="16"/>
          <w:b w:val="1"/>
          <w:bCs w:val="1"/>
          <w:color w:val="FFFFFF"/>
        </w:rPr>
        <w:t xml:space="preserve">The Notice of 2021 Annual Meeting of Stockholders, the Proxy Statement, the 2020 Annual Report to </w:t>
      </w:r>
      <w:r>
        <w:rPr>
          <w:rFonts w:ascii="Arial" w:cs="Arial" w:eastAsia="Arial" w:hAnsi="Arial"/>
          <w:sz w:val="16"/>
          <w:szCs w:val="16"/>
          <w:b w:val="1"/>
          <w:bCs w:val="1"/>
          <w:color w:val="FFFFFF"/>
          <w:shd w:val="clear" w:color="auto" w:fill="0079C0"/>
        </w:rPr>
        <w:t>Stockholders and instructions for voting via the Internet can be accessed at 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-105410</wp:posOffset>
            </wp:positionH>
            <wp:positionV relativeFrom="paragraph">
              <wp:posOffset>215265</wp:posOffset>
            </wp:positionV>
            <wp:extent cx="3420110" cy="37115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0110" cy="371157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22"/>
          <w:szCs w:val="22"/>
          <w:b w:val="1"/>
          <w:bCs w:val="1"/>
          <w:color w:val="FFFFFF"/>
        </w:rPr>
        <w:t>How to Vote in Advance</w:t>
      </w:r>
    </w:p>
    <w:p>
      <w:pPr>
        <w:spacing w:after="0" w:line="21"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FFFFFF"/>
        </w:rPr>
        <w:t>Your vote is important. Please vote as soon as possible by one of the methods shown below. Your Notice of Internet Availability of Proxy Materials, proxy card or voting instruction form should be readily available.</w:t>
      </w:r>
    </w:p>
    <w:p>
      <w:pPr>
        <w:sectPr>
          <w:pgSz w:w="11900" w:h="16838" w:orient="portrait"/>
          <w:cols w:equalWidth="0" w:num="2">
            <w:col w:w="5400" w:space="620"/>
            <w:col w:w="5220"/>
          </w:cols>
          <w:pgMar w:left="320" w:top="731" w:right="339" w:bottom="1440" w:gutter="0" w:footer="0" w:header="0"/>
          <w:type w:val="continuous"/>
        </w:sectPr>
      </w:pPr>
    </w:p>
    <w:bookmarkStart w:id="4" w:name="page5"/>
    <w:bookmarkEnd w:id="4"/>
    <w:p>
      <w:pPr>
        <w:jc w:val="right"/>
        <w:spacing w:after="0"/>
        <w:rPr>
          <w:sz w:val="20"/>
          <w:szCs w:val="20"/>
          <w:color w:val="auto"/>
        </w:rPr>
      </w:pPr>
      <w:r>
        <w:rPr>
          <w:rFonts w:ascii="Arial" w:cs="Arial" w:eastAsia="Arial" w:hAnsi="Arial"/>
          <w:sz w:val="22"/>
          <w:szCs w:val="22"/>
          <w:b w:val="1"/>
          <w:bCs w:val="1"/>
          <w:color w:val="4D4D4F"/>
        </w:rPr>
        <w:drawing>
          <wp:anchor simplePos="0" relativeHeight="251657728" behindDoc="1" locked="0" layoutInCell="0" allowOverlap="1">
            <wp:simplePos x="0" y="0"/>
            <wp:positionH relativeFrom="page">
              <wp:posOffset>208280</wp:posOffset>
            </wp:positionH>
            <wp:positionV relativeFrom="page">
              <wp:posOffset>88900</wp:posOffset>
            </wp:positionV>
            <wp:extent cx="1217295" cy="7632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217295" cy="763270"/>
                    </a:xfrm>
                    <a:prstGeom prst="rect">
                      <a:avLst/>
                    </a:prstGeom>
                    <a:noFill/>
                  </pic:spPr>
                </pic:pic>
              </a:graphicData>
            </a:graphic>
          </wp:anchor>
        </w:drawing>
        <w:t>42307 Osgood Rd, Suite I</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4D4D4F"/>
        </w:rPr>
        <w:t>Fremont, California 94539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3340" w:type="dxa"/>
        <w:tblCellMar>
          <w:top w:w="0" w:type="dxa"/>
          <w:left w:w="0" w:type="dxa"/>
          <w:bottom w:w="0" w:type="dxa"/>
          <w:right w:w="0" w:type="dxa"/>
        </w:tblCellMar>
      </w:tblPr>
      <w:tr>
        <w:trPr>
          <w:trHeight w:val="336"/>
        </w:trPr>
        <w:tc>
          <w:tcPr>
            <w:tcW w:w="3620" w:type="dxa"/>
            <w:vAlign w:val="bottom"/>
          </w:tcPr>
          <w:p>
            <w:pPr>
              <w:spacing w:after="0"/>
              <w:rPr>
                <w:sz w:val="20"/>
                <w:szCs w:val="20"/>
                <w:color w:val="auto"/>
              </w:rPr>
            </w:pPr>
            <w:r>
              <w:rPr>
                <w:rFonts w:ascii="Arial" w:cs="Arial" w:eastAsia="Arial" w:hAnsi="Arial"/>
                <w:sz w:val="25"/>
                <w:szCs w:val="25"/>
                <w:b w:val="1"/>
                <w:bCs w:val="1"/>
                <w:color w:val="003E64"/>
              </w:rPr>
              <w:t>Proxy Statement dated April</w:t>
            </w:r>
          </w:p>
        </w:tc>
        <w:tc>
          <w:tcPr>
            <w:tcW w:w="940" w:type="dxa"/>
            <w:vAlign w:val="bottom"/>
          </w:tcPr>
          <w:p>
            <w:pPr>
              <w:jc w:val="right"/>
              <w:spacing w:after="0"/>
              <w:rPr>
                <w:sz w:val="20"/>
                <w:szCs w:val="20"/>
                <w:color w:val="auto"/>
              </w:rPr>
            </w:pPr>
            <w:r>
              <w:rPr>
                <w:rFonts w:ascii="Arial" w:cs="Arial" w:eastAsia="Arial" w:hAnsi="Arial"/>
                <w:sz w:val="25"/>
                <w:szCs w:val="25"/>
                <w:b w:val="1"/>
                <w:bCs w:val="1"/>
                <w:color w:val="003E64"/>
              </w:rPr>
              <w:t>, 2021</w:t>
            </w:r>
          </w:p>
        </w:tc>
      </w:tr>
    </w:tbl>
    <w:p>
      <w:pPr>
        <w:spacing w:after="0" w:line="6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3E64"/>
        </w:rPr>
        <w:t>2021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4D4D4F"/>
        </w:rPr>
        <w:t>ACM Research, Inc., a Delaware corporation, is furnishing this Proxy Statement and related proxy materials in connection with the solicitation by its board of directors of proxies to be voted at its 2021 Annual Meeting of Stockholders and any adjournments. ACM Research, Inc. is providing these materials to the holders of record of its Class A common stock, $0.0001 par value per share, and Class B common stock, $0.0001 par value per share, as of 5 p.m., Eastern time, on the record date of April 8, 2021 and is first mailing the materials on or about April ,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03E64"/>
        </w:rPr>
        <w:t>The Annual Meeting is scheduled to be held exclusively by webcast as follows:</w:t>
      </w:r>
    </w:p>
    <w:p>
      <w:pPr>
        <w:sectPr>
          <w:pgSz w:w="11900" w:h="16838" w:orient="portrait"/>
          <w:cols w:equalWidth="0" w:num="1">
            <w:col w:w="11240"/>
          </w:cols>
          <w:pgMar w:left="320" w:top="998" w:right="339" w:bottom="1440" w:gutter="0" w:footer="0" w:header="0"/>
        </w:sectPr>
      </w:pPr>
    </w:p>
    <w:p>
      <w:pPr>
        <w:spacing w:after="0" w:line="260" w:lineRule="exact"/>
        <w:rPr>
          <w:sz w:val="20"/>
          <w:szCs w:val="20"/>
          <w:color w:val="auto"/>
        </w:rPr>
      </w:pPr>
    </w:p>
    <w:p>
      <w:pPr>
        <w:ind w:left="2000"/>
        <w:spacing w:after="0"/>
        <w:rPr>
          <w:sz w:val="20"/>
          <w:szCs w:val="20"/>
          <w:color w:val="auto"/>
        </w:rPr>
      </w:pPr>
      <w:r>
        <w:rPr>
          <w:rFonts w:ascii="Arial" w:cs="Arial" w:eastAsia="Arial" w:hAnsi="Arial"/>
          <w:sz w:val="22"/>
          <w:szCs w:val="22"/>
          <w:b w:val="1"/>
          <w:bCs w:val="1"/>
          <w:color w:val="003E64"/>
        </w:rPr>
        <w:t>Date</w:t>
      </w:r>
    </w:p>
    <w:p>
      <w:pPr>
        <w:spacing w:after="0" w:line="166" w:lineRule="exact"/>
        <w:rPr>
          <w:sz w:val="20"/>
          <w:szCs w:val="20"/>
          <w:color w:val="auto"/>
        </w:rPr>
      </w:pPr>
    </w:p>
    <w:p>
      <w:pPr>
        <w:ind w:left="2000"/>
        <w:spacing w:after="0"/>
        <w:rPr>
          <w:sz w:val="20"/>
          <w:szCs w:val="20"/>
          <w:color w:val="auto"/>
        </w:rPr>
      </w:pPr>
      <w:r>
        <w:rPr>
          <w:rFonts w:ascii="Arial" w:cs="Arial" w:eastAsia="Arial" w:hAnsi="Arial"/>
          <w:sz w:val="22"/>
          <w:szCs w:val="22"/>
          <w:b w:val="1"/>
          <w:bCs w:val="1"/>
          <w:color w:val="003E64"/>
        </w:rPr>
        <w:t>Time</w:t>
      </w:r>
    </w:p>
    <w:p>
      <w:pPr>
        <w:spacing w:after="0" w:line="166" w:lineRule="exact"/>
        <w:rPr>
          <w:sz w:val="20"/>
          <w:szCs w:val="20"/>
          <w:color w:val="auto"/>
        </w:rPr>
      </w:pPr>
    </w:p>
    <w:p>
      <w:pPr>
        <w:ind w:left="2000"/>
        <w:spacing w:after="0"/>
        <w:rPr>
          <w:sz w:val="20"/>
          <w:szCs w:val="20"/>
          <w:color w:val="auto"/>
        </w:rPr>
      </w:pPr>
      <w:r>
        <w:rPr>
          <w:rFonts w:ascii="Arial" w:cs="Arial" w:eastAsia="Arial" w:hAnsi="Arial"/>
          <w:sz w:val="21"/>
          <w:szCs w:val="21"/>
          <w:b w:val="1"/>
          <w:bCs w:val="1"/>
          <w:color w:val="003E64"/>
        </w:rPr>
        <w:t>Meeting Webcast Address</w:t>
      </w:r>
    </w:p>
    <w:p>
      <w:pPr>
        <w:spacing w:after="0" w:line="20" w:lineRule="exact"/>
        <w:rPr>
          <w:sz w:val="20"/>
          <w:szCs w:val="20"/>
          <w:color w:val="auto"/>
        </w:rPr>
      </w:pPr>
      <w:r>
        <w:rPr>
          <w:sz w:val="20"/>
          <w:szCs w:val="20"/>
          <w:color w:val="auto"/>
        </w:rPr>
        <w:br w:type="column"/>
      </w:r>
    </w:p>
    <w:p>
      <w:pPr>
        <w:spacing w:after="0" w:line="335" w:lineRule="exact"/>
        <w:rPr>
          <w:sz w:val="20"/>
          <w:szCs w:val="20"/>
          <w:color w:val="auto"/>
        </w:rPr>
      </w:pPr>
    </w:p>
    <w:p>
      <w:pPr>
        <w:spacing w:after="0"/>
        <w:rPr>
          <w:sz w:val="20"/>
          <w:szCs w:val="20"/>
          <w:color w:val="auto"/>
        </w:rPr>
      </w:pPr>
      <w:r>
        <w:rPr>
          <w:rFonts w:ascii="Arial" w:cs="Arial" w:eastAsia="Arial" w:hAnsi="Arial"/>
          <w:sz w:val="22"/>
          <w:szCs w:val="22"/>
          <w:b w:val="1"/>
          <w:bCs w:val="1"/>
          <w:color w:val="0079C0"/>
        </w:rPr>
        <w:t>Wednesday, June 2, 2021</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0079C0"/>
        </w:rPr>
        <w:t>7 a.m., Pacific time</w:t>
      </w:r>
    </w:p>
    <w:p>
      <w:pPr>
        <w:spacing w:after="0" w:line="16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0079C0"/>
        </w:rPr>
        <w:t>virtualshareholdermeeting.com/ACMR2021</w:t>
      </w:r>
    </w:p>
    <w:p>
      <w:pPr>
        <w:spacing w:after="0" w:line="200" w:lineRule="exact"/>
        <w:rPr>
          <w:sz w:val="20"/>
          <w:szCs w:val="20"/>
          <w:color w:val="auto"/>
        </w:rPr>
      </w:pPr>
    </w:p>
    <w:p>
      <w:pPr>
        <w:sectPr>
          <w:pgSz w:w="11900" w:h="16838" w:orient="portrait"/>
          <w:cols w:equalWidth="0" w:num="2">
            <w:col w:w="4700" w:space="640"/>
            <w:col w:w="5900"/>
          </w:cols>
          <w:pgMar w:left="320" w:top="998" w:right="339" w:bottom="1440" w:gutter="0" w:footer="0" w:header="0"/>
          <w:type w:val="continuous"/>
        </w:sectPr>
      </w:pP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4D4D4F"/>
        </w:rPr>
        <w:t>Your vote is important.</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4D4D4F"/>
        </w:rPr>
        <w:t>Please see the detailed information that follows in the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336"/>
        </w:trPr>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40" w:type="dxa"/>
            <w:vAlign w:val="bottom"/>
            <w:gridSpan w:val="4"/>
          </w:tcPr>
          <w:p>
            <w:pPr>
              <w:ind w:left="20"/>
              <w:spacing w:after="0"/>
              <w:rPr>
                <w:sz w:val="20"/>
                <w:szCs w:val="20"/>
                <w:color w:val="auto"/>
              </w:rPr>
            </w:pPr>
            <w:r>
              <w:rPr>
                <w:rFonts w:ascii="Arial" w:cs="Arial" w:eastAsia="Arial" w:hAnsi="Arial"/>
                <w:sz w:val="25"/>
                <w:szCs w:val="25"/>
                <w:b w:val="1"/>
                <w:bCs w:val="1"/>
                <w:color w:val="003E64"/>
              </w:rPr>
              <w:t>Contents</w:t>
            </w:r>
          </w:p>
        </w:tc>
        <w:tc>
          <w:tcPr>
            <w:tcW w:w="340" w:type="dxa"/>
            <w:vAlign w:val="bottom"/>
          </w:tcPr>
          <w:p>
            <w:pPr>
              <w:spacing w:after="0"/>
              <w:rPr>
                <w:sz w:val="24"/>
                <w:szCs w:val="24"/>
                <w:color w:val="auto"/>
              </w:rPr>
            </w:pPr>
          </w:p>
        </w:tc>
      </w:tr>
      <w:tr>
        <w:trPr>
          <w:trHeight w:val="248"/>
        </w:trPr>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860" w:type="dxa"/>
            <w:vAlign w:val="bottom"/>
          </w:tcPr>
          <w:p>
            <w:pPr>
              <w:spacing w:after="0"/>
              <w:rPr>
                <w:sz w:val="21"/>
                <w:szCs w:val="21"/>
                <w:color w:val="auto"/>
              </w:rPr>
            </w:pPr>
          </w:p>
        </w:tc>
        <w:tc>
          <w:tcPr>
            <w:tcW w:w="340" w:type="dxa"/>
            <w:vAlign w:val="bottom"/>
            <w:tcBorders>
              <w:bottom w:val="single" w:sz="8" w:color="4D4D4F"/>
            </w:tcBorders>
          </w:tcPr>
          <w:p>
            <w:pPr>
              <w:jc w:val="right"/>
              <w:spacing w:after="0"/>
              <w:rPr>
                <w:sz w:val="20"/>
                <w:szCs w:val="20"/>
                <w:color w:val="auto"/>
              </w:rPr>
            </w:pPr>
            <w:r>
              <w:rPr>
                <w:rFonts w:ascii="Arial" w:cs="Arial" w:eastAsia="Arial" w:hAnsi="Arial"/>
                <w:sz w:val="14"/>
                <w:szCs w:val="14"/>
                <w:b w:val="1"/>
                <w:bCs w:val="1"/>
                <w:color w:val="4D4D4F"/>
                <w:w w:val="95"/>
              </w:rPr>
              <w:t>Page</w:t>
            </w:r>
          </w:p>
        </w:tc>
      </w:tr>
      <w:tr>
        <w:trPr>
          <w:trHeight w:val="196"/>
        </w:trPr>
        <w:tc>
          <w:tcPr>
            <w:tcW w:w="1740" w:type="dxa"/>
            <w:vAlign w:val="bottom"/>
            <w:tcBorders>
              <w:bottom w:val="single" w:sz="8" w:color="0000EE"/>
            </w:tcBorders>
            <w:gridSpan w:val="7"/>
          </w:tcPr>
          <w:p>
            <w:pPr>
              <w:spacing w:after="0" w:line="196" w:lineRule="exact"/>
              <w:rPr>
                <w:rFonts w:ascii="Arial" w:cs="Arial" w:eastAsia="Arial" w:hAnsi="Arial"/>
                <w:sz w:val="18"/>
                <w:szCs w:val="18"/>
                <w:color w:val="0000EE"/>
                <w:w w:val="99"/>
              </w:rPr>
            </w:pPr>
            <w:hyperlink w:anchor="page7">
              <w:r>
                <w:rPr>
                  <w:rFonts w:ascii="Arial" w:cs="Arial" w:eastAsia="Arial" w:hAnsi="Arial"/>
                  <w:sz w:val="18"/>
                  <w:szCs w:val="18"/>
                  <w:color w:val="0000EE"/>
                  <w:w w:val="99"/>
                </w:rPr>
                <w:t>2021 Proxy Summary</w:t>
              </w:r>
            </w:hyperlink>
          </w:p>
        </w:tc>
        <w:tc>
          <w:tcPr>
            <w:tcW w:w="9160" w:type="dxa"/>
            <w:vAlign w:val="bottom"/>
            <w:gridSpan w:val="36"/>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83"/>
        </w:trPr>
        <w:tc>
          <w:tcPr>
            <w:tcW w:w="10900" w:type="dxa"/>
            <w:vAlign w:val="bottom"/>
            <w:gridSpan w:val="43"/>
          </w:tcPr>
          <w:p>
            <w:pPr>
              <w:spacing w:after="0" w:line="182" w:lineRule="exact"/>
              <w:rPr>
                <w:rFonts w:ascii="Arial" w:cs="Arial" w:eastAsia="Arial" w:hAnsi="Arial"/>
                <w:sz w:val="18"/>
                <w:szCs w:val="18"/>
                <w:color w:val="0000EE"/>
              </w:rPr>
            </w:pPr>
            <w:hyperlink w:anchor="page12">
              <w:r>
                <w:rPr>
                  <w:rFonts w:ascii="Arial" w:cs="Arial" w:eastAsia="Arial" w:hAnsi="Arial"/>
                  <w:sz w:val="18"/>
                  <w:szCs w:val="18"/>
                  <w:color w:val="0000EE"/>
                </w:rPr>
                <w:t>Questions and Answers About the Annual Meeting</w:t>
              </w:r>
            </w:hyperlink>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6</w:t>
            </w:r>
          </w:p>
        </w:tc>
      </w:tr>
      <w:tr>
        <w:trPr>
          <w:trHeight w:val="183"/>
        </w:trPr>
        <w:tc>
          <w:tcPr>
            <w:tcW w:w="4020" w:type="dxa"/>
            <w:vAlign w:val="bottom"/>
            <w:tcBorders>
              <w:top w:val="single" w:sz="8" w:color="0000EE"/>
            </w:tcBorders>
            <w:gridSpan w:val="29"/>
          </w:tcPr>
          <w:p>
            <w:pPr>
              <w:spacing w:after="0" w:line="182" w:lineRule="exact"/>
              <w:rPr>
                <w:rFonts w:ascii="Arial" w:cs="Arial" w:eastAsia="Arial" w:hAnsi="Arial"/>
                <w:sz w:val="18"/>
                <w:szCs w:val="18"/>
                <w:color w:val="0000EE"/>
              </w:rPr>
            </w:pPr>
            <w:hyperlink w:anchor="page17">
              <w:r>
                <w:rPr>
                  <w:rFonts w:ascii="Arial" w:cs="Arial" w:eastAsia="Arial" w:hAnsi="Arial"/>
                  <w:sz w:val="18"/>
                  <w:szCs w:val="18"/>
                  <w:color w:val="0000EE"/>
                </w:rPr>
                <w:t>Vote Required for Election or Approval</w:t>
              </w:r>
            </w:hyperlink>
          </w:p>
        </w:tc>
        <w:tc>
          <w:tcPr>
            <w:tcW w:w="6880" w:type="dxa"/>
            <w:vAlign w:val="bottom"/>
            <w:gridSpan w:val="14"/>
          </w:tcPr>
          <w:p>
            <w:pPr>
              <w:spacing w:after="0"/>
              <w:rPr>
                <w:sz w:val="15"/>
                <w:szCs w:val="15"/>
                <w:color w:val="auto"/>
              </w:rPr>
            </w:pPr>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11</w:t>
            </w:r>
          </w:p>
        </w:tc>
      </w:tr>
      <w:tr>
        <w:trPr>
          <w:trHeight w:val="183"/>
        </w:trPr>
        <w:tc>
          <w:tcPr>
            <w:tcW w:w="1840" w:type="dxa"/>
            <w:vAlign w:val="bottom"/>
            <w:tcBorders>
              <w:top w:val="single" w:sz="8" w:color="0000EE"/>
              <w:bottom w:val="single" w:sz="8" w:color="0000EE"/>
            </w:tcBorders>
            <w:gridSpan w:val="8"/>
          </w:tcPr>
          <w:p>
            <w:pPr>
              <w:spacing w:after="0" w:line="182" w:lineRule="exact"/>
              <w:rPr>
                <w:rFonts w:ascii="Arial" w:cs="Arial" w:eastAsia="Arial" w:hAnsi="Arial"/>
                <w:sz w:val="18"/>
                <w:szCs w:val="18"/>
                <w:color w:val="0000EE"/>
                <w:w w:val="99"/>
              </w:rPr>
            </w:pPr>
            <w:hyperlink w:anchor="page19">
              <w:r>
                <w:rPr>
                  <w:rFonts w:ascii="Arial" w:cs="Arial" w:eastAsia="Arial" w:hAnsi="Arial"/>
                  <w:sz w:val="18"/>
                  <w:szCs w:val="18"/>
                  <w:color w:val="0000EE"/>
                  <w:w w:val="99"/>
                </w:rPr>
                <w:t>Corporate Governance</w:t>
              </w:r>
            </w:hyperlink>
          </w:p>
        </w:tc>
        <w:tc>
          <w:tcPr>
            <w:tcW w:w="1220" w:type="dxa"/>
            <w:vAlign w:val="bottom"/>
            <w:tcBorders>
              <w:top w:val="single" w:sz="8" w:color="0000EE"/>
            </w:tcBorders>
            <w:gridSpan w:val="13"/>
          </w:tcPr>
          <w:p>
            <w:pPr>
              <w:spacing w:after="0"/>
              <w:rPr>
                <w:sz w:val="15"/>
                <w:szCs w:val="15"/>
                <w:color w:val="auto"/>
              </w:rPr>
            </w:pPr>
          </w:p>
        </w:tc>
        <w:tc>
          <w:tcPr>
            <w:tcW w:w="7840" w:type="dxa"/>
            <w:vAlign w:val="bottom"/>
            <w:gridSpan w:val="22"/>
          </w:tcPr>
          <w:p>
            <w:pPr>
              <w:spacing w:after="0"/>
              <w:rPr>
                <w:sz w:val="15"/>
                <w:szCs w:val="15"/>
                <w:color w:val="auto"/>
              </w:rPr>
            </w:pPr>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13</w:t>
            </w:r>
          </w:p>
        </w:tc>
      </w:tr>
      <w:tr>
        <w:trPr>
          <w:trHeight w:val="183"/>
        </w:trPr>
        <w:tc>
          <w:tcPr>
            <w:tcW w:w="160" w:type="dxa"/>
            <w:vAlign w:val="bottom"/>
          </w:tcPr>
          <w:p>
            <w:pPr>
              <w:spacing w:after="0"/>
              <w:rPr>
                <w:sz w:val="15"/>
                <w:szCs w:val="15"/>
                <w:color w:val="auto"/>
              </w:rPr>
            </w:pPr>
          </w:p>
        </w:tc>
        <w:tc>
          <w:tcPr>
            <w:tcW w:w="2260" w:type="dxa"/>
            <w:vAlign w:val="bottom"/>
            <w:tcBorders>
              <w:bottom w:val="single" w:sz="8" w:color="0000EE"/>
            </w:tcBorders>
            <w:gridSpan w:val="14"/>
          </w:tcPr>
          <w:p>
            <w:pPr>
              <w:ind w:left="20"/>
              <w:spacing w:after="0" w:line="182" w:lineRule="exact"/>
              <w:rPr>
                <w:rFonts w:ascii="Arial" w:cs="Arial" w:eastAsia="Arial" w:hAnsi="Arial"/>
                <w:sz w:val="18"/>
                <w:szCs w:val="18"/>
                <w:color w:val="0000EE"/>
                <w:w w:val="98"/>
              </w:rPr>
            </w:pPr>
            <w:hyperlink w:anchor="page19">
              <w:r>
                <w:rPr>
                  <w:rFonts w:ascii="Arial" w:cs="Arial" w:eastAsia="Arial" w:hAnsi="Arial"/>
                  <w:sz w:val="18"/>
                  <w:szCs w:val="18"/>
                  <w:color w:val="0000EE"/>
                  <w:w w:val="98"/>
                </w:rPr>
                <w:t>Board of Directors Overview</w:t>
              </w:r>
            </w:hyperlink>
          </w:p>
        </w:tc>
        <w:tc>
          <w:tcPr>
            <w:tcW w:w="8480" w:type="dxa"/>
            <w:vAlign w:val="bottom"/>
            <w:gridSpan w:val="28"/>
          </w:tcPr>
          <w:p>
            <w:pPr>
              <w:spacing w:after="0"/>
              <w:rPr>
                <w:sz w:val="15"/>
                <w:szCs w:val="15"/>
                <w:color w:val="auto"/>
              </w:rPr>
            </w:pPr>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13</w:t>
            </w:r>
          </w:p>
        </w:tc>
      </w:tr>
      <w:tr>
        <w:trPr>
          <w:trHeight w:val="183"/>
        </w:trPr>
        <w:tc>
          <w:tcPr>
            <w:tcW w:w="160" w:type="dxa"/>
            <w:vAlign w:val="bottom"/>
          </w:tcPr>
          <w:p>
            <w:pPr>
              <w:spacing w:after="0"/>
              <w:rPr>
                <w:sz w:val="15"/>
                <w:szCs w:val="15"/>
                <w:color w:val="auto"/>
              </w:rPr>
            </w:pPr>
          </w:p>
        </w:tc>
        <w:tc>
          <w:tcPr>
            <w:tcW w:w="10740" w:type="dxa"/>
            <w:vAlign w:val="bottom"/>
            <w:gridSpan w:val="42"/>
          </w:tcPr>
          <w:p>
            <w:pPr>
              <w:ind w:left="20"/>
              <w:spacing w:after="0" w:line="182" w:lineRule="exact"/>
              <w:rPr>
                <w:rFonts w:ascii="Arial" w:cs="Arial" w:eastAsia="Arial" w:hAnsi="Arial"/>
                <w:sz w:val="18"/>
                <w:szCs w:val="18"/>
                <w:color w:val="0000EE"/>
              </w:rPr>
            </w:pPr>
            <w:hyperlink w:anchor="page20">
              <w:r>
                <w:rPr>
                  <w:rFonts w:ascii="Arial" w:cs="Arial" w:eastAsia="Arial" w:hAnsi="Arial"/>
                  <w:sz w:val="18"/>
                  <w:szCs w:val="18"/>
                  <w:color w:val="0000EE"/>
                </w:rPr>
                <w:t>Independence of Directors</w:t>
              </w:r>
            </w:hyperlink>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14</w:t>
            </w:r>
          </w:p>
        </w:tc>
      </w:tr>
      <w:tr>
        <w:trPr>
          <w:trHeight w:val="20"/>
        </w:trPr>
        <w:tc>
          <w:tcPr>
            <w:tcW w:w="16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83"/>
        </w:trPr>
        <w:tc>
          <w:tcPr>
            <w:tcW w:w="160" w:type="dxa"/>
            <w:vAlign w:val="bottom"/>
          </w:tcPr>
          <w:p>
            <w:pPr>
              <w:spacing w:after="0"/>
              <w:rPr>
                <w:sz w:val="15"/>
                <w:szCs w:val="15"/>
                <w:color w:val="auto"/>
              </w:rPr>
            </w:pPr>
          </w:p>
        </w:tc>
        <w:tc>
          <w:tcPr>
            <w:tcW w:w="2160" w:type="dxa"/>
            <w:vAlign w:val="bottom"/>
            <w:tcBorders>
              <w:bottom w:val="single" w:sz="8" w:color="0000EE"/>
            </w:tcBorders>
            <w:gridSpan w:val="12"/>
          </w:tcPr>
          <w:p>
            <w:pPr>
              <w:ind w:left="20"/>
              <w:spacing w:after="0" w:line="182" w:lineRule="exact"/>
              <w:rPr>
                <w:rFonts w:ascii="Arial" w:cs="Arial" w:eastAsia="Arial" w:hAnsi="Arial"/>
                <w:sz w:val="18"/>
                <w:szCs w:val="18"/>
                <w:color w:val="0000EE"/>
                <w:w w:val="98"/>
              </w:rPr>
            </w:pPr>
            <w:hyperlink w:anchor="page21">
              <w:r>
                <w:rPr>
                  <w:rFonts w:ascii="Arial" w:cs="Arial" w:eastAsia="Arial" w:hAnsi="Arial"/>
                  <w:sz w:val="18"/>
                  <w:szCs w:val="18"/>
                  <w:color w:val="0000EE"/>
                  <w:w w:val="98"/>
                </w:rPr>
                <w:t>Director Nomination Rights</w:t>
              </w:r>
            </w:hyperlink>
          </w:p>
        </w:tc>
        <w:tc>
          <w:tcPr>
            <w:tcW w:w="8580" w:type="dxa"/>
            <w:vAlign w:val="bottom"/>
            <w:gridSpan w:val="30"/>
          </w:tcPr>
          <w:p>
            <w:pPr>
              <w:spacing w:after="0"/>
              <w:rPr>
                <w:sz w:val="15"/>
                <w:szCs w:val="15"/>
                <w:color w:val="auto"/>
              </w:rPr>
            </w:pPr>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15</w:t>
            </w:r>
          </w:p>
        </w:tc>
      </w:tr>
      <w:tr>
        <w:trPr>
          <w:trHeight w:val="183"/>
        </w:trPr>
        <w:tc>
          <w:tcPr>
            <w:tcW w:w="160" w:type="dxa"/>
            <w:vAlign w:val="bottom"/>
          </w:tcPr>
          <w:p>
            <w:pPr>
              <w:spacing w:after="0"/>
              <w:rPr>
                <w:sz w:val="15"/>
                <w:szCs w:val="15"/>
                <w:color w:val="auto"/>
              </w:rPr>
            </w:pPr>
          </w:p>
        </w:tc>
        <w:tc>
          <w:tcPr>
            <w:tcW w:w="10740" w:type="dxa"/>
            <w:vAlign w:val="bottom"/>
            <w:gridSpan w:val="42"/>
          </w:tcPr>
          <w:p>
            <w:pPr>
              <w:ind w:left="20"/>
              <w:spacing w:after="0" w:line="182" w:lineRule="exact"/>
              <w:rPr>
                <w:rFonts w:ascii="Arial" w:cs="Arial" w:eastAsia="Arial" w:hAnsi="Arial"/>
                <w:sz w:val="18"/>
                <w:szCs w:val="18"/>
                <w:color w:val="0000EE"/>
              </w:rPr>
            </w:pPr>
            <w:hyperlink w:anchor="page21">
              <w:r>
                <w:rPr>
                  <w:rFonts w:ascii="Arial" w:cs="Arial" w:eastAsia="Arial" w:hAnsi="Arial"/>
                  <w:sz w:val="18"/>
                  <w:szCs w:val="18"/>
                  <w:color w:val="0000EE"/>
                </w:rPr>
                <w:t>Code of Business Conduct</w:t>
              </w:r>
            </w:hyperlink>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15</w:t>
            </w:r>
          </w:p>
        </w:tc>
      </w:tr>
      <w:tr>
        <w:trPr>
          <w:trHeight w:val="20"/>
        </w:trPr>
        <w:tc>
          <w:tcPr>
            <w:tcW w:w="16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83"/>
        </w:trPr>
        <w:tc>
          <w:tcPr>
            <w:tcW w:w="160" w:type="dxa"/>
            <w:vAlign w:val="bottom"/>
          </w:tcPr>
          <w:p>
            <w:pPr>
              <w:spacing w:after="0"/>
              <w:rPr>
                <w:sz w:val="15"/>
                <w:szCs w:val="15"/>
                <w:color w:val="auto"/>
              </w:rPr>
            </w:pPr>
          </w:p>
        </w:tc>
        <w:tc>
          <w:tcPr>
            <w:tcW w:w="10740" w:type="dxa"/>
            <w:vAlign w:val="bottom"/>
            <w:gridSpan w:val="42"/>
          </w:tcPr>
          <w:p>
            <w:pPr>
              <w:ind w:left="20"/>
              <w:spacing w:after="0" w:line="182" w:lineRule="exact"/>
              <w:rPr>
                <w:rFonts w:ascii="Arial" w:cs="Arial" w:eastAsia="Arial" w:hAnsi="Arial"/>
                <w:sz w:val="18"/>
                <w:szCs w:val="18"/>
                <w:color w:val="0000EE"/>
              </w:rPr>
            </w:pPr>
            <w:hyperlink w:anchor="page21">
              <w:r>
                <w:rPr>
                  <w:rFonts w:ascii="Arial" w:cs="Arial" w:eastAsia="Arial" w:hAnsi="Arial"/>
                  <w:sz w:val="18"/>
                  <w:szCs w:val="18"/>
                  <w:color w:val="0000EE"/>
                </w:rPr>
                <w:t>Employee, Officer and Director Hedging</w:t>
              </w:r>
            </w:hyperlink>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15</w:t>
            </w:r>
          </w:p>
        </w:tc>
      </w:tr>
      <w:tr>
        <w:trPr>
          <w:trHeight w:val="183"/>
        </w:trPr>
        <w:tc>
          <w:tcPr>
            <w:tcW w:w="160" w:type="dxa"/>
            <w:vAlign w:val="bottom"/>
          </w:tcPr>
          <w:p>
            <w:pPr>
              <w:spacing w:after="0"/>
              <w:rPr>
                <w:sz w:val="15"/>
                <w:szCs w:val="15"/>
                <w:color w:val="auto"/>
              </w:rPr>
            </w:pPr>
          </w:p>
        </w:tc>
        <w:tc>
          <w:tcPr>
            <w:tcW w:w="1920" w:type="dxa"/>
            <w:vAlign w:val="bottom"/>
            <w:tcBorders>
              <w:top w:val="single" w:sz="8" w:color="0000EE"/>
              <w:bottom w:val="single" w:sz="8" w:color="0000EE"/>
            </w:tcBorders>
            <w:gridSpan w:val="10"/>
          </w:tcPr>
          <w:p>
            <w:pPr>
              <w:ind w:left="20"/>
              <w:spacing w:after="0" w:line="182" w:lineRule="exact"/>
              <w:rPr>
                <w:rFonts w:ascii="Arial" w:cs="Arial" w:eastAsia="Arial" w:hAnsi="Arial"/>
                <w:sz w:val="18"/>
                <w:szCs w:val="18"/>
                <w:color w:val="0000EE"/>
                <w:w w:val="98"/>
              </w:rPr>
            </w:pPr>
            <w:hyperlink w:anchor="page22">
              <w:r>
                <w:rPr>
                  <w:rFonts w:ascii="Arial" w:cs="Arial" w:eastAsia="Arial" w:hAnsi="Arial"/>
                  <w:sz w:val="18"/>
                  <w:szCs w:val="18"/>
                  <w:color w:val="0000EE"/>
                  <w:w w:val="98"/>
                </w:rPr>
                <w:t>Board Oversight of Risk</w:t>
              </w:r>
            </w:hyperlink>
          </w:p>
        </w:tc>
        <w:tc>
          <w:tcPr>
            <w:tcW w:w="1260" w:type="dxa"/>
            <w:vAlign w:val="bottom"/>
            <w:tcBorders>
              <w:top w:val="single" w:sz="8" w:color="0000EE"/>
            </w:tcBorders>
            <w:gridSpan w:val="14"/>
          </w:tcPr>
          <w:p>
            <w:pPr>
              <w:spacing w:after="0"/>
              <w:rPr>
                <w:sz w:val="15"/>
                <w:szCs w:val="15"/>
                <w:color w:val="auto"/>
              </w:rPr>
            </w:pPr>
          </w:p>
        </w:tc>
        <w:tc>
          <w:tcPr>
            <w:tcW w:w="7560" w:type="dxa"/>
            <w:vAlign w:val="bottom"/>
            <w:gridSpan w:val="18"/>
          </w:tcPr>
          <w:p>
            <w:pPr>
              <w:spacing w:after="0"/>
              <w:rPr>
                <w:sz w:val="15"/>
                <w:szCs w:val="15"/>
                <w:color w:val="auto"/>
              </w:rPr>
            </w:pPr>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16</w:t>
            </w:r>
          </w:p>
        </w:tc>
      </w:tr>
      <w:tr>
        <w:trPr>
          <w:trHeight w:val="183"/>
        </w:trPr>
        <w:tc>
          <w:tcPr>
            <w:tcW w:w="160" w:type="dxa"/>
            <w:vAlign w:val="bottom"/>
          </w:tcPr>
          <w:p>
            <w:pPr>
              <w:spacing w:after="0"/>
              <w:rPr>
                <w:sz w:val="15"/>
                <w:szCs w:val="15"/>
                <w:color w:val="auto"/>
              </w:rPr>
            </w:pPr>
          </w:p>
        </w:tc>
        <w:tc>
          <w:tcPr>
            <w:tcW w:w="2220" w:type="dxa"/>
            <w:vAlign w:val="bottom"/>
            <w:tcBorders>
              <w:bottom w:val="single" w:sz="8" w:color="0000EE"/>
            </w:tcBorders>
            <w:gridSpan w:val="13"/>
          </w:tcPr>
          <w:p>
            <w:pPr>
              <w:ind w:left="20"/>
              <w:spacing w:after="0" w:line="182" w:lineRule="exact"/>
              <w:rPr>
                <w:rFonts w:ascii="Arial" w:cs="Arial" w:eastAsia="Arial" w:hAnsi="Arial"/>
                <w:sz w:val="18"/>
                <w:szCs w:val="18"/>
                <w:color w:val="0000EE"/>
                <w:w w:val="99"/>
              </w:rPr>
            </w:pPr>
            <w:hyperlink w:anchor="page22">
              <w:r>
                <w:rPr>
                  <w:rFonts w:ascii="Arial" w:cs="Arial" w:eastAsia="Arial" w:hAnsi="Arial"/>
                  <w:sz w:val="18"/>
                  <w:szCs w:val="18"/>
                  <w:color w:val="0000EE"/>
                  <w:w w:val="99"/>
                </w:rPr>
                <w:t>Board Leadership Structure</w:t>
              </w:r>
            </w:hyperlink>
          </w:p>
        </w:tc>
        <w:tc>
          <w:tcPr>
            <w:tcW w:w="8520" w:type="dxa"/>
            <w:vAlign w:val="bottom"/>
            <w:gridSpan w:val="29"/>
          </w:tcPr>
          <w:p>
            <w:pPr>
              <w:spacing w:after="0"/>
              <w:rPr>
                <w:sz w:val="15"/>
                <w:szCs w:val="15"/>
                <w:color w:val="auto"/>
              </w:rPr>
            </w:pPr>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16</w:t>
            </w:r>
          </w:p>
        </w:tc>
      </w:tr>
      <w:tr>
        <w:trPr>
          <w:trHeight w:val="183"/>
        </w:trPr>
        <w:tc>
          <w:tcPr>
            <w:tcW w:w="160" w:type="dxa"/>
            <w:vAlign w:val="bottom"/>
          </w:tcPr>
          <w:p>
            <w:pPr>
              <w:spacing w:after="0"/>
              <w:rPr>
                <w:sz w:val="15"/>
                <w:szCs w:val="15"/>
                <w:color w:val="auto"/>
              </w:rPr>
            </w:pPr>
          </w:p>
        </w:tc>
        <w:tc>
          <w:tcPr>
            <w:tcW w:w="1340" w:type="dxa"/>
            <w:vAlign w:val="bottom"/>
            <w:tcBorders>
              <w:bottom w:val="single" w:sz="8" w:color="0000EE"/>
            </w:tcBorders>
            <w:gridSpan w:val="4"/>
          </w:tcPr>
          <w:p>
            <w:pPr>
              <w:ind w:left="20"/>
              <w:spacing w:after="0" w:line="182" w:lineRule="exact"/>
              <w:rPr>
                <w:rFonts w:ascii="Arial" w:cs="Arial" w:eastAsia="Arial" w:hAnsi="Arial"/>
                <w:sz w:val="18"/>
                <w:szCs w:val="18"/>
                <w:color w:val="0000EE"/>
                <w:w w:val="97"/>
              </w:rPr>
            </w:pPr>
            <w:hyperlink w:anchor="page23">
              <w:r>
                <w:rPr>
                  <w:rFonts w:ascii="Arial" w:cs="Arial" w:eastAsia="Arial" w:hAnsi="Arial"/>
                  <w:sz w:val="18"/>
                  <w:szCs w:val="18"/>
                  <w:color w:val="0000EE"/>
                  <w:w w:val="97"/>
                </w:rPr>
                <w:t>Audit Committee</w:t>
              </w:r>
            </w:hyperlink>
          </w:p>
        </w:tc>
        <w:tc>
          <w:tcPr>
            <w:tcW w:w="9400" w:type="dxa"/>
            <w:vAlign w:val="bottom"/>
            <w:gridSpan w:val="38"/>
          </w:tcPr>
          <w:p>
            <w:pPr>
              <w:spacing w:after="0"/>
              <w:rPr>
                <w:sz w:val="15"/>
                <w:szCs w:val="15"/>
                <w:color w:val="auto"/>
              </w:rPr>
            </w:pPr>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17</w:t>
            </w:r>
          </w:p>
        </w:tc>
      </w:tr>
      <w:tr>
        <w:trPr>
          <w:trHeight w:val="183"/>
        </w:trPr>
        <w:tc>
          <w:tcPr>
            <w:tcW w:w="160" w:type="dxa"/>
            <w:vAlign w:val="bottom"/>
          </w:tcPr>
          <w:p>
            <w:pPr>
              <w:spacing w:after="0"/>
              <w:rPr>
                <w:sz w:val="15"/>
                <w:szCs w:val="15"/>
                <w:color w:val="auto"/>
              </w:rPr>
            </w:pPr>
          </w:p>
        </w:tc>
        <w:tc>
          <w:tcPr>
            <w:tcW w:w="10740" w:type="dxa"/>
            <w:vAlign w:val="bottom"/>
            <w:gridSpan w:val="42"/>
          </w:tcPr>
          <w:p>
            <w:pPr>
              <w:ind w:left="20"/>
              <w:spacing w:after="0" w:line="182" w:lineRule="exact"/>
              <w:rPr>
                <w:rFonts w:ascii="Arial" w:cs="Arial" w:eastAsia="Arial" w:hAnsi="Arial"/>
                <w:sz w:val="18"/>
                <w:szCs w:val="18"/>
                <w:color w:val="0000EE"/>
              </w:rPr>
            </w:pPr>
            <w:hyperlink w:anchor="page24">
              <w:r>
                <w:rPr>
                  <w:rFonts w:ascii="Arial" w:cs="Arial" w:eastAsia="Arial" w:hAnsi="Arial"/>
                  <w:sz w:val="18"/>
                  <w:szCs w:val="18"/>
                  <w:color w:val="0000EE"/>
                </w:rPr>
                <w:t>Nominating and Governance Committee</w:t>
              </w:r>
            </w:hyperlink>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18</w:t>
            </w:r>
          </w:p>
        </w:tc>
      </w:tr>
      <w:tr>
        <w:trPr>
          <w:trHeight w:val="183"/>
        </w:trPr>
        <w:tc>
          <w:tcPr>
            <w:tcW w:w="160" w:type="dxa"/>
            <w:vAlign w:val="bottom"/>
          </w:tcPr>
          <w:p>
            <w:pPr>
              <w:spacing w:after="0"/>
              <w:rPr>
                <w:sz w:val="15"/>
                <w:szCs w:val="15"/>
                <w:color w:val="auto"/>
              </w:rPr>
            </w:pPr>
          </w:p>
        </w:tc>
        <w:tc>
          <w:tcPr>
            <w:tcW w:w="2120" w:type="dxa"/>
            <w:vAlign w:val="bottom"/>
            <w:tcBorders>
              <w:top w:val="single" w:sz="8" w:color="0000EE"/>
              <w:bottom w:val="single" w:sz="8" w:color="0000EE"/>
            </w:tcBorders>
            <w:gridSpan w:val="11"/>
          </w:tcPr>
          <w:p>
            <w:pPr>
              <w:ind w:left="20"/>
              <w:spacing w:after="0" w:line="182" w:lineRule="exact"/>
              <w:rPr>
                <w:rFonts w:ascii="Arial" w:cs="Arial" w:eastAsia="Arial" w:hAnsi="Arial"/>
                <w:sz w:val="18"/>
                <w:szCs w:val="18"/>
                <w:color w:val="0000EE"/>
                <w:w w:val="98"/>
              </w:rPr>
            </w:pPr>
            <w:hyperlink w:anchor="page25">
              <w:r>
                <w:rPr>
                  <w:rFonts w:ascii="Arial" w:cs="Arial" w:eastAsia="Arial" w:hAnsi="Arial"/>
                  <w:sz w:val="18"/>
                  <w:szCs w:val="18"/>
                  <w:color w:val="0000EE"/>
                  <w:w w:val="98"/>
                </w:rPr>
                <w:t>Compensation Committee</w:t>
              </w:r>
            </w:hyperlink>
          </w:p>
        </w:tc>
        <w:tc>
          <w:tcPr>
            <w:tcW w:w="1100" w:type="dxa"/>
            <w:vAlign w:val="bottom"/>
            <w:tcBorders>
              <w:top w:val="single" w:sz="8" w:color="0000EE"/>
            </w:tcBorders>
            <w:gridSpan w:val="14"/>
          </w:tcPr>
          <w:p>
            <w:pPr>
              <w:spacing w:after="0"/>
              <w:rPr>
                <w:sz w:val="15"/>
                <w:szCs w:val="15"/>
                <w:color w:val="auto"/>
              </w:rPr>
            </w:pPr>
          </w:p>
        </w:tc>
        <w:tc>
          <w:tcPr>
            <w:tcW w:w="7520" w:type="dxa"/>
            <w:vAlign w:val="bottom"/>
            <w:gridSpan w:val="17"/>
          </w:tcPr>
          <w:p>
            <w:pPr>
              <w:spacing w:after="0"/>
              <w:rPr>
                <w:sz w:val="15"/>
                <w:szCs w:val="15"/>
                <w:color w:val="auto"/>
              </w:rPr>
            </w:pPr>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19</w:t>
            </w:r>
          </w:p>
        </w:tc>
      </w:tr>
      <w:tr>
        <w:trPr>
          <w:trHeight w:val="183"/>
        </w:trPr>
        <w:tc>
          <w:tcPr>
            <w:tcW w:w="160" w:type="dxa"/>
            <w:vAlign w:val="bottom"/>
          </w:tcPr>
          <w:p>
            <w:pPr>
              <w:spacing w:after="0"/>
              <w:rPr>
                <w:sz w:val="15"/>
                <w:szCs w:val="15"/>
                <w:color w:val="auto"/>
              </w:rPr>
            </w:pPr>
          </w:p>
        </w:tc>
        <w:tc>
          <w:tcPr>
            <w:tcW w:w="4900" w:type="dxa"/>
            <w:vAlign w:val="bottom"/>
            <w:tcBorders>
              <w:bottom w:val="single" w:sz="8" w:color="0000EE"/>
            </w:tcBorders>
            <w:gridSpan w:val="38"/>
          </w:tcPr>
          <w:p>
            <w:pPr>
              <w:ind w:left="20"/>
              <w:spacing w:after="0" w:line="182" w:lineRule="exact"/>
              <w:rPr>
                <w:rFonts w:ascii="Arial" w:cs="Arial" w:eastAsia="Arial" w:hAnsi="Arial"/>
                <w:sz w:val="18"/>
                <w:szCs w:val="18"/>
                <w:color w:val="0000EE"/>
                <w:w w:val="99"/>
              </w:rPr>
            </w:pPr>
            <w:hyperlink w:anchor="page25">
              <w:r>
                <w:rPr>
                  <w:rFonts w:ascii="Arial" w:cs="Arial" w:eastAsia="Arial" w:hAnsi="Arial"/>
                  <w:sz w:val="18"/>
                  <w:szCs w:val="18"/>
                  <w:color w:val="0000EE"/>
                  <w:w w:val="99"/>
                </w:rPr>
                <w:t>Compensation Committee Interlocks and Insider Participation</w:t>
              </w:r>
            </w:hyperlink>
          </w:p>
        </w:tc>
        <w:tc>
          <w:tcPr>
            <w:tcW w:w="5840" w:type="dxa"/>
            <w:vAlign w:val="bottom"/>
            <w:gridSpan w:val="4"/>
          </w:tcPr>
          <w:p>
            <w:pPr>
              <w:spacing w:after="0"/>
              <w:rPr>
                <w:sz w:val="15"/>
                <w:szCs w:val="15"/>
                <w:color w:val="auto"/>
              </w:rPr>
            </w:pPr>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19</w:t>
            </w:r>
          </w:p>
        </w:tc>
      </w:tr>
      <w:tr>
        <w:trPr>
          <w:trHeight w:val="183"/>
        </w:trPr>
        <w:tc>
          <w:tcPr>
            <w:tcW w:w="10900" w:type="dxa"/>
            <w:vAlign w:val="bottom"/>
            <w:gridSpan w:val="43"/>
          </w:tcPr>
          <w:p>
            <w:pPr>
              <w:spacing w:after="0" w:line="182" w:lineRule="exact"/>
              <w:rPr>
                <w:rFonts w:ascii="Arial" w:cs="Arial" w:eastAsia="Arial" w:hAnsi="Arial"/>
                <w:sz w:val="18"/>
                <w:szCs w:val="18"/>
                <w:color w:val="0000EE"/>
              </w:rPr>
            </w:pPr>
            <w:hyperlink w:anchor="page26">
              <w:r>
                <w:rPr>
                  <w:rFonts w:ascii="Arial" w:cs="Arial" w:eastAsia="Arial" w:hAnsi="Arial"/>
                  <w:sz w:val="18"/>
                  <w:szCs w:val="18"/>
                  <w:color w:val="0000EE"/>
                </w:rPr>
                <w:t>Certain Relationships and Related-Person Transactions</w:t>
              </w:r>
            </w:hyperlink>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20</w:t>
            </w:r>
          </w:p>
        </w:tc>
      </w:tr>
      <w:tr>
        <w:trPr>
          <w:trHeight w:val="182"/>
        </w:trPr>
        <w:tc>
          <w:tcPr>
            <w:tcW w:w="4440" w:type="dxa"/>
            <w:vAlign w:val="bottom"/>
            <w:tcBorders>
              <w:top w:val="single" w:sz="8" w:color="0000EE"/>
            </w:tcBorders>
            <w:gridSpan w:val="33"/>
          </w:tcPr>
          <w:p>
            <w:pPr>
              <w:spacing w:after="0" w:line="182" w:lineRule="exact"/>
              <w:rPr>
                <w:rFonts w:ascii="Arial" w:cs="Arial" w:eastAsia="Arial" w:hAnsi="Arial"/>
                <w:sz w:val="18"/>
                <w:szCs w:val="18"/>
                <w:color w:val="0000EE"/>
              </w:rPr>
            </w:pPr>
            <w:hyperlink w:anchor="page28">
              <w:r>
                <w:rPr>
                  <w:rFonts w:ascii="Arial" w:cs="Arial" w:eastAsia="Arial" w:hAnsi="Arial"/>
                  <w:sz w:val="18"/>
                  <w:szCs w:val="18"/>
                  <w:color w:val="0000EE"/>
                </w:rPr>
                <w:t>Director Compensation</w:t>
              </w:r>
            </w:hyperlink>
          </w:p>
        </w:tc>
        <w:tc>
          <w:tcPr>
            <w:tcW w:w="6460" w:type="dxa"/>
            <w:vAlign w:val="bottom"/>
            <w:gridSpan w:val="10"/>
          </w:tcPr>
          <w:p>
            <w:pPr>
              <w:spacing w:after="0"/>
              <w:rPr>
                <w:sz w:val="15"/>
                <w:szCs w:val="15"/>
                <w:color w:val="auto"/>
              </w:rPr>
            </w:pPr>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22</w:t>
            </w: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83"/>
        </w:trPr>
        <w:tc>
          <w:tcPr>
            <w:tcW w:w="2580" w:type="dxa"/>
            <w:vAlign w:val="bottom"/>
            <w:tcBorders>
              <w:bottom w:val="single" w:sz="8" w:color="0000EE"/>
            </w:tcBorders>
            <w:gridSpan w:val="17"/>
          </w:tcPr>
          <w:p>
            <w:pPr>
              <w:spacing w:after="0" w:line="182" w:lineRule="exact"/>
              <w:rPr>
                <w:rFonts w:ascii="Arial" w:cs="Arial" w:eastAsia="Arial" w:hAnsi="Arial"/>
                <w:sz w:val="18"/>
                <w:szCs w:val="18"/>
                <w:color w:val="0000EE"/>
                <w:w w:val="99"/>
              </w:rPr>
            </w:pPr>
            <w:hyperlink w:anchor="page30">
              <w:r>
                <w:rPr>
                  <w:rFonts w:ascii="Arial" w:cs="Arial" w:eastAsia="Arial" w:hAnsi="Arial"/>
                  <w:sz w:val="18"/>
                  <w:szCs w:val="18"/>
                  <w:color w:val="0000EE"/>
                  <w:w w:val="99"/>
                </w:rPr>
                <w:t>Proposal 1. Election of Directors</w:t>
              </w:r>
            </w:hyperlink>
          </w:p>
        </w:tc>
        <w:tc>
          <w:tcPr>
            <w:tcW w:w="8320" w:type="dxa"/>
            <w:vAlign w:val="bottom"/>
            <w:gridSpan w:val="26"/>
          </w:tcPr>
          <w:p>
            <w:pPr>
              <w:spacing w:after="0"/>
              <w:rPr>
                <w:sz w:val="15"/>
                <w:szCs w:val="15"/>
                <w:color w:val="auto"/>
              </w:rPr>
            </w:pPr>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24</w:t>
            </w:r>
          </w:p>
        </w:tc>
      </w:tr>
      <w:tr>
        <w:trPr>
          <w:trHeight w:val="183"/>
        </w:trPr>
        <w:tc>
          <w:tcPr>
            <w:tcW w:w="160" w:type="dxa"/>
            <w:vAlign w:val="bottom"/>
          </w:tcPr>
          <w:p>
            <w:pPr>
              <w:spacing w:after="0"/>
              <w:rPr>
                <w:sz w:val="15"/>
                <w:szCs w:val="15"/>
                <w:color w:val="auto"/>
              </w:rPr>
            </w:pPr>
          </w:p>
        </w:tc>
        <w:tc>
          <w:tcPr>
            <w:tcW w:w="1780" w:type="dxa"/>
            <w:vAlign w:val="bottom"/>
            <w:tcBorders>
              <w:bottom w:val="single" w:sz="8" w:color="0000EE"/>
            </w:tcBorders>
            <w:gridSpan w:val="8"/>
          </w:tcPr>
          <w:p>
            <w:pPr>
              <w:ind w:left="20"/>
              <w:spacing w:after="0" w:line="182" w:lineRule="exact"/>
              <w:rPr>
                <w:rFonts w:ascii="Arial" w:cs="Arial" w:eastAsia="Arial" w:hAnsi="Arial"/>
                <w:sz w:val="18"/>
                <w:szCs w:val="18"/>
                <w:color w:val="0000EE"/>
                <w:w w:val="98"/>
              </w:rPr>
            </w:pPr>
            <w:hyperlink w:anchor="page30">
              <w:r>
                <w:rPr>
                  <w:rFonts w:ascii="Arial" w:cs="Arial" w:eastAsia="Arial" w:hAnsi="Arial"/>
                  <w:sz w:val="18"/>
                  <w:szCs w:val="18"/>
                  <w:color w:val="0000EE"/>
                  <w:w w:val="98"/>
                </w:rPr>
                <w:t>Director Qualifications</w:t>
              </w:r>
            </w:hyperlink>
          </w:p>
        </w:tc>
        <w:tc>
          <w:tcPr>
            <w:tcW w:w="8960" w:type="dxa"/>
            <w:vAlign w:val="bottom"/>
            <w:gridSpan w:val="34"/>
          </w:tcPr>
          <w:p>
            <w:pPr>
              <w:spacing w:after="0"/>
              <w:rPr>
                <w:sz w:val="15"/>
                <w:szCs w:val="15"/>
                <w:color w:val="auto"/>
              </w:rPr>
            </w:pPr>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24</w:t>
            </w:r>
          </w:p>
        </w:tc>
      </w:tr>
      <w:tr>
        <w:trPr>
          <w:trHeight w:val="183"/>
        </w:trPr>
        <w:tc>
          <w:tcPr>
            <w:tcW w:w="160" w:type="dxa"/>
            <w:vAlign w:val="bottom"/>
          </w:tcPr>
          <w:p>
            <w:pPr>
              <w:spacing w:after="0"/>
              <w:rPr>
                <w:sz w:val="15"/>
                <w:szCs w:val="15"/>
                <w:color w:val="auto"/>
              </w:rPr>
            </w:pPr>
          </w:p>
        </w:tc>
        <w:tc>
          <w:tcPr>
            <w:tcW w:w="10740" w:type="dxa"/>
            <w:vAlign w:val="bottom"/>
            <w:gridSpan w:val="42"/>
          </w:tcPr>
          <w:p>
            <w:pPr>
              <w:ind w:left="20"/>
              <w:spacing w:after="0" w:line="182" w:lineRule="exact"/>
              <w:rPr>
                <w:rFonts w:ascii="Arial" w:cs="Arial" w:eastAsia="Arial" w:hAnsi="Arial"/>
                <w:sz w:val="18"/>
                <w:szCs w:val="18"/>
                <w:color w:val="0000EE"/>
              </w:rPr>
            </w:pPr>
            <w:hyperlink w:anchor="page30">
              <w:r>
                <w:rPr>
                  <w:rFonts w:ascii="Arial" w:cs="Arial" w:eastAsia="Arial" w:hAnsi="Arial"/>
                  <w:sz w:val="18"/>
                  <w:szCs w:val="18"/>
                  <w:color w:val="0000EE"/>
                </w:rPr>
                <w:t>Identifying and Evaluating Nominees for Directors</w:t>
              </w:r>
            </w:hyperlink>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24</w:t>
            </w:r>
          </w:p>
        </w:tc>
      </w:tr>
      <w:tr>
        <w:trPr>
          <w:trHeight w:val="20"/>
        </w:trPr>
        <w:tc>
          <w:tcPr>
            <w:tcW w:w="16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540" w:type="dxa"/>
            <w:vAlign w:val="bottom"/>
            <w:gridSpan w:val="6"/>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83"/>
        </w:trPr>
        <w:tc>
          <w:tcPr>
            <w:tcW w:w="160" w:type="dxa"/>
            <w:vAlign w:val="bottom"/>
          </w:tcPr>
          <w:p>
            <w:pPr>
              <w:spacing w:after="0"/>
              <w:rPr>
                <w:sz w:val="15"/>
                <w:szCs w:val="15"/>
                <w:color w:val="auto"/>
              </w:rPr>
            </w:pPr>
          </w:p>
        </w:tc>
        <w:tc>
          <w:tcPr>
            <w:tcW w:w="10740" w:type="dxa"/>
            <w:vAlign w:val="bottom"/>
            <w:gridSpan w:val="42"/>
          </w:tcPr>
          <w:p>
            <w:pPr>
              <w:ind w:left="20"/>
              <w:spacing w:after="0" w:line="182" w:lineRule="exact"/>
              <w:rPr>
                <w:rFonts w:ascii="Arial" w:cs="Arial" w:eastAsia="Arial" w:hAnsi="Arial"/>
                <w:sz w:val="18"/>
                <w:szCs w:val="18"/>
                <w:color w:val="0000EE"/>
              </w:rPr>
            </w:pPr>
            <w:hyperlink w:anchor="page31">
              <w:r>
                <w:rPr>
                  <w:rFonts w:ascii="Arial" w:cs="Arial" w:eastAsia="Arial" w:hAnsi="Arial"/>
                  <w:sz w:val="18"/>
                  <w:szCs w:val="18"/>
                  <w:color w:val="0000EE"/>
                </w:rPr>
                <w:t>Information Concerning Nominees for Election as Directors</w:t>
              </w:r>
            </w:hyperlink>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25</w:t>
            </w:r>
          </w:p>
        </w:tc>
      </w:tr>
      <w:tr>
        <w:trPr>
          <w:trHeight w:val="20"/>
        </w:trPr>
        <w:tc>
          <w:tcPr>
            <w:tcW w:w="16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540" w:type="dxa"/>
            <w:vAlign w:val="bottom"/>
            <w:gridSpan w:val="6"/>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83"/>
        </w:trPr>
        <w:tc>
          <w:tcPr>
            <w:tcW w:w="3180" w:type="dxa"/>
            <w:vAlign w:val="bottom"/>
            <w:tcBorders>
              <w:bottom w:val="single" w:sz="8" w:color="0000EE"/>
            </w:tcBorders>
            <w:gridSpan w:val="23"/>
          </w:tcPr>
          <w:p>
            <w:pPr>
              <w:spacing w:after="0" w:line="182" w:lineRule="exact"/>
              <w:rPr>
                <w:rFonts w:ascii="Arial" w:cs="Arial" w:eastAsia="Arial" w:hAnsi="Arial"/>
                <w:sz w:val="18"/>
                <w:szCs w:val="18"/>
                <w:color w:val="0000EE"/>
                <w:w w:val="99"/>
              </w:rPr>
            </w:pPr>
            <w:hyperlink w:anchor="page34">
              <w:r>
                <w:rPr>
                  <w:rFonts w:ascii="Arial" w:cs="Arial" w:eastAsia="Arial" w:hAnsi="Arial"/>
                  <w:sz w:val="18"/>
                  <w:szCs w:val="18"/>
                  <w:color w:val="0000EE"/>
                  <w:w w:val="99"/>
                </w:rPr>
                <w:t>Beneficial Ownership of Common Stock</w:t>
              </w:r>
            </w:hyperlink>
          </w:p>
        </w:tc>
        <w:tc>
          <w:tcPr>
            <w:tcW w:w="7720" w:type="dxa"/>
            <w:vAlign w:val="bottom"/>
            <w:gridSpan w:val="20"/>
          </w:tcPr>
          <w:p>
            <w:pPr>
              <w:spacing w:after="0"/>
              <w:rPr>
                <w:sz w:val="15"/>
                <w:szCs w:val="15"/>
                <w:color w:val="auto"/>
              </w:rPr>
            </w:pPr>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28</w:t>
            </w:r>
          </w:p>
        </w:tc>
      </w:tr>
      <w:tr>
        <w:trPr>
          <w:trHeight w:val="183"/>
        </w:trPr>
        <w:tc>
          <w:tcPr>
            <w:tcW w:w="10900" w:type="dxa"/>
            <w:vAlign w:val="bottom"/>
            <w:gridSpan w:val="43"/>
          </w:tcPr>
          <w:p>
            <w:pPr>
              <w:spacing w:after="0" w:line="182" w:lineRule="exact"/>
              <w:rPr>
                <w:rFonts w:ascii="Arial" w:cs="Arial" w:eastAsia="Arial" w:hAnsi="Arial"/>
                <w:sz w:val="18"/>
                <w:szCs w:val="18"/>
                <w:color w:val="0000EE"/>
              </w:rPr>
            </w:pPr>
            <w:hyperlink w:anchor="page35">
              <w:r>
                <w:rPr>
                  <w:rFonts w:ascii="Arial" w:cs="Arial" w:eastAsia="Arial" w:hAnsi="Arial"/>
                  <w:sz w:val="18"/>
                  <w:szCs w:val="18"/>
                  <w:color w:val="0000EE"/>
                </w:rPr>
                <w:t>Section 16(a) Beneficial Ownership Reporting Compliance</w:t>
              </w:r>
            </w:hyperlink>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29</w:t>
            </w:r>
          </w:p>
        </w:tc>
      </w:tr>
      <w:tr>
        <w:trPr>
          <w:trHeight w:val="183"/>
        </w:trPr>
        <w:tc>
          <w:tcPr>
            <w:tcW w:w="146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99"/>
              </w:rPr>
            </w:pPr>
            <w:hyperlink w:anchor="page36">
              <w:r>
                <w:rPr>
                  <w:rFonts w:ascii="Arial" w:cs="Arial" w:eastAsia="Arial" w:hAnsi="Arial"/>
                  <w:sz w:val="18"/>
                  <w:szCs w:val="18"/>
                  <w:color w:val="0000EE"/>
                  <w:w w:val="99"/>
                </w:rPr>
                <w:t>Executive Officers</w:t>
              </w:r>
            </w:hyperlink>
          </w:p>
        </w:tc>
        <w:tc>
          <w:tcPr>
            <w:tcW w:w="3180" w:type="dxa"/>
            <w:vAlign w:val="bottom"/>
            <w:tcBorders>
              <w:top w:val="single" w:sz="8" w:color="0000EE"/>
            </w:tcBorders>
            <w:gridSpan w:val="31"/>
          </w:tcPr>
          <w:p>
            <w:pPr>
              <w:spacing w:after="0"/>
              <w:rPr>
                <w:sz w:val="15"/>
                <w:szCs w:val="15"/>
                <w:color w:val="auto"/>
              </w:rPr>
            </w:pPr>
          </w:p>
        </w:tc>
        <w:tc>
          <w:tcPr>
            <w:tcW w:w="6260" w:type="dxa"/>
            <w:vAlign w:val="bottom"/>
            <w:gridSpan w:val="8"/>
          </w:tcPr>
          <w:p>
            <w:pPr>
              <w:spacing w:after="0"/>
              <w:rPr>
                <w:sz w:val="15"/>
                <w:szCs w:val="15"/>
                <w:color w:val="auto"/>
              </w:rPr>
            </w:pPr>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30</w:t>
            </w:r>
          </w:p>
        </w:tc>
      </w:tr>
      <w:tr>
        <w:trPr>
          <w:trHeight w:val="183"/>
        </w:trPr>
        <w:tc>
          <w:tcPr>
            <w:tcW w:w="2000" w:type="dxa"/>
            <w:vAlign w:val="bottom"/>
            <w:tcBorders>
              <w:bottom w:val="single" w:sz="8" w:color="0000EE"/>
            </w:tcBorders>
            <w:gridSpan w:val="10"/>
          </w:tcPr>
          <w:p>
            <w:pPr>
              <w:spacing w:after="0" w:line="182" w:lineRule="exact"/>
              <w:rPr>
                <w:rFonts w:ascii="Arial" w:cs="Arial" w:eastAsia="Arial" w:hAnsi="Arial"/>
                <w:sz w:val="18"/>
                <w:szCs w:val="18"/>
                <w:color w:val="0000EE"/>
                <w:w w:val="99"/>
              </w:rPr>
            </w:pPr>
            <w:hyperlink w:anchor="page37">
              <w:r>
                <w:rPr>
                  <w:rFonts w:ascii="Arial" w:cs="Arial" w:eastAsia="Arial" w:hAnsi="Arial"/>
                  <w:sz w:val="18"/>
                  <w:szCs w:val="18"/>
                  <w:color w:val="0000EE"/>
                  <w:w w:val="99"/>
                </w:rPr>
                <w:t>Executive Compensation</w:t>
              </w:r>
            </w:hyperlink>
          </w:p>
        </w:tc>
        <w:tc>
          <w:tcPr>
            <w:tcW w:w="8900" w:type="dxa"/>
            <w:vAlign w:val="bottom"/>
            <w:gridSpan w:val="33"/>
          </w:tcPr>
          <w:p>
            <w:pPr>
              <w:spacing w:after="0"/>
              <w:rPr>
                <w:sz w:val="15"/>
                <w:szCs w:val="15"/>
                <w:color w:val="auto"/>
              </w:rPr>
            </w:pPr>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31</w:t>
            </w:r>
          </w:p>
        </w:tc>
      </w:tr>
      <w:tr>
        <w:trPr>
          <w:trHeight w:val="183"/>
        </w:trPr>
        <w:tc>
          <w:tcPr>
            <w:tcW w:w="160" w:type="dxa"/>
            <w:vAlign w:val="bottom"/>
          </w:tcPr>
          <w:p>
            <w:pPr>
              <w:spacing w:after="0"/>
              <w:rPr>
                <w:sz w:val="15"/>
                <w:szCs w:val="15"/>
                <w:color w:val="auto"/>
              </w:rPr>
            </w:pPr>
          </w:p>
        </w:tc>
        <w:tc>
          <w:tcPr>
            <w:tcW w:w="2480" w:type="dxa"/>
            <w:vAlign w:val="bottom"/>
            <w:tcBorders>
              <w:bottom w:val="single" w:sz="8" w:color="0000EE"/>
            </w:tcBorders>
            <w:gridSpan w:val="18"/>
          </w:tcPr>
          <w:p>
            <w:pPr>
              <w:ind w:left="20"/>
              <w:spacing w:after="0" w:line="182" w:lineRule="exact"/>
              <w:rPr>
                <w:rFonts w:ascii="Arial" w:cs="Arial" w:eastAsia="Arial" w:hAnsi="Arial"/>
                <w:sz w:val="18"/>
                <w:szCs w:val="18"/>
                <w:color w:val="0000EE"/>
                <w:w w:val="98"/>
              </w:rPr>
            </w:pPr>
            <w:hyperlink w:anchor="page37">
              <w:r>
                <w:rPr>
                  <w:rFonts w:ascii="Arial" w:cs="Arial" w:eastAsia="Arial" w:hAnsi="Arial"/>
                  <w:sz w:val="18"/>
                  <w:szCs w:val="18"/>
                  <w:color w:val="0000EE"/>
                  <w:w w:val="98"/>
                </w:rPr>
                <w:t>Summary Compensation Table</w:t>
              </w:r>
            </w:hyperlink>
          </w:p>
        </w:tc>
        <w:tc>
          <w:tcPr>
            <w:tcW w:w="8260" w:type="dxa"/>
            <w:vAlign w:val="bottom"/>
            <w:gridSpan w:val="24"/>
          </w:tcPr>
          <w:p>
            <w:pPr>
              <w:spacing w:after="0"/>
              <w:rPr>
                <w:sz w:val="15"/>
                <w:szCs w:val="15"/>
                <w:color w:val="auto"/>
              </w:rPr>
            </w:pPr>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31</w:t>
            </w:r>
          </w:p>
        </w:tc>
      </w:tr>
      <w:tr>
        <w:trPr>
          <w:trHeight w:val="183"/>
        </w:trPr>
        <w:tc>
          <w:tcPr>
            <w:tcW w:w="160" w:type="dxa"/>
            <w:vAlign w:val="bottom"/>
          </w:tcPr>
          <w:p>
            <w:pPr>
              <w:spacing w:after="0"/>
              <w:rPr>
                <w:sz w:val="15"/>
                <w:szCs w:val="15"/>
                <w:color w:val="auto"/>
              </w:rPr>
            </w:pPr>
          </w:p>
        </w:tc>
        <w:tc>
          <w:tcPr>
            <w:tcW w:w="10740" w:type="dxa"/>
            <w:vAlign w:val="bottom"/>
            <w:gridSpan w:val="42"/>
          </w:tcPr>
          <w:p>
            <w:pPr>
              <w:ind w:left="20"/>
              <w:spacing w:after="0" w:line="182" w:lineRule="exact"/>
              <w:rPr>
                <w:rFonts w:ascii="Arial" w:cs="Arial" w:eastAsia="Arial" w:hAnsi="Arial"/>
                <w:sz w:val="18"/>
                <w:szCs w:val="18"/>
                <w:color w:val="0000EE"/>
              </w:rPr>
            </w:pPr>
            <w:hyperlink w:anchor="page38">
              <w:r>
                <w:rPr>
                  <w:rFonts w:ascii="Arial" w:cs="Arial" w:eastAsia="Arial" w:hAnsi="Arial"/>
                  <w:sz w:val="18"/>
                  <w:szCs w:val="18"/>
                  <w:color w:val="0000EE"/>
                </w:rPr>
                <w:t>Narrative Explanation of the Summary Compensation Table</w:t>
              </w:r>
            </w:hyperlink>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32</w:t>
            </w:r>
          </w:p>
        </w:tc>
      </w:tr>
      <w:tr>
        <w:trPr>
          <w:trHeight w:val="183"/>
        </w:trPr>
        <w:tc>
          <w:tcPr>
            <w:tcW w:w="160" w:type="dxa"/>
            <w:vAlign w:val="bottom"/>
          </w:tcPr>
          <w:p>
            <w:pPr>
              <w:spacing w:after="0"/>
              <w:rPr>
                <w:sz w:val="15"/>
                <w:szCs w:val="15"/>
                <w:color w:val="auto"/>
              </w:rPr>
            </w:pPr>
          </w:p>
        </w:tc>
        <w:tc>
          <w:tcPr>
            <w:tcW w:w="2380" w:type="dxa"/>
            <w:vAlign w:val="bottom"/>
            <w:tcBorders>
              <w:top w:val="single" w:sz="8" w:color="0000EE"/>
              <w:bottom w:val="single" w:sz="8" w:color="0000EE"/>
            </w:tcBorders>
            <w:gridSpan w:val="15"/>
          </w:tcPr>
          <w:p>
            <w:pPr>
              <w:ind w:left="20"/>
              <w:spacing w:after="0" w:line="182" w:lineRule="exact"/>
              <w:rPr>
                <w:rFonts w:ascii="Arial" w:cs="Arial" w:eastAsia="Arial" w:hAnsi="Arial"/>
                <w:sz w:val="18"/>
                <w:szCs w:val="18"/>
                <w:color w:val="0000EE"/>
                <w:w w:val="98"/>
              </w:rPr>
            </w:pPr>
            <w:hyperlink w:anchor="page39">
              <w:r>
                <w:rPr>
                  <w:rFonts w:ascii="Arial" w:cs="Arial" w:eastAsia="Arial" w:hAnsi="Arial"/>
                  <w:sz w:val="18"/>
                  <w:szCs w:val="18"/>
                  <w:color w:val="0000EE"/>
                  <w:w w:val="98"/>
                </w:rPr>
                <w:t>Grants of Plan-Based Awards</w:t>
              </w:r>
            </w:hyperlink>
          </w:p>
        </w:tc>
        <w:tc>
          <w:tcPr>
            <w:tcW w:w="2360" w:type="dxa"/>
            <w:vAlign w:val="bottom"/>
            <w:tcBorders>
              <w:top w:val="single" w:sz="8" w:color="0000EE"/>
            </w:tcBorders>
            <w:gridSpan w:val="21"/>
          </w:tcPr>
          <w:p>
            <w:pPr>
              <w:spacing w:after="0"/>
              <w:rPr>
                <w:sz w:val="15"/>
                <w:szCs w:val="15"/>
                <w:color w:val="auto"/>
              </w:rPr>
            </w:pPr>
          </w:p>
        </w:tc>
        <w:tc>
          <w:tcPr>
            <w:tcW w:w="6000" w:type="dxa"/>
            <w:vAlign w:val="bottom"/>
            <w:gridSpan w:val="6"/>
          </w:tcPr>
          <w:p>
            <w:pPr>
              <w:spacing w:after="0"/>
              <w:rPr>
                <w:sz w:val="15"/>
                <w:szCs w:val="15"/>
                <w:color w:val="auto"/>
              </w:rPr>
            </w:pPr>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33</w:t>
            </w:r>
          </w:p>
        </w:tc>
      </w:tr>
      <w:tr>
        <w:trPr>
          <w:trHeight w:val="183"/>
        </w:trPr>
        <w:tc>
          <w:tcPr>
            <w:tcW w:w="160" w:type="dxa"/>
            <w:vAlign w:val="bottom"/>
          </w:tcPr>
          <w:p>
            <w:pPr>
              <w:spacing w:after="0"/>
              <w:rPr>
                <w:sz w:val="15"/>
                <w:szCs w:val="15"/>
                <w:color w:val="auto"/>
              </w:rPr>
            </w:pPr>
          </w:p>
        </w:tc>
        <w:tc>
          <w:tcPr>
            <w:tcW w:w="10740" w:type="dxa"/>
            <w:vAlign w:val="bottom"/>
            <w:gridSpan w:val="42"/>
          </w:tcPr>
          <w:p>
            <w:pPr>
              <w:ind w:left="20"/>
              <w:spacing w:after="0" w:line="182" w:lineRule="exact"/>
              <w:rPr>
                <w:rFonts w:ascii="Arial" w:cs="Arial" w:eastAsia="Arial" w:hAnsi="Arial"/>
                <w:sz w:val="18"/>
                <w:szCs w:val="18"/>
                <w:color w:val="0000EE"/>
              </w:rPr>
            </w:pPr>
            <w:hyperlink w:anchor="page40">
              <w:r>
                <w:rPr>
                  <w:rFonts w:ascii="Arial" w:cs="Arial" w:eastAsia="Arial" w:hAnsi="Arial"/>
                  <w:sz w:val="18"/>
                  <w:szCs w:val="18"/>
                  <w:color w:val="0000EE"/>
                </w:rPr>
                <w:t>Outstanding Equity Awards at December 31, 2020</w:t>
              </w:r>
            </w:hyperlink>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34</w:t>
            </w:r>
          </w:p>
        </w:tc>
      </w:tr>
      <w:tr>
        <w:trPr>
          <w:trHeight w:val="183"/>
        </w:trPr>
        <w:tc>
          <w:tcPr>
            <w:tcW w:w="160" w:type="dxa"/>
            <w:vAlign w:val="bottom"/>
          </w:tcPr>
          <w:p>
            <w:pPr>
              <w:spacing w:after="0"/>
              <w:rPr>
                <w:sz w:val="15"/>
                <w:szCs w:val="15"/>
                <w:color w:val="auto"/>
              </w:rPr>
            </w:pPr>
          </w:p>
        </w:tc>
        <w:tc>
          <w:tcPr>
            <w:tcW w:w="3800" w:type="dxa"/>
            <w:vAlign w:val="bottom"/>
            <w:tcBorders>
              <w:top w:val="single" w:sz="8" w:color="0000EE"/>
              <w:bottom w:val="single" w:sz="8" w:color="0000EE"/>
            </w:tcBorders>
            <w:gridSpan w:val="27"/>
          </w:tcPr>
          <w:p>
            <w:pPr>
              <w:ind w:left="20"/>
              <w:spacing w:after="0" w:line="182" w:lineRule="exact"/>
              <w:rPr>
                <w:rFonts w:ascii="Arial" w:cs="Arial" w:eastAsia="Arial" w:hAnsi="Arial"/>
                <w:sz w:val="18"/>
                <w:szCs w:val="18"/>
                <w:color w:val="0000EE"/>
                <w:w w:val="98"/>
              </w:rPr>
            </w:pPr>
            <w:hyperlink w:anchor="page41">
              <w:r>
                <w:rPr>
                  <w:rFonts w:ascii="Arial" w:cs="Arial" w:eastAsia="Arial" w:hAnsi="Arial"/>
                  <w:sz w:val="18"/>
                  <w:szCs w:val="18"/>
                  <w:color w:val="0000EE"/>
                  <w:w w:val="98"/>
                </w:rPr>
                <w:t>2020 Equity Award Exercises and Stock Vested</w:t>
              </w:r>
            </w:hyperlink>
          </w:p>
        </w:tc>
        <w:tc>
          <w:tcPr>
            <w:tcW w:w="200" w:type="dxa"/>
            <w:vAlign w:val="bottom"/>
            <w:tcBorders>
              <w:top w:val="single" w:sz="8" w:color="0000EE"/>
            </w:tcBorders>
            <w:gridSpan w:val="3"/>
          </w:tcPr>
          <w:p>
            <w:pPr>
              <w:spacing w:after="0"/>
              <w:rPr>
                <w:sz w:val="15"/>
                <w:szCs w:val="15"/>
                <w:color w:val="auto"/>
              </w:rPr>
            </w:pPr>
          </w:p>
        </w:tc>
        <w:tc>
          <w:tcPr>
            <w:tcW w:w="6740" w:type="dxa"/>
            <w:vAlign w:val="bottom"/>
            <w:gridSpan w:val="12"/>
          </w:tcPr>
          <w:p>
            <w:pPr>
              <w:spacing w:after="0"/>
              <w:rPr>
                <w:sz w:val="15"/>
                <w:szCs w:val="15"/>
                <w:color w:val="auto"/>
              </w:rPr>
            </w:pPr>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35</w:t>
            </w:r>
          </w:p>
        </w:tc>
      </w:tr>
      <w:tr>
        <w:trPr>
          <w:trHeight w:val="183"/>
        </w:trPr>
        <w:tc>
          <w:tcPr>
            <w:tcW w:w="160" w:type="dxa"/>
            <w:vAlign w:val="bottom"/>
          </w:tcPr>
          <w:p>
            <w:pPr>
              <w:spacing w:after="0"/>
              <w:rPr>
                <w:sz w:val="15"/>
                <w:szCs w:val="15"/>
                <w:color w:val="auto"/>
              </w:rPr>
            </w:pPr>
          </w:p>
        </w:tc>
        <w:tc>
          <w:tcPr>
            <w:tcW w:w="10740" w:type="dxa"/>
            <w:vAlign w:val="bottom"/>
            <w:gridSpan w:val="42"/>
          </w:tcPr>
          <w:p>
            <w:pPr>
              <w:ind w:left="20"/>
              <w:spacing w:after="0" w:line="182" w:lineRule="exact"/>
              <w:rPr>
                <w:rFonts w:ascii="Arial" w:cs="Arial" w:eastAsia="Arial" w:hAnsi="Arial"/>
                <w:sz w:val="18"/>
                <w:szCs w:val="18"/>
                <w:color w:val="0000EE"/>
              </w:rPr>
            </w:pPr>
            <w:hyperlink w:anchor="page43">
              <w:r>
                <w:rPr>
                  <w:rFonts w:ascii="Arial" w:cs="Arial" w:eastAsia="Arial" w:hAnsi="Arial"/>
                  <w:sz w:val="18"/>
                  <w:szCs w:val="18"/>
                  <w:color w:val="0000EE"/>
                </w:rPr>
                <w:t>Equity Compensation Plan Information</w:t>
              </w:r>
            </w:hyperlink>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37</w:t>
            </w:r>
          </w:p>
        </w:tc>
      </w:tr>
      <w:tr>
        <w:trPr>
          <w:trHeight w:val="183"/>
        </w:trPr>
        <w:tc>
          <w:tcPr>
            <w:tcW w:w="160" w:type="dxa"/>
            <w:vAlign w:val="bottom"/>
          </w:tcPr>
          <w:p>
            <w:pPr>
              <w:spacing w:after="0"/>
              <w:rPr>
                <w:sz w:val="15"/>
                <w:szCs w:val="15"/>
                <w:color w:val="auto"/>
              </w:rPr>
            </w:pPr>
          </w:p>
        </w:tc>
        <w:tc>
          <w:tcPr>
            <w:tcW w:w="1240" w:type="dxa"/>
            <w:vAlign w:val="bottom"/>
            <w:tcBorders>
              <w:top w:val="single" w:sz="8" w:color="0000EE"/>
              <w:bottom w:val="single" w:sz="8" w:color="0000EE"/>
            </w:tcBorders>
            <w:gridSpan w:val="2"/>
          </w:tcPr>
          <w:p>
            <w:pPr>
              <w:ind w:left="20"/>
              <w:spacing w:after="0" w:line="182" w:lineRule="exact"/>
              <w:rPr>
                <w:rFonts w:ascii="Arial" w:cs="Arial" w:eastAsia="Arial" w:hAnsi="Arial"/>
                <w:sz w:val="18"/>
                <w:szCs w:val="18"/>
                <w:color w:val="0000EE"/>
                <w:w w:val="98"/>
              </w:rPr>
            </w:pPr>
            <w:hyperlink w:anchor="page43">
              <w:r>
                <w:rPr>
                  <w:rFonts w:ascii="Arial" w:cs="Arial" w:eastAsia="Arial" w:hAnsi="Arial"/>
                  <w:sz w:val="18"/>
                  <w:szCs w:val="18"/>
                  <w:color w:val="0000EE"/>
                  <w:w w:val="98"/>
                </w:rPr>
                <w:t>CEO Pay Ratio</w:t>
              </w:r>
            </w:hyperlink>
          </w:p>
        </w:tc>
        <w:tc>
          <w:tcPr>
            <w:tcW w:w="1840" w:type="dxa"/>
            <w:vAlign w:val="bottom"/>
            <w:tcBorders>
              <w:top w:val="single" w:sz="8" w:color="0000EE"/>
            </w:tcBorders>
            <w:gridSpan w:val="21"/>
          </w:tcPr>
          <w:p>
            <w:pPr>
              <w:spacing w:after="0"/>
              <w:rPr>
                <w:sz w:val="15"/>
                <w:szCs w:val="15"/>
                <w:color w:val="auto"/>
              </w:rPr>
            </w:pPr>
          </w:p>
        </w:tc>
        <w:tc>
          <w:tcPr>
            <w:tcW w:w="7660" w:type="dxa"/>
            <w:vAlign w:val="bottom"/>
            <w:gridSpan w:val="19"/>
          </w:tcPr>
          <w:p>
            <w:pPr>
              <w:spacing w:after="0"/>
              <w:rPr>
                <w:sz w:val="15"/>
                <w:szCs w:val="15"/>
                <w:color w:val="auto"/>
              </w:rPr>
            </w:pPr>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37</w:t>
            </w:r>
          </w:p>
        </w:tc>
      </w:tr>
      <w:tr>
        <w:trPr>
          <w:trHeight w:val="183"/>
        </w:trPr>
        <w:tc>
          <w:tcPr>
            <w:tcW w:w="3160" w:type="dxa"/>
            <w:vAlign w:val="bottom"/>
            <w:tcBorders>
              <w:bottom w:val="single" w:sz="8" w:color="0000EE"/>
            </w:tcBorders>
            <w:gridSpan w:val="22"/>
          </w:tcPr>
          <w:p>
            <w:pPr>
              <w:spacing w:after="0" w:line="182" w:lineRule="exact"/>
              <w:rPr>
                <w:rFonts w:ascii="Arial" w:cs="Arial" w:eastAsia="Arial" w:hAnsi="Arial"/>
                <w:sz w:val="18"/>
                <w:szCs w:val="18"/>
                <w:color w:val="0000EE"/>
                <w:w w:val="99"/>
              </w:rPr>
            </w:pPr>
            <w:hyperlink w:anchor="page44">
              <w:r>
                <w:rPr>
                  <w:rFonts w:ascii="Arial" w:cs="Arial" w:eastAsia="Arial" w:hAnsi="Arial"/>
                  <w:sz w:val="18"/>
                  <w:szCs w:val="18"/>
                  <w:color w:val="0000EE"/>
                  <w:w w:val="99"/>
                </w:rPr>
                <w:t>Compensation Discussion and Analysis</w:t>
              </w:r>
            </w:hyperlink>
          </w:p>
        </w:tc>
        <w:tc>
          <w:tcPr>
            <w:tcW w:w="7740" w:type="dxa"/>
            <w:vAlign w:val="bottom"/>
            <w:gridSpan w:val="21"/>
          </w:tcPr>
          <w:p>
            <w:pPr>
              <w:spacing w:after="0"/>
              <w:rPr>
                <w:sz w:val="15"/>
                <w:szCs w:val="15"/>
                <w:color w:val="auto"/>
              </w:rPr>
            </w:pPr>
          </w:p>
        </w:tc>
        <w:tc>
          <w:tcPr>
            <w:tcW w:w="340" w:type="dxa"/>
            <w:vAlign w:val="bottom"/>
          </w:tcPr>
          <w:p>
            <w:pPr>
              <w:jc w:val="right"/>
              <w:spacing w:after="0" w:line="183" w:lineRule="exact"/>
              <w:rPr>
                <w:sz w:val="20"/>
                <w:szCs w:val="20"/>
                <w:color w:val="auto"/>
              </w:rPr>
            </w:pPr>
            <w:r>
              <w:rPr>
                <w:rFonts w:ascii="Arial" w:cs="Arial" w:eastAsia="Arial" w:hAnsi="Arial"/>
                <w:sz w:val="16"/>
                <w:szCs w:val="16"/>
                <w:color w:val="auto"/>
              </w:rPr>
              <w:t>38</w:t>
            </w:r>
          </w:p>
        </w:tc>
      </w:tr>
      <w:tr>
        <w:trPr>
          <w:trHeight w:val="183"/>
        </w:trPr>
        <w:tc>
          <w:tcPr>
            <w:tcW w:w="10900" w:type="dxa"/>
            <w:vAlign w:val="bottom"/>
            <w:gridSpan w:val="43"/>
          </w:tcPr>
          <w:p>
            <w:pPr>
              <w:spacing w:after="0" w:line="182" w:lineRule="exact"/>
              <w:rPr>
                <w:rFonts w:ascii="Arial" w:cs="Arial" w:eastAsia="Arial" w:hAnsi="Arial"/>
                <w:sz w:val="18"/>
                <w:szCs w:val="18"/>
                <w:color w:val="0000EE"/>
              </w:rPr>
            </w:pPr>
            <w:hyperlink w:anchor="page51">
              <w:r>
                <w:rPr>
                  <w:rFonts w:ascii="Arial" w:cs="Arial" w:eastAsia="Arial" w:hAnsi="Arial"/>
                  <w:sz w:val="18"/>
                  <w:szCs w:val="18"/>
                  <w:color w:val="0000EE"/>
                </w:rPr>
                <w:t>Proposal 2. Amendments to Certificate of Incorporation</w:t>
              </w:r>
            </w:hyperlink>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45</w:t>
            </w: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1060" w:type="dxa"/>
            <w:vAlign w:val="bottom"/>
            <w:gridSpan w:val="1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40" w:type="dxa"/>
            <w:vAlign w:val="bottom"/>
            <w:gridSpan w:val="7"/>
            <w:shd w:val="clear" w:color="auto" w:fill="0000EE"/>
          </w:tcPr>
          <w:p>
            <w:pPr>
              <w:spacing w:after="0" w:line="20" w:lineRule="exact"/>
              <w:rPr>
                <w:sz w:val="1"/>
                <w:szCs w:val="1"/>
                <w:color w:val="auto"/>
              </w:rPr>
            </w:pPr>
          </w:p>
        </w:tc>
        <w:tc>
          <w:tcPr>
            <w:tcW w:w="560" w:type="dxa"/>
            <w:vAlign w:val="bottom"/>
            <w:gridSpan w:val="5"/>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83"/>
        </w:trPr>
        <w:tc>
          <w:tcPr>
            <w:tcW w:w="5700" w:type="dxa"/>
            <w:vAlign w:val="bottom"/>
            <w:tcBorders>
              <w:bottom w:val="single" w:sz="8" w:color="0000EE"/>
            </w:tcBorders>
            <w:gridSpan w:val="41"/>
          </w:tcPr>
          <w:p>
            <w:pPr>
              <w:spacing w:after="0" w:line="182" w:lineRule="exact"/>
              <w:rPr>
                <w:rFonts w:ascii="Arial" w:cs="Arial" w:eastAsia="Arial" w:hAnsi="Arial"/>
                <w:sz w:val="18"/>
                <w:szCs w:val="18"/>
                <w:color w:val="0000EE"/>
                <w:w w:val="99"/>
              </w:rPr>
            </w:pPr>
            <w:hyperlink w:anchor="page54">
              <w:r>
                <w:rPr>
                  <w:rFonts w:ascii="Arial" w:cs="Arial" w:eastAsia="Arial" w:hAnsi="Arial"/>
                  <w:sz w:val="18"/>
                  <w:szCs w:val="18"/>
                  <w:color w:val="0000EE"/>
                  <w:w w:val="99"/>
                </w:rPr>
                <w:t>Proposal 3. Ratification of Appointment of Independent Auditor for 2021</w:t>
              </w:r>
            </w:hyperlink>
          </w:p>
        </w:tc>
        <w:tc>
          <w:tcPr>
            <w:tcW w:w="5200" w:type="dxa"/>
            <w:vAlign w:val="bottom"/>
            <w:gridSpan w:val="2"/>
          </w:tcPr>
          <w:p>
            <w:pPr>
              <w:spacing w:after="0"/>
              <w:rPr>
                <w:sz w:val="15"/>
                <w:szCs w:val="15"/>
                <w:color w:val="auto"/>
              </w:rPr>
            </w:pPr>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48</w:t>
            </w:r>
          </w:p>
        </w:tc>
      </w:tr>
      <w:tr>
        <w:trPr>
          <w:trHeight w:val="183"/>
        </w:trPr>
        <w:tc>
          <w:tcPr>
            <w:tcW w:w="10900" w:type="dxa"/>
            <w:vAlign w:val="bottom"/>
            <w:gridSpan w:val="43"/>
          </w:tcPr>
          <w:p>
            <w:pPr>
              <w:spacing w:after="0" w:line="182" w:lineRule="exact"/>
              <w:rPr>
                <w:rFonts w:ascii="Arial" w:cs="Arial" w:eastAsia="Arial" w:hAnsi="Arial"/>
                <w:sz w:val="18"/>
                <w:szCs w:val="18"/>
                <w:color w:val="0000EE"/>
              </w:rPr>
            </w:pPr>
            <w:hyperlink w:anchor="page55">
              <w:r>
                <w:rPr>
                  <w:rFonts w:ascii="Arial" w:cs="Arial" w:eastAsia="Arial" w:hAnsi="Arial"/>
                  <w:sz w:val="18"/>
                  <w:szCs w:val="18"/>
                  <w:color w:val="0000EE"/>
                </w:rPr>
                <w:t>Accounting Matters</w:t>
              </w:r>
            </w:hyperlink>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49</w:t>
            </w:r>
          </w:p>
        </w:tc>
      </w:tr>
      <w:tr>
        <w:trPr>
          <w:trHeight w:val="20"/>
        </w:trPr>
        <w:tc>
          <w:tcPr>
            <w:tcW w:w="1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1060" w:type="dxa"/>
            <w:vAlign w:val="bottom"/>
            <w:gridSpan w:val="1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40" w:type="dxa"/>
            <w:vAlign w:val="bottom"/>
            <w:gridSpan w:val="7"/>
          </w:tcPr>
          <w:p>
            <w:pPr>
              <w:spacing w:after="0" w:line="20" w:lineRule="exact"/>
              <w:rPr>
                <w:sz w:val="1"/>
                <w:szCs w:val="1"/>
                <w:color w:val="auto"/>
              </w:rPr>
            </w:pPr>
          </w:p>
        </w:tc>
        <w:tc>
          <w:tcPr>
            <w:tcW w:w="780" w:type="dxa"/>
            <w:vAlign w:val="bottom"/>
            <w:gridSpan w:val="7"/>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83"/>
        </w:trPr>
        <w:tc>
          <w:tcPr>
            <w:tcW w:w="160" w:type="dxa"/>
            <w:vAlign w:val="bottom"/>
          </w:tcPr>
          <w:p>
            <w:pPr>
              <w:spacing w:after="0"/>
              <w:rPr>
                <w:sz w:val="15"/>
                <w:szCs w:val="15"/>
                <w:color w:val="auto"/>
              </w:rPr>
            </w:pPr>
          </w:p>
        </w:tc>
        <w:tc>
          <w:tcPr>
            <w:tcW w:w="10740" w:type="dxa"/>
            <w:vAlign w:val="bottom"/>
            <w:gridSpan w:val="42"/>
          </w:tcPr>
          <w:p>
            <w:pPr>
              <w:ind w:left="20"/>
              <w:spacing w:after="0" w:line="182" w:lineRule="exact"/>
              <w:rPr>
                <w:rFonts w:ascii="Arial" w:cs="Arial" w:eastAsia="Arial" w:hAnsi="Arial"/>
                <w:sz w:val="18"/>
                <w:szCs w:val="18"/>
                <w:color w:val="0000EE"/>
              </w:rPr>
            </w:pPr>
            <w:hyperlink w:anchor="page55">
              <w:r>
                <w:rPr>
                  <w:rFonts w:ascii="Arial" w:cs="Arial" w:eastAsia="Arial" w:hAnsi="Arial"/>
                  <w:sz w:val="18"/>
                  <w:szCs w:val="18"/>
                  <w:color w:val="0000EE"/>
                </w:rPr>
                <w:t>Principal Independent Auditor Fees</w:t>
              </w:r>
            </w:hyperlink>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49</w:t>
            </w:r>
          </w:p>
        </w:tc>
      </w:tr>
      <w:tr>
        <w:trPr>
          <w:trHeight w:val="20"/>
        </w:trPr>
        <w:tc>
          <w:tcPr>
            <w:tcW w:w="16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500" w:type="dxa"/>
            <w:vAlign w:val="bottom"/>
            <w:gridSpan w:val="16"/>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40" w:type="dxa"/>
            <w:vAlign w:val="bottom"/>
            <w:gridSpan w:val="7"/>
          </w:tcPr>
          <w:p>
            <w:pPr>
              <w:spacing w:after="0" w:line="20" w:lineRule="exact"/>
              <w:rPr>
                <w:sz w:val="1"/>
                <w:szCs w:val="1"/>
                <w:color w:val="auto"/>
              </w:rPr>
            </w:pPr>
          </w:p>
        </w:tc>
        <w:tc>
          <w:tcPr>
            <w:tcW w:w="780" w:type="dxa"/>
            <w:vAlign w:val="bottom"/>
            <w:gridSpan w:val="7"/>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83"/>
        </w:trPr>
        <w:tc>
          <w:tcPr>
            <w:tcW w:w="160" w:type="dxa"/>
            <w:vAlign w:val="bottom"/>
          </w:tcPr>
          <w:p>
            <w:pPr>
              <w:spacing w:after="0"/>
              <w:rPr>
                <w:sz w:val="15"/>
                <w:szCs w:val="15"/>
                <w:color w:val="auto"/>
              </w:rPr>
            </w:pPr>
          </w:p>
        </w:tc>
        <w:tc>
          <w:tcPr>
            <w:tcW w:w="4440" w:type="dxa"/>
            <w:vAlign w:val="bottom"/>
            <w:tcBorders>
              <w:bottom w:val="single" w:sz="8" w:color="0000EE"/>
            </w:tcBorders>
            <w:gridSpan w:val="33"/>
          </w:tcPr>
          <w:p>
            <w:pPr>
              <w:ind w:left="20"/>
              <w:spacing w:after="0" w:line="182" w:lineRule="exact"/>
              <w:rPr>
                <w:rFonts w:ascii="Arial" w:cs="Arial" w:eastAsia="Arial" w:hAnsi="Arial"/>
                <w:sz w:val="18"/>
                <w:szCs w:val="18"/>
                <w:color w:val="0000EE"/>
                <w:w w:val="99"/>
              </w:rPr>
            </w:pPr>
            <w:hyperlink w:anchor="page55">
              <w:r>
                <w:rPr>
                  <w:rFonts w:ascii="Arial" w:cs="Arial" w:eastAsia="Arial" w:hAnsi="Arial"/>
                  <w:sz w:val="18"/>
                  <w:szCs w:val="18"/>
                  <w:color w:val="0000EE"/>
                  <w:w w:val="99"/>
                </w:rPr>
                <w:t>Audit Committee Pre-Approval Policies and Procedures</w:t>
              </w:r>
            </w:hyperlink>
          </w:p>
        </w:tc>
        <w:tc>
          <w:tcPr>
            <w:tcW w:w="6300" w:type="dxa"/>
            <w:vAlign w:val="bottom"/>
            <w:gridSpan w:val="9"/>
          </w:tcPr>
          <w:p>
            <w:pPr>
              <w:spacing w:after="0"/>
              <w:rPr>
                <w:sz w:val="15"/>
                <w:szCs w:val="15"/>
                <w:color w:val="auto"/>
              </w:rPr>
            </w:pPr>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49</w:t>
            </w:r>
          </w:p>
        </w:tc>
      </w:tr>
      <w:tr>
        <w:trPr>
          <w:trHeight w:val="183"/>
        </w:trPr>
        <w:tc>
          <w:tcPr>
            <w:tcW w:w="160" w:type="dxa"/>
            <w:vAlign w:val="bottom"/>
          </w:tcPr>
          <w:p>
            <w:pPr>
              <w:spacing w:after="0"/>
              <w:rPr>
                <w:sz w:val="15"/>
                <w:szCs w:val="15"/>
                <w:color w:val="auto"/>
              </w:rPr>
            </w:pPr>
          </w:p>
        </w:tc>
        <w:tc>
          <w:tcPr>
            <w:tcW w:w="2440" w:type="dxa"/>
            <w:vAlign w:val="bottom"/>
            <w:tcBorders>
              <w:bottom w:val="single" w:sz="8" w:color="0000EE"/>
            </w:tcBorders>
            <w:gridSpan w:val="17"/>
          </w:tcPr>
          <w:p>
            <w:pPr>
              <w:ind w:left="20"/>
              <w:spacing w:after="0" w:line="182" w:lineRule="exact"/>
              <w:rPr>
                <w:rFonts w:ascii="Arial" w:cs="Arial" w:eastAsia="Arial" w:hAnsi="Arial"/>
                <w:sz w:val="18"/>
                <w:szCs w:val="18"/>
                <w:color w:val="0000EE"/>
                <w:w w:val="99"/>
              </w:rPr>
            </w:pPr>
            <w:hyperlink w:anchor="page55">
              <w:r>
                <w:rPr>
                  <w:rFonts w:ascii="Arial" w:cs="Arial" w:eastAsia="Arial" w:hAnsi="Arial"/>
                  <w:sz w:val="18"/>
                  <w:szCs w:val="18"/>
                  <w:color w:val="0000EE"/>
                  <w:w w:val="99"/>
                </w:rPr>
                <w:t>Report of the Audit Committee</w:t>
              </w:r>
            </w:hyperlink>
          </w:p>
        </w:tc>
        <w:tc>
          <w:tcPr>
            <w:tcW w:w="8300" w:type="dxa"/>
            <w:vAlign w:val="bottom"/>
            <w:gridSpan w:val="25"/>
          </w:tcPr>
          <w:p>
            <w:pPr>
              <w:spacing w:after="0"/>
              <w:rPr>
                <w:sz w:val="15"/>
                <w:szCs w:val="15"/>
                <w:color w:val="auto"/>
              </w:rPr>
            </w:pPr>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49</w:t>
            </w:r>
          </w:p>
        </w:tc>
      </w:tr>
      <w:tr>
        <w:trPr>
          <w:trHeight w:val="183"/>
        </w:trPr>
        <w:tc>
          <w:tcPr>
            <w:tcW w:w="10900" w:type="dxa"/>
            <w:vAlign w:val="bottom"/>
            <w:gridSpan w:val="43"/>
          </w:tcPr>
          <w:p>
            <w:pPr>
              <w:spacing w:after="0" w:line="182" w:lineRule="exact"/>
              <w:rPr>
                <w:rFonts w:ascii="Arial" w:cs="Arial" w:eastAsia="Arial" w:hAnsi="Arial"/>
                <w:sz w:val="18"/>
                <w:szCs w:val="18"/>
                <w:color w:val="0000EE"/>
              </w:rPr>
            </w:pPr>
            <w:hyperlink w:anchor="page57">
              <w:r>
                <w:rPr>
                  <w:rFonts w:ascii="Arial" w:cs="Arial" w:eastAsia="Arial" w:hAnsi="Arial"/>
                  <w:sz w:val="18"/>
                  <w:szCs w:val="18"/>
                  <w:color w:val="0000EE"/>
                </w:rPr>
                <w:t>Proposal 4. Advisory Vote on 2020 Executive Compensation</w:t>
              </w:r>
            </w:hyperlink>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51</w:t>
            </w:r>
          </w:p>
        </w:tc>
      </w:tr>
      <w:tr>
        <w:trPr>
          <w:trHeight w:val="183"/>
        </w:trPr>
        <w:tc>
          <w:tcPr>
            <w:tcW w:w="3820" w:type="dxa"/>
            <w:vAlign w:val="bottom"/>
            <w:tcBorders>
              <w:top w:val="single" w:sz="8" w:color="0000EE"/>
              <w:bottom w:val="single" w:sz="8" w:color="0000EE"/>
            </w:tcBorders>
            <w:gridSpan w:val="27"/>
          </w:tcPr>
          <w:p>
            <w:pPr>
              <w:spacing w:after="0" w:line="182" w:lineRule="exact"/>
              <w:rPr>
                <w:rFonts w:ascii="Arial" w:cs="Arial" w:eastAsia="Arial" w:hAnsi="Arial"/>
                <w:sz w:val="18"/>
                <w:szCs w:val="18"/>
                <w:color w:val="0000EE"/>
                <w:w w:val="99"/>
              </w:rPr>
            </w:pPr>
            <w:hyperlink w:anchor="page58">
              <w:r>
                <w:rPr>
                  <w:rFonts w:ascii="Arial" w:cs="Arial" w:eastAsia="Arial" w:hAnsi="Arial"/>
                  <w:sz w:val="18"/>
                  <w:szCs w:val="18"/>
                  <w:color w:val="0000EE"/>
                  <w:w w:val="99"/>
                </w:rPr>
                <w:t>Stockholder Proposals for 2022 Annual Meeting</w:t>
              </w:r>
            </w:hyperlink>
          </w:p>
        </w:tc>
        <w:tc>
          <w:tcPr>
            <w:tcW w:w="1040" w:type="dxa"/>
            <w:vAlign w:val="bottom"/>
            <w:tcBorders>
              <w:top w:val="single" w:sz="8" w:color="0000EE"/>
            </w:tcBorders>
            <w:gridSpan w:val="9"/>
          </w:tcPr>
          <w:p>
            <w:pPr>
              <w:spacing w:after="0"/>
              <w:rPr>
                <w:sz w:val="15"/>
                <w:szCs w:val="15"/>
                <w:color w:val="auto"/>
              </w:rPr>
            </w:pPr>
          </w:p>
        </w:tc>
        <w:tc>
          <w:tcPr>
            <w:tcW w:w="6040" w:type="dxa"/>
            <w:vAlign w:val="bottom"/>
            <w:gridSpan w:val="7"/>
          </w:tcPr>
          <w:p>
            <w:pPr>
              <w:spacing w:after="0"/>
              <w:rPr>
                <w:sz w:val="15"/>
                <w:szCs w:val="15"/>
                <w:color w:val="auto"/>
              </w:rPr>
            </w:pPr>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52</w:t>
            </w:r>
          </w:p>
        </w:tc>
      </w:tr>
      <w:tr>
        <w:trPr>
          <w:trHeight w:val="183"/>
        </w:trPr>
        <w:tc>
          <w:tcPr>
            <w:tcW w:w="5020" w:type="dxa"/>
            <w:vAlign w:val="bottom"/>
            <w:tcBorders>
              <w:bottom w:val="single" w:sz="8" w:color="0000EE"/>
            </w:tcBorders>
            <w:gridSpan w:val="38"/>
          </w:tcPr>
          <w:p>
            <w:pPr>
              <w:spacing w:after="0" w:line="182" w:lineRule="exact"/>
              <w:rPr>
                <w:rFonts w:ascii="Arial" w:cs="Arial" w:eastAsia="Arial" w:hAnsi="Arial"/>
                <w:sz w:val="18"/>
                <w:szCs w:val="18"/>
                <w:color w:val="0000EE"/>
                <w:w w:val="99"/>
              </w:rPr>
            </w:pPr>
            <w:hyperlink w:anchor="page58">
              <w:r>
                <w:rPr>
                  <w:rFonts w:ascii="Arial" w:cs="Arial" w:eastAsia="Arial" w:hAnsi="Arial"/>
                  <w:sz w:val="18"/>
                  <w:szCs w:val="18"/>
                  <w:color w:val="0000EE"/>
                  <w:w w:val="99"/>
                </w:rPr>
                <w:t>Delivery of Documents to Security Holders Sharing an Address</w:t>
              </w:r>
            </w:hyperlink>
          </w:p>
        </w:tc>
        <w:tc>
          <w:tcPr>
            <w:tcW w:w="5880" w:type="dxa"/>
            <w:vAlign w:val="bottom"/>
            <w:gridSpan w:val="5"/>
          </w:tcPr>
          <w:p>
            <w:pPr>
              <w:spacing w:after="0"/>
              <w:rPr>
                <w:sz w:val="15"/>
                <w:szCs w:val="15"/>
                <w:color w:val="auto"/>
              </w:rPr>
            </w:pPr>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52</w:t>
            </w:r>
          </w:p>
        </w:tc>
      </w:tr>
      <w:tr>
        <w:trPr>
          <w:trHeight w:val="183"/>
        </w:trPr>
        <w:tc>
          <w:tcPr>
            <w:tcW w:w="10900" w:type="dxa"/>
            <w:vAlign w:val="bottom"/>
            <w:gridSpan w:val="43"/>
          </w:tcPr>
          <w:p>
            <w:pPr>
              <w:spacing w:after="0" w:line="182" w:lineRule="exact"/>
              <w:rPr>
                <w:rFonts w:ascii="Arial" w:cs="Arial" w:eastAsia="Arial" w:hAnsi="Arial"/>
                <w:sz w:val="18"/>
                <w:szCs w:val="18"/>
                <w:color w:val="0000EE"/>
              </w:rPr>
            </w:pPr>
            <w:hyperlink w:anchor="page58">
              <w:r>
                <w:rPr>
                  <w:rFonts w:ascii="Arial" w:cs="Arial" w:eastAsia="Arial" w:hAnsi="Arial"/>
                  <w:sz w:val="18"/>
                  <w:szCs w:val="18"/>
                  <w:color w:val="0000EE"/>
                </w:rPr>
                <w:t>Other Matters</w:t>
              </w:r>
            </w:hyperlink>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52</w:t>
            </w:r>
          </w:p>
        </w:tc>
      </w:tr>
      <w:tr>
        <w:trPr>
          <w:trHeight w:val="183"/>
        </w:trPr>
        <w:tc>
          <w:tcPr>
            <w:tcW w:w="1100" w:type="dxa"/>
            <w:vAlign w:val="bottom"/>
            <w:tcBorders>
              <w:top w:val="single" w:sz="8" w:color="0000EE"/>
            </w:tcBorders>
            <w:gridSpan w:val="2"/>
          </w:tcPr>
          <w:p>
            <w:pPr>
              <w:spacing w:after="0" w:line="182" w:lineRule="exact"/>
              <w:rPr>
                <w:rFonts w:ascii="Arial" w:cs="Arial" w:eastAsia="Arial" w:hAnsi="Arial"/>
                <w:sz w:val="18"/>
                <w:szCs w:val="18"/>
                <w:i w:val="1"/>
                <w:iCs w:val="1"/>
                <w:color w:val="0000EE"/>
              </w:rPr>
            </w:pPr>
            <w:hyperlink w:anchor="page59">
              <w:r>
                <w:rPr>
                  <w:rFonts w:ascii="Arial" w:cs="Arial" w:eastAsia="Arial" w:hAnsi="Arial"/>
                  <w:sz w:val="18"/>
                  <w:szCs w:val="18"/>
                  <w:i w:val="1"/>
                  <w:iCs w:val="1"/>
                  <w:color w:val="0000EE"/>
                </w:rPr>
                <w:t>Appendix A.</w:t>
              </w:r>
            </w:hyperlink>
          </w:p>
        </w:tc>
        <w:tc>
          <w:tcPr>
            <w:tcW w:w="9800" w:type="dxa"/>
            <w:vAlign w:val="bottom"/>
            <w:gridSpan w:val="41"/>
          </w:tcPr>
          <w:p>
            <w:pPr>
              <w:spacing w:after="0" w:line="182" w:lineRule="exact"/>
              <w:rPr>
                <w:rFonts w:ascii="Arial" w:cs="Arial" w:eastAsia="Arial" w:hAnsi="Arial"/>
                <w:sz w:val="18"/>
                <w:szCs w:val="18"/>
                <w:color w:val="0000EE"/>
              </w:rPr>
            </w:pPr>
            <w:hyperlink w:anchor="page59">
              <w:r>
                <w:rPr>
                  <w:rFonts w:ascii="Arial" w:cs="Arial" w:eastAsia="Arial" w:hAnsi="Arial"/>
                  <w:sz w:val="18"/>
                  <w:szCs w:val="18"/>
                  <w:color w:val="0000EE"/>
                </w:rPr>
                <w:t>Proposed Amendments to Restated Certificate of Incorporation</w:t>
              </w:r>
            </w:hyperlink>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A-1</w:t>
            </w:r>
          </w:p>
        </w:tc>
      </w:tr>
      <w:tr>
        <w:trPr>
          <w:trHeight w:val="183"/>
        </w:trPr>
        <w:tc>
          <w:tcPr>
            <w:tcW w:w="6040" w:type="dxa"/>
            <w:vAlign w:val="bottom"/>
            <w:tcBorders>
              <w:top w:val="single" w:sz="8" w:color="0000EE"/>
            </w:tcBorders>
            <w:gridSpan w:val="42"/>
          </w:tcPr>
          <w:p>
            <w:pPr>
              <w:spacing w:after="0" w:line="182" w:lineRule="exact"/>
              <w:rPr>
                <w:rFonts w:ascii="Arial" w:cs="Arial" w:eastAsia="Arial" w:hAnsi="Arial"/>
                <w:sz w:val="18"/>
                <w:szCs w:val="18"/>
                <w:i w:val="1"/>
                <w:iCs w:val="1"/>
                <w:color w:val="0000EE"/>
              </w:rPr>
            </w:pPr>
            <w:hyperlink w:anchor="page61">
              <w:r>
                <w:rPr>
                  <w:rFonts w:ascii="Arial" w:cs="Arial" w:eastAsia="Arial" w:hAnsi="Arial"/>
                  <w:sz w:val="18"/>
                  <w:szCs w:val="18"/>
                  <w:i w:val="1"/>
                  <w:iCs w:val="1"/>
                  <w:color w:val="0000EE"/>
                </w:rPr>
                <w:t xml:space="preserve">Appendix B. </w:t>
              </w:r>
              <w:r>
                <w:rPr>
                  <w:rFonts w:ascii="Arial" w:cs="Arial" w:eastAsia="Arial" w:hAnsi="Arial"/>
                  <w:sz w:val="18"/>
                  <w:szCs w:val="18"/>
                  <w:color w:val="0000EE"/>
                </w:rPr>
                <w:t>Rules of Conduct and Procedure for 2021 Annual Meeting</w:t>
              </w:r>
            </w:hyperlink>
          </w:p>
        </w:tc>
        <w:tc>
          <w:tcPr>
            <w:tcW w:w="4860" w:type="dxa"/>
            <w:vAlign w:val="bottom"/>
          </w:tcPr>
          <w:p>
            <w:pPr>
              <w:spacing w:after="0"/>
              <w:rPr>
                <w:sz w:val="15"/>
                <w:szCs w:val="15"/>
                <w:color w:val="auto"/>
              </w:rPr>
            </w:pPr>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B-1</w:t>
            </w:r>
          </w:p>
        </w:tc>
      </w:tr>
      <w:tr>
        <w:trPr>
          <w:trHeight w:val="433"/>
        </w:trPr>
        <w:tc>
          <w:tcPr>
            <w:tcW w:w="160" w:type="dxa"/>
            <w:vAlign w:val="bottom"/>
            <w:tcBorders>
              <w:top w:val="single" w:sz="8" w:color="0000EE"/>
              <w:bottom w:val="single" w:sz="8" w:color="auto"/>
            </w:tcBorders>
          </w:tcPr>
          <w:p>
            <w:pPr>
              <w:spacing w:after="0"/>
              <w:rPr>
                <w:sz w:val="24"/>
                <w:szCs w:val="24"/>
                <w:color w:val="auto"/>
              </w:rPr>
            </w:pPr>
          </w:p>
        </w:tc>
        <w:tc>
          <w:tcPr>
            <w:tcW w:w="940" w:type="dxa"/>
            <w:vAlign w:val="bottom"/>
            <w:tcBorders>
              <w:top w:val="single" w:sz="8" w:color="0000EE"/>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3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44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580" w:type="dxa"/>
            <w:vAlign w:val="bottom"/>
            <w:tcBorders>
              <w:top w:val="single" w:sz="8" w:color="0000EE"/>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09" w:right="339" w:bottom="1440" w:gutter="0" w:footer="0" w:header="0"/>
        </w:sectPr>
      </w:pPr>
    </w:p>
    <w:bookmarkStart w:id="6" w:name="page7"/>
    <w:bookmarkEnd w:id="6"/>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124460</wp:posOffset>
            </wp:positionV>
            <wp:extent cx="7187565" cy="60305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7565" cy="6030595"/>
                    </a:xfrm>
                    <a:prstGeom prst="rect">
                      <a:avLst/>
                    </a:prstGeom>
                    <a:noFill/>
                  </pic:spPr>
                </pic:pic>
              </a:graphicData>
            </a:graphic>
          </wp:anchor>
        </w:drawing>
      </w:r>
    </w:p>
    <w:p>
      <w:pPr>
        <w:spacing w:after="0" w:line="243"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003E64"/>
        </w:rPr>
        <w:t>2021 Proxy Summary</w:t>
      </w:r>
    </w:p>
    <w:p>
      <w:pPr>
        <w:spacing w:after="0" w:line="291" w:lineRule="exact"/>
        <w:rPr>
          <w:sz w:val="20"/>
          <w:szCs w:val="20"/>
          <w:color w:val="auto"/>
        </w:rPr>
      </w:pPr>
    </w:p>
    <w:p>
      <w:pPr>
        <w:jc w:val="both"/>
        <w:ind w:left="120"/>
        <w:spacing w:after="0" w:line="250" w:lineRule="auto"/>
        <w:rPr>
          <w:sz w:val="20"/>
          <w:szCs w:val="20"/>
          <w:color w:val="auto"/>
        </w:rPr>
      </w:pPr>
      <w:r>
        <w:rPr>
          <w:rFonts w:ascii="Arial" w:cs="Arial" w:eastAsia="Arial" w:hAnsi="Arial"/>
          <w:sz w:val="18"/>
          <w:szCs w:val="18"/>
          <w:i w:val="1"/>
          <w:iCs w:val="1"/>
          <w:color w:val="4D4D4F"/>
        </w:rPr>
        <w:t>This summary highlights information contained elsewhere in this Proxy Statement. This summary does not contain all of the information that you should consider, and you should read the entire Proxy Statement carefully before voting. References in this Proxy Statement to “ACM,” “ACM Research” and to “we,” “us,” “our” and similar terms refer to ACM Research, Inc.</w:t>
      </w:r>
    </w:p>
    <w:p>
      <w:pPr>
        <w:spacing w:after="0" w:line="16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79C0"/>
        </w:rPr>
        <w:t>Annual Meeting of Stockholders</w:t>
      </w:r>
    </w:p>
    <w:p>
      <w:pPr>
        <w:sectPr>
          <w:pgSz w:w="11900" w:h="16838" w:orient="portrait"/>
          <w:cols w:equalWidth="0" w:num="1">
            <w:col w:w="11240"/>
          </w:cols>
          <w:pgMar w:left="320" w:top="130" w:right="339" w:bottom="1440" w:gutter="0" w:footer="0" w:header="0"/>
        </w:sectPr>
      </w:pPr>
    </w:p>
    <w:p>
      <w:pPr>
        <w:spacing w:after="0" w:line="238" w:lineRule="exact"/>
        <w:rPr>
          <w:sz w:val="20"/>
          <w:szCs w:val="20"/>
          <w:color w:val="auto"/>
        </w:rPr>
      </w:pPr>
    </w:p>
    <w:p>
      <w:pPr>
        <w:ind w:left="120"/>
        <w:spacing w:after="0"/>
        <w:rPr>
          <w:sz w:val="20"/>
          <w:szCs w:val="20"/>
          <w:color w:val="auto"/>
        </w:rPr>
      </w:pPr>
      <w:r>
        <w:rPr>
          <w:rFonts w:ascii="Arial" w:cs="Arial" w:eastAsia="Arial" w:hAnsi="Arial"/>
          <w:sz w:val="17"/>
          <w:szCs w:val="17"/>
          <w:color w:val="4D4D4F"/>
        </w:rPr>
        <w:t>Time and Date</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4D4D4F"/>
        </w:rPr>
        <w:t>7 a.m., Pacific time, on June 2, 2021</w:t>
      </w:r>
    </w:p>
    <w:p>
      <w:pPr>
        <w:spacing w:after="0" w:line="84" w:lineRule="exact"/>
        <w:rPr>
          <w:sz w:val="20"/>
          <w:szCs w:val="20"/>
          <w:color w:val="auto"/>
        </w:rPr>
      </w:pPr>
    </w:p>
    <w:p>
      <w:pPr>
        <w:sectPr>
          <w:pgSz w:w="11900" w:h="16838" w:orient="portrait"/>
          <w:cols w:equalWidth="0" w:num="2">
            <w:col w:w="2180" w:space="720"/>
            <w:col w:w="8340"/>
          </w:cols>
          <w:pgMar w:left="320" w:top="130" w:right="339" w:bottom="1440" w:gutter="0" w:footer="0" w:header="0"/>
          <w:type w:val="continuous"/>
        </w:sectPr>
      </w:pPr>
    </w:p>
    <w:p>
      <w:pPr>
        <w:spacing w:after="0" w:line="18" w:lineRule="exact"/>
        <w:rPr>
          <w:sz w:val="20"/>
          <w:szCs w:val="20"/>
          <w:color w:val="auto"/>
        </w:rPr>
      </w:pPr>
    </w:p>
    <w:p>
      <w:pPr>
        <w:ind w:left="120"/>
        <w:spacing w:after="0"/>
        <w:rPr>
          <w:sz w:val="20"/>
          <w:szCs w:val="20"/>
          <w:color w:val="auto"/>
        </w:rPr>
      </w:pPr>
      <w:r>
        <w:rPr>
          <w:rFonts w:ascii="Arial" w:cs="Arial" w:eastAsia="Arial" w:hAnsi="Arial"/>
          <w:sz w:val="17"/>
          <w:szCs w:val="17"/>
          <w:color w:val="4D4D4F"/>
        </w:rPr>
        <w:t>Meeting Webcast 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i w:val="1"/>
          <w:iCs w:val="1"/>
          <w:color w:val="4D4D4F"/>
        </w:rPr>
        <w:t>virtualshareholdermeeting.com/ACMR2021</w:t>
      </w:r>
    </w:p>
    <w:p>
      <w:pPr>
        <w:spacing w:after="0" w:line="120" w:lineRule="exact"/>
        <w:rPr>
          <w:sz w:val="20"/>
          <w:szCs w:val="20"/>
          <w:color w:val="auto"/>
        </w:rPr>
      </w:pPr>
    </w:p>
    <w:p>
      <w:pPr>
        <w:sectPr>
          <w:pgSz w:w="11900" w:h="16838" w:orient="portrait"/>
          <w:cols w:equalWidth="0" w:num="2">
            <w:col w:w="2220" w:space="680"/>
            <w:col w:w="8340"/>
          </w:cols>
          <w:pgMar w:left="320" w:top="130" w:right="339" w:bottom="1440" w:gutter="0" w:footer="0" w:header="0"/>
          <w:type w:val="continuous"/>
        </w:sectPr>
      </w:pPr>
    </w:p>
    <w:p>
      <w:pPr>
        <w:ind w:left="120"/>
        <w:spacing w:after="0"/>
        <w:rPr>
          <w:sz w:val="20"/>
          <w:szCs w:val="20"/>
          <w:color w:val="auto"/>
        </w:rPr>
      </w:pPr>
      <w:r>
        <w:rPr>
          <w:rFonts w:ascii="Arial" w:cs="Arial" w:eastAsia="Arial" w:hAnsi="Arial"/>
          <w:sz w:val="17"/>
          <w:szCs w:val="17"/>
          <w:color w:val="4D4D4F"/>
        </w:rPr>
        <w:t>Record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4D4D4F"/>
        </w:rPr>
        <w:t>5 p.m., Eastern time, on April 8, 2021</w:t>
      </w:r>
    </w:p>
    <w:p>
      <w:pPr>
        <w:spacing w:after="0" w:line="102" w:lineRule="exact"/>
        <w:rPr>
          <w:sz w:val="20"/>
          <w:szCs w:val="20"/>
          <w:color w:val="auto"/>
        </w:rPr>
      </w:pPr>
    </w:p>
    <w:p>
      <w:pPr>
        <w:sectPr>
          <w:pgSz w:w="11900" w:h="16838" w:orient="portrait"/>
          <w:cols w:equalWidth="0" w:num="2">
            <w:col w:w="2180" w:space="720"/>
            <w:col w:w="8340"/>
          </w:cols>
          <w:pgMar w:left="320" w:top="130" w:right="339" w:bottom="1440" w:gutter="0" w:footer="0" w:header="0"/>
          <w:type w:val="continuous"/>
        </w:sectPr>
      </w:pPr>
    </w:p>
    <w:p>
      <w:pPr>
        <w:ind w:left="120"/>
        <w:spacing w:after="0"/>
        <w:rPr>
          <w:sz w:val="20"/>
          <w:szCs w:val="20"/>
          <w:color w:val="auto"/>
        </w:rPr>
      </w:pPr>
      <w:r>
        <w:rPr>
          <w:rFonts w:ascii="Arial" w:cs="Arial" w:eastAsia="Arial" w:hAnsi="Arial"/>
          <w:sz w:val="17"/>
          <w:szCs w:val="17"/>
          <w:color w:val="4D4D4F"/>
        </w:rPr>
        <w:t>Voting</w:t>
      </w:r>
    </w:p>
    <w:p>
      <w:pPr>
        <w:spacing w:after="0" w:line="20" w:lineRule="exact"/>
        <w:rPr>
          <w:sz w:val="20"/>
          <w:szCs w:val="20"/>
          <w:color w:val="auto"/>
        </w:rPr>
      </w:pPr>
      <w:r>
        <w:rPr>
          <w:sz w:val="20"/>
          <w:szCs w:val="20"/>
          <w:color w:val="auto"/>
        </w:rPr>
        <w:br w:type="column"/>
      </w:r>
    </w:p>
    <w:p>
      <w:pPr>
        <w:jc w:val="both"/>
        <w:ind w:right="20"/>
        <w:spacing w:after="0"/>
        <w:rPr>
          <w:sz w:val="20"/>
          <w:szCs w:val="20"/>
          <w:color w:val="auto"/>
        </w:rPr>
      </w:pPr>
      <w:r>
        <w:rPr>
          <w:rFonts w:ascii="Arial" w:cs="Arial" w:eastAsia="Arial" w:hAnsi="Arial"/>
          <w:sz w:val="18"/>
          <w:szCs w:val="18"/>
          <w:color w:val="4D4D4F"/>
        </w:rPr>
        <w:t>Stockholders will be entitled to one vote for each outstanding share of Class A common stock they hold of record as of the record date and twenty votes for each outstanding share of Class B common stock they hold of record as of the record date.</w:t>
      </w:r>
    </w:p>
    <w:p>
      <w:pPr>
        <w:spacing w:after="0" w:line="81" w:lineRule="exact"/>
        <w:rPr>
          <w:sz w:val="20"/>
          <w:szCs w:val="20"/>
          <w:color w:val="auto"/>
        </w:rPr>
      </w:pPr>
    </w:p>
    <w:p>
      <w:pPr>
        <w:sectPr>
          <w:pgSz w:w="11900" w:h="16838" w:orient="portrait"/>
          <w:cols w:equalWidth="0" w:num="2">
            <w:col w:w="2180" w:space="720"/>
            <w:col w:w="8340"/>
          </w:cols>
          <w:pgMar w:left="320" w:top="130" w:right="339" w:bottom="1440" w:gutter="0" w:footer="0" w:header="0"/>
          <w:type w:val="continuous"/>
        </w:sectPr>
      </w:pPr>
    </w:p>
    <w:p>
      <w:pPr>
        <w:ind w:left="120"/>
        <w:spacing w:after="0"/>
        <w:rPr>
          <w:sz w:val="20"/>
          <w:szCs w:val="20"/>
          <w:color w:val="auto"/>
        </w:rPr>
      </w:pPr>
      <w:r>
        <w:rPr>
          <w:rFonts w:ascii="Arial" w:cs="Arial" w:eastAsia="Arial" w:hAnsi="Arial"/>
          <w:sz w:val="17"/>
          <w:szCs w:val="17"/>
          <w:color w:val="4D4D4F"/>
        </w:rPr>
        <w:t>Total Votes Per Proposal</w:t>
      </w:r>
    </w:p>
    <w:p>
      <w:pPr>
        <w:spacing w:after="0" w:line="20" w:lineRule="exact"/>
        <w:rPr>
          <w:sz w:val="20"/>
          <w:szCs w:val="20"/>
          <w:color w:val="auto"/>
        </w:rPr>
      </w:pPr>
      <w:r>
        <w:rPr>
          <w:sz w:val="20"/>
          <w:szCs w:val="20"/>
          <w:color w:val="auto"/>
        </w:rPr>
        <w:br w:type="column"/>
      </w:r>
    </w:p>
    <w:p>
      <w:pPr>
        <w:ind w:right="20"/>
        <w:spacing w:after="0" w:line="246" w:lineRule="auto"/>
        <w:rPr>
          <w:sz w:val="20"/>
          <w:szCs w:val="20"/>
          <w:color w:val="auto"/>
        </w:rPr>
      </w:pPr>
      <w:r>
        <w:rPr>
          <w:rFonts w:ascii="Arial" w:cs="Arial" w:eastAsia="Arial" w:hAnsi="Arial"/>
          <w:sz w:val="18"/>
          <w:szCs w:val="18"/>
          <w:color w:val="4D4D4F"/>
        </w:rPr>
        <w:t>52,649,002 votes, based on 17,263,562 shares of Class A common stock and 1,769,272 shares of Class B common stock outstanding as of the record date.</w:t>
      </w:r>
    </w:p>
    <w:p>
      <w:pPr>
        <w:spacing w:after="0" w:line="165" w:lineRule="exact"/>
        <w:rPr>
          <w:sz w:val="20"/>
          <w:szCs w:val="20"/>
          <w:color w:val="auto"/>
        </w:rPr>
      </w:pPr>
    </w:p>
    <w:p>
      <w:pPr>
        <w:sectPr>
          <w:pgSz w:w="11900" w:h="16838" w:orient="portrait"/>
          <w:cols w:equalWidth="0" w:num="2">
            <w:col w:w="2180" w:space="720"/>
            <w:col w:w="8340"/>
          </w:cols>
          <w:pgMar w:left="320" w:top="130" w:right="339" w:bottom="1440" w:gutter="0" w:footer="0" w:header="0"/>
          <w:type w:val="continuous"/>
        </w:sectPr>
      </w:pPr>
    </w:p>
    <w:p>
      <w:pPr>
        <w:ind w:left="120"/>
        <w:spacing w:after="0"/>
        <w:rPr>
          <w:sz w:val="20"/>
          <w:szCs w:val="20"/>
          <w:color w:val="auto"/>
        </w:rPr>
      </w:pPr>
      <w:r>
        <w:rPr>
          <w:rFonts w:ascii="Arial" w:cs="Arial" w:eastAsia="Arial" w:hAnsi="Arial"/>
          <w:sz w:val="22"/>
          <w:szCs w:val="22"/>
          <w:b w:val="1"/>
          <w:bCs w:val="1"/>
          <w:color w:val="0079C0"/>
        </w:rPr>
        <w:t>Annual Meeting Agenda</w:t>
      </w:r>
    </w:p>
    <w:p>
      <w:pPr>
        <w:spacing w:after="0" w:line="219"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7080" w:type="dxa"/>
            <w:vAlign w:val="bottom"/>
            <w:tcBorders>
              <w:top w:val="single" w:sz="8" w:color="auto"/>
            </w:tcBorders>
            <w:shd w:val="clear" w:color="auto" w:fill="003E64"/>
          </w:tcPr>
          <w:p>
            <w:pPr>
              <w:spacing w:after="0"/>
              <w:rPr>
                <w:sz w:val="17"/>
                <w:szCs w:val="17"/>
                <w:color w:val="auto"/>
              </w:rPr>
            </w:pPr>
          </w:p>
        </w:tc>
        <w:tc>
          <w:tcPr>
            <w:tcW w:w="4020" w:type="dxa"/>
            <w:vAlign w:val="bottom"/>
            <w:tcBorders>
              <w:top w:val="single" w:sz="8" w:color="auto"/>
            </w:tcBorders>
            <w:shd w:val="clear" w:color="auto" w:fill="003E64"/>
          </w:tcPr>
          <w:p>
            <w:pPr>
              <w:ind w:left="2940"/>
              <w:spacing w:after="0"/>
              <w:rPr>
                <w:sz w:val="20"/>
                <w:szCs w:val="20"/>
                <w:color w:val="auto"/>
              </w:rPr>
            </w:pPr>
            <w:r>
              <w:rPr>
                <w:rFonts w:ascii="Arial" w:cs="Arial" w:eastAsia="Arial" w:hAnsi="Arial"/>
                <w:sz w:val="18"/>
                <w:szCs w:val="18"/>
                <w:b w:val="1"/>
                <w:bCs w:val="1"/>
                <w:color w:val="FFFFFF"/>
              </w:rPr>
              <w:t>Board</w:t>
            </w:r>
          </w:p>
        </w:tc>
        <w:tc>
          <w:tcPr>
            <w:tcW w:w="0" w:type="dxa"/>
            <w:vAlign w:val="bottom"/>
          </w:tcPr>
          <w:p>
            <w:pPr>
              <w:spacing w:after="0"/>
              <w:rPr>
                <w:sz w:val="1"/>
                <w:szCs w:val="1"/>
                <w:color w:val="auto"/>
              </w:rPr>
            </w:pPr>
          </w:p>
        </w:tc>
      </w:tr>
      <w:tr>
        <w:trPr>
          <w:trHeight w:val="232"/>
        </w:trPr>
        <w:tc>
          <w:tcPr>
            <w:tcW w:w="7080" w:type="dxa"/>
            <w:vAlign w:val="bottom"/>
            <w:tcBorders>
              <w:bottom w:val="single" w:sz="8" w:color="auto"/>
            </w:tcBorders>
            <w:shd w:val="clear" w:color="auto" w:fill="003E64"/>
          </w:tcPr>
          <w:p>
            <w:pPr>
              <w:spacing w:after="0"/>
              <w:rPr>
                <w:sz w:val="20"/>
                <w:szCs w:val="20"/>
                <w:color w:val="auto"/>
              </w:rPr>
            </w:pPr>
            <w:r>
              <w:rPr>
                <w:rFonts w:ascii="Arial" w:cs="Arial" w:eastAsia="Arial" w:hAnsi="Arial"/>
                <w:sz w:val="18"/>
                <w:szCs w:val="18"/>
                <w:b w:val="1"/>
                <w:bCs w:val="1"/>
                <w:color w:val="FFFFFF"/>
              </w:rPr>
              <w:t>Proposal</w:t>
            </w:r>
          </w:p>
        </w:tc>
        <w:tc>
          <w:tcPr>
            <w:tcW w:w="4020" w:type="dxa"/>
            <w:vAlign w:val="bottom"/>
            <w:tcBorders>
              <w:bottom w:val="single" w:sz="8" w:color="auto"/>
            </w:tcBorders>
            <w:shd w:val="clear" w:color="auto" w:fill="003E64"/>
          </w:tcPr>
          <w:p>
            <w:pPr>
              <w:ind w:left="2440"/>
              <w:spacing w:after="0"/>
              <w:rPr>
                <w:sz w:val="20"/>
                <w:szCs w:val="20"/>
                <w:color w:val="auto"/>
              </w:rPr>
            </w:pPr>
            <w:r>
              <w:rPr>
                <w:rFonts w:ascii="Arial" w:cs="Arial" w:eastAsia="Arial" w:hAnsi="Arial"/>
                <w:sz w:val="18"/>
                <w:szCs w:val="18"/>
                <w:b w:val="1"/>
                <w:bCs w:val="1"/>
                <w:color w:val="FFFFFF"/>
              </w:rPr>
              <w:t>Recommendation</w:t>
            </w:r>
          </w:p>
        </w:tc>
        <w:tc>
          <w:tcPr>
            <w:tcW w:w="0" w:type="dxa"/>
            <w:vAlign w:val="bottom"/>
          </w:tcPr>
          <w:p>
            <w:pPr>
              <w:spacing w:after="0"/>
              <w:rPr>
                <w:sz w:val="1"/>
                <w:szCs w:val="1"/>
                <w:color w:val="auto"/>
              </w:rPr>
            </w:pPr>
          </w:p>
        </w:tc>
      </w:tr>
      <w:tr>
        <w:trPr>
          <w:trHeight w:val="324"/>
        </w:trPr>
        <w:tc>
          <w:tcPr>
            <w:tcW w:w="7080" w:type="dxa"/>
            <w:vAlign w:val="bottom"/>
          </w:tcPr>
          <w:p>
            <w:pPr>
              <w:spacing w:after="0"/>
              <w:rPr>
                <w:sz w:val="20"/>
                <w:szCs w:val="20"/>
                <w:color w:val="auto"/>
              </w:rPr>
            </w:pPr>
            <w:r>
              <w:rPr>
                <w:rFonts w:ascii="Arial" w:cs="Arial" w:eastAsia="Arial" w:hAnsi="Arial"/>
                <w:sz w:val="18"/>
                <w:szCs w:val="18"/>
                <w:color w:val="4D4D4F"/>
              </w:rPr>
              <w:t>Election of directors</w:t>
            </w:r>
          </w:p>
        </w:tc>
        <w:tc>
          <w:tcPr>
            <w:tcW w:w="4020" w:type="dxa"/>
            <w:vAlign w:val="bottom"/>
          </w:tcPr>
          <w:p>
            <w:pPr>
              <w:ind w:left="2360"/>
              <w:spacing w:after="0"/>
              <w:rPr>
                <w:sz w:val="20"/>
                <w:szCs w:val="20"/>
                <w:color w:val="auto"/>
              </w:rPr>
            </w:pPr>
            <w:r>
              <w:rPr>
                <w:rFonts w:ascii="Arial" w:cs="Arial" w:eastAsia="Arial" w:hAnsi="Arial"/>
                <w:sz w:val="18"/>
                <w:szCs w:val="18"/>
                <w:b w:val="1"/>
                <w:bCs w:val="1"/>
                <w:color w:val="4D4D4F"/>
              </w:rPr>
              <w:t xml:space="preserve">FOR </w:t>
            </w:r>
            <w:r>
              <w:rPr>
                <w:rFonts w:ascii="Arial" w:cs="Arial" w:eastAsia="Arial" w:hAnsi="Arial"/>
                <w:sz w:val="18"/>
                <w:szCs w:val="18"/>
                <w:color w:val="4D4D4F"/>
              </w:rPr>
              <w:t>each nominee</w:t>
            </w:r>
          </w:p>
        </w:tc>
        <w:tc>
          <w:tcPr>
            <w:tcW w:w="0" w:type="dxa"/>
            <w:vAlign w:val="bottom"/>
          </w:tcPr>
          <w:p>
            <w:pPr>
              <w:spacing w:after="0"/>
              <w:rPr>
                <w:sz w:val="1"/>
                <w:szCs w:val="1"/>
                <w:color w:val="auto"/>
              </w:rPr>
            </w:pPr>
          </w:p>
        </w:tc>
      </w:tr>
      <w:tr>
        <w:trPr>
          <w:trHeight w:val="95"/>
        </w:trPr>
        <w:tc>
          <w:tcPr>
            <w:tcW w:w="7080" w:type="dxa"/>
            <w:vAlign w:val="bottom"/>
          </w:tcPr>
          <w:p>
            <w:pPr>
              <w:spacing w:after="0"/>
              <w:rPr>
                <w:sz w:val="8"/>
                <w:szCs w:val="8"/>
                <w:color w:val="auto"/>
              </w:rPr>
            </w:pPr>
          </w:p>
        </w:tc>
        <w:tc>
          <w:tcPr>
            <w:tcW w:w="4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0"/>
        </w:trPr>
        <w:tc>
          <w:tcPr>
            <w:tcW w:w="7080" w:type="dxa"/>
            <w:vAlign w:val="bottom"/>
            <w:shd w:val="clear" w:color="auto" w:fill="B7E4FF"/>
          </w:tcPr>
          <w:p>
            <w:pPr>
              <w:spacing w:after="0"/>
              <w:rPr>
                <w:sz w:val="20"/>
                <w:szCs w:val="20"/>
                <w:color w:val="auto"/>
              </w:rPr>
            </w:pPr>
            <w:r>
              <w:rPr>
                <w:rFonts w:ascii="Arial" w:cs="Arial" w:eastAsia="Arial" w:hAnsi="Arial"/>
                <w:sz w:val="18"/>
                <w:szCs w:val="18"/>
                <w:color w:val="4D4D4F"/>
              </w:rPr>
              <w:t>Amendments to certificate of incorporation principally</w:t>
            </w:r>
          </w:p>
        </w:tc>
        <w:tc>
          <w:tcPr>
            <w:tcW w:w="4020" w:type="dxa"/>
            <w:vAlign w:val="bottom"/>
            <w:vMerge w:val="restart"/>
            <w:shd w:val="clear" w:color="auto" w:fill="B7E4FF"/>
          </w:tcPr>
          <w:p>
            <w:pPr>
              <w:ind w:left="2360"/>
              <w:spacing w:after="0"/>
              <w:rPr>
                <w:sz w:val="20"/>
                <w:szCs w:val="20"/>
                <w:color w:val="auto"/>
              </w:rPr>
            </w:pPr>
            <w:r>
              <w:rPr>
                <w:rFonts w:ascii="Arial" w:cs="Arial" w:eastAsia="Arial" w:hAnsi="Arial"/>
                <w:sz w:val="18"/>
                <w:szCs w:val="18"/>
                <w:b w:val="1"/>
                <w:bCs w:val="1"/>
                <w:color w:val="4D4D4F"/>
              </w:rPr>
              <w:t>FOR</w:t>
            </w:r>
          </w:p>
        </w:tc>
        <w:tc>
          <w:tcPr>
            <w:tcW w:w="0" w:type="dxa"/>
            <w:vAlign w:val="bottom"/>
          </w:tcPr>
          <w:p>
            <w:pPr>
              <w:spacing w:after="0"/>
              <w:rPr>
                <w:sz w:val="1"/>
                <w:szCs w:val="1"/>
                <w:color w:val="auto"/>
              </w:rPr>
            </w:pPr>
          </w:p>
        </w:tc>
      </w:tr>
      <w:tr>
        <w:trPr>
          <w:trHeight w:val="217"/>
        </w:trPr>
        <w:tc>
          <w:tcPr>
            <w:tcW w:w="7080" w:type="dxa"/>
            <w:vAlign w:val="bottom"/>
            <w:shd w:val="clear" w:color="auto" w:fill="B7E4FF"/>
          </w:tcPr>
          <w:p>
            <w:pPr>
              <w:spacing w:after="0"/>
              <w:rPr>
                <w:sz w:val="20"/>
                <w:szCs w:val="20"/>
                <w:color w:val="auto"/>
              </w:rPr>
            </w:pPr>
            <w:r>
              <w:rPr>
                <w:rFonts w:ascii="Arial" w:cs="Arial" w:eastAsia="Arial" w:hAnsi="Arial"/>
                <w:sz w:val="18"/>
                <w:szCs w:val="18"/>
                <w:color w:val="4D4D4F"/>
              </w:rPr>
              <w:t>to increase numbers of authorized shares of common stock</w:t>
            </w:r>
          </w:p>
        </w:tc>
        <w:tc>
          <w:tcPr>
            <w:tcW w:w="4020" w:type="dxa"/>
            <w:vAlign w:val="bottom"/>
            <w:vMerge w:val="continue"/>
            <w:shd w:val="clear" w:color="auto" w:fill="B7E4FF"/>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7080" w:type="dxa"/>
            <w:vAlign w:val="bottom"/>
            <w:shd w:val="clear" w:color="auto" w:fill="B7E4FF"/>
          </w:tcPr>
          <w:p>
            <w:pPr>
              <w:spacing w:after="0"/>
              <w:rPr>
                <w:sz w:val="8"/>
                <w:szCs w:val="8"/>
                <w:color w:val="auto"/>
              </w:rPr>
            </w:pPr>
          </w:p>
        </w:tc>
        <w:tc>
          <w:tcPr>
            <w:tcW w:w="4020" w:type="dxa"/>
            <w:vAlign w:val="bottom"/>
            <w:shd w:val="clear" w:color="auto" w:fill="B7E4FF"/>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7080" w:type="dxa"/>
            <w:vAlign w:val="bottom"/>
          </w:tcPr>
          <w:p>
            <w:pPr>
              <w:spacing w:after="0"/>
              <w:rPr>
                <w:sz w:val="20"/>
                <w:szCs w:val="20"/>
                <w:color w:val="auto"/>
              </w:rPr>
            </w:pPr>
            <w:r>
              <w:rPr>
                <w:rFonts w:ascii="Arial" w:cs="Arial" w:eastAsia="Arial" w:hAnsi="Arial"/>
                <w:sz w:val="18"/>
                <w:szCs w:val="18"/>
                <w:color w:val="4D4D4F"/>
              </w:rPr>
              <w:t>Ratification of appointment of independent auditor for 2021</w:t>
            </w:r>
          </w:p>
        </w:tc>
        <w:tc>
          <w:tcPr>
            <w:tcW w:w="4020" w:type="dxa"/>
            <w:vAlign w:val="bottom"/>
          </w:tcPr>
          <w:p>
            <w:pPr>
              <w:ind w:left="2360"/>
              <w:spacing w:after="0"/>
              <w:rPr>
                <w:sz w:val="20"/>
                <w:szCs w:val="20"/>
                <w:color w:val="auto"/>
              </w:rPr>
            </w:pPr>
            <w:r>
              <w:rPr>
                <w:rFonts w:ascii="Arial" w:cs="Arial" w:eastAsia="Arial" w:hAnsi="Arial"/>
                <w:sz w:val="18"/>
                <w:szCs w:val="18"/>
                <w:b w:val="1"/>
                <w:bCs w:val="1"/>
                <w:color w:val="4D4D4F"/>
              </w:rPr>
              <w:t>FOR</w:t>
            </w:r>
          </w:p>
        </w:tc>
        <w:tc>
          <w:tcPr>
            <w:tcW w:w="0" w:type="dxa"/>
            <w:vAlign w:val="bottom"/>
          </w:tcPr>
          <w:p>
            <w:pPr>
              <w:spacing w:after="0"/>
              <w:rPr>
                <w:sz w:val="1"/>
                <w:szCs w:val="1"/>
                <w:color w:val="auto"/>
              </w:rPr>
            </w:pPr>
          </w:p>
        </w:tc>
      </w:tr>
      <w:tr>
        <w:trPr>
          <w:trHeight w:val="95"/>
        </w:trPr>
        <w:tc>
          <w:tcPr>
            <w:tcW w:w="7080" w:type="dxa"/>
            <w:vAlign w:val="bottom"/>
          </w:tcPr>
          <w:p>
            <w:pPr>
              <w:spacing w:after="0"/>
              <w:rPr>
                <w:sz w:val="8"/>
                <w:szCs w:val="8"/>
                <w:color w:val="auto"/>
              </w:rPr>
            </w:pPr>
          </w:p>
        </w:tc>
        <w:tc>
          <w:tcPr>
            <w:tcW w:w="4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7080" w:type="dxa"/>
            <w:vAlign w:val="bottom"/>
            <w:shd w:val="clear" w:color="auto" w:fill="B7E4FF"/>
          </w:tcPr>
          <w:p>
            <w:pPr>
              <w:spacing w:after="0"/>
              <w:rPr>
                <w:sz w:val="20"/>
                <w:szCs w:val="20"/>
                <w:color w:val="auto"/>
              </w:rPr>
            </w:pPr>
            <w:r>
              <w:rPr>
                <w:rFonts w:ascii="Arial" w:cs="Arial" w:eastAsia="Arial" w:hAnsi="Arial"/>
                <w:sz w:val="18"/>
                <w:szCs w:val="18"/>
                <w:color w:val="4D4D4F"/>
              </w:rPr>
              <w:t>Advisory vote on 2020 executive compensation</w:t>
            </w:r>
          </w:p>
        </w:tc>
        <w:tc>
          <w:tcPr>
            <w:tcW w:w="4020" w:type="dxa"/>
            <w:vAlign w:val="bottom"/>
            <w:shd w:val="clear" w:color="auto" w:fill="B7E4FF"/>
          </w:tcPr>
          <w:p>
            <w:pPr>
              <w:ind w:left="2360"/>
              <w:spacing w:after="0"/>
              <w:rPr>
                <w:sz w:val="20"/>
                <w:szCs w:val="20"/>
                <w:color w:val="auto"/>
              </w:rPr>
            </w:pPr>
            <w:r>
              <w:rPr>
                <w:rFonts w:ascii="Arial" w:cs="Arial" w:eastAsia="Arial" w:hAnsi="Arial"/>
                <w:sz w:val="18"/>
                <w:szCs w:val="18"/>
                <w:b w:val="1"/>
                <w:bCs w:val="1"/>
                <w:color w:val="4D4D4F"/>
              </w:rPr>
              <w:t>FOR</w:t>
            </w:r>
          </w:p>
        </w:tc>
        <w:tc>
          <w:tcPr>
            <w:tcW w:w="0" w:type="dxa"/>
            <w:vAlign w:val="bottom"/>
          </w:tcPr>
          <w:p>
            <w:pPr>
              <w:spacing w:after="0"/>
              <w:rPr>
                <w:sz w:val="1"/>
                <w:szCs w:val="1"/>
                <w:color w:val="auto"/>
              </w:rPr>
            </w:pPr>
          </w:p>
        </w:tc>
      </w:tr>
      <w:tr>
        <w:trPr>
          <w:trHeight w:val="94"/>
        </w:trPr>
        <w:tc>
          <w:tcPr>
            <w:tcW w:w="7080" w:type="dxa"/>
            <w:vAlign w:val="bottom"/>
            <w:shd w:val="clear" w:color="auto" w:fill="B7E4FF"/>
          </w:tcPr>
          <w:p>
            <w:pPr>
              <w:spacing w:after="0"/>
              <w:rPr>
                <w:sz w:val="8"/>
                <w:szCs w:val="8"/>
                <w:color w:val="auto"/>
              </w:rPr>
            </w:pPr>
          </w:p>
        </w:tc>
        <w:tc>
          <w:tcPr>
            <w:tcW w:w="4020" w:type="dxa"/>
            <w:vAlign w:val="bottom"/>
            <w:shd w:val="clear" w:color="auto" w:fill="B7E4FF"/>
          </w:tcPr>
          <w:p>
            <w:pPr>
              <w:spacing w:after="0"/>
              <w:rPr>
                <w:sz w:val="8"/>
                <w:szCs w:val="8"/>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79C0"/>
        </w:rPr>
        <w:t>How to Cast Your Vote</w:t>
      </w:r>
    </w:p>
    <w:p>
      <w:pPr>
        <w:spacing w:after="0" w:line="21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4D4D4F"/>
        </w:rPr>
        <w:t>You can vote by any of the following methods:</w:t>
      </w:r>
    </w:p>
    <w:p>
      <w:pPr>
        <w:spacing w:after="0" w:line="187" w:lineRule="exact"/>
        <w:rPr>
          <w:sz w:val="20"/>
          <w:szCs w:val="20"/>
          <w:color w:val="auto"/>
        </w:rPr>
      </w:pPr>
    </w:p>
    <w:tbl>
      <w:tblPr>
        <w:tblLayout w:type="fixed"/>
        <w:tblInd w:w="130" w:type="dxa"/>
        <w:tblCellMar>
          <w:top w:w="0" w:type="dxa"/>
          <w:left w:w="0" w:type="dxa"/>
          <w:bottom w:w="0" w:type="dxa"/>
          <w:right w:w="0" w:type="dxa"/>
        </w:tblCellMar>
      </w:tblPr>
      <w:tr>
        <w:trPr>
          <w:trHeight w:val="230"/>
        </w:trPr>
        <w:tc>
          <w:tcPr>
            <w:tcW w:w="5580" w:type="dxa"/>
            <w:vAlign w:val="bottom"/>
            <w:tcBorders>
              <w:top w:val="single" w:sz="8" w:color="auto"/>
              <w:left w:val="single" w:sz="8" w:color="auto"/>
            </w:tcBorders>
            <w:gridSpan w:val="2"/>
            <w:shd w:val="clear" w:color="auto" w:fill="003E64"/>
          </w:tcPr>
          <w:p>
            <w:pPr>
              <w:ind w:left="20"/>
              <w:spacing w:after="0"/>
              <w:rPr>
                <w:sz w:val="20"/>
                <w:szCs w:val="20"/>
                <w:color w:val="auto"/>
              </w:rPr>
            </w:pPr>
            <w:r>
              <w:rPr>
                <w:rFonts w:ascii="Arial" w:cs="Arial" w:eastAsia="Arial" w:hAnsi="Arial"/>
                <w:sz w:val="18"/>
                <w:szCs w:val="18"/>
                <w:b w:val="1"/>
                <w:bCs w:val="1"/>
                <w:color w:val="FFFFFF"/>
              </w:rPr>
              <w:t>Until 11:59 p.m., Eastern time, on June 1, 2021</w:t>
            </w:r>
          </w:p>
        </w:tc>
        <w:tc>
          <w:tcPr>
            <w:tcW w:w="5520" w:type="dxa"/>
            <w:vAlign w:val="bottom"/>
            <w:tcBorders>
              <w:top w:val="single" w:sz="8" w:color="auto"/>
              <w:right w:val="single" w:sz="8" w:color="auto"/>
            </w:tcBorders>
            <w:shd w:val="clear" w:color="auto" w:fill="003E64"/>
          </w:tcPr>
          <w:p>
            <w:pPr>
              <w:ind w:left="800"/>
              <w:spacing w:after="0"/>
              <w:rPr>
                <w:sz w:val="20"/>
                <w:szCs w:val="20"/>
                <w:color w:val="auto"/>
              </w:rPr>
            </w:pPr>
            <w:r>
              <w:rPr>
                <w:rFonts w:ascii="Arial" w:cs="Arial" w:eastAsia="Arial" w:hAnsi="Arial"/>
                <w:sz w:val="18"/>
                <w:szCs w:val="18"/>
                <w:b w:val="1"/>
                <w:bCs w:val="1"/>
                <w:color w:val="FFFFFF"/>
              </w:rPr>
              <w:t>At the Annual Meeting on June 2, 2021</w:t>
            </w:r>
          </w:p>
        </w:tc>
        <w:tc>
          <w:tcPr>
            <w:tcW w:w="0" w:type="dxa"/>
            <w:vAlign w:val="bottom"/>
          </w:tcPr>
          <w:p>
            <w:pPr>
              <w:spacing w:after="0"/>
              <w:rPr>
                <w:sz w:val="1"/>
                <w:szCs w:val="1"/>
                <w:color w:val="auto"/>
              </w:rPr>
            </w:pPr>
          </w:p>
        </w:tc>
      </w:tr>
      <w:tr>
        <w:trPr>
          <w:trHeight w:val="359"/>
        </w:trPr>
        <w:tc>
          <w:tcPr>
            <w:tcW w:w="120" w:type="dxa"/>
            <w:vAlign w:val="bottom"/>
          </w:tcPr>
          <w:p>
            <w:pPr>
              <w:spacing w:after="0"/>
              <w:rPr>
                <w:sz w:val="20"/>
                <w:szCs w:val="20"/>
                <w:color w:val="auto"/>
              </w:rPr>
            </w:pPr>
            <w:r>
              <w:rPr>
                <w:rFonts w:ascii="Arial" w:cs="Arial" w:eastAsia="Arial" w:hAnsi="Arial"/>
                <w:sz w:val="18"/>
                <w:szCs w:val="18"/>
                <w:b w:val="1"/>
                <w:bCs w:val="1"/>
                <w:color w:val="4D4D4F"/>
              </w:rPr>
              <w:t>•</w:t>
            </w:r>
          </w:p>
        </w:tc>
        <w:tc>
          <w:tcPr>
            <w:tcW w:w="5460" w:type="dxa"/>
            <w:vAlign w:val="bottom"/>
          </w:tcPr>
          <w:p>
            <w:pPr>
              <w:ind w:left="60"/>
              <w:spacing w:after="0"/>
              <w:rPr>
                <w:sz w:val="20"/>
                <w:szCs w:val="20"/>
                <w:color w:val="auto"/>
              </w:rPr>
            </w:pPr>
            <w:r>
              <w:rPr>
                <w:rFonts w:ascii="Arial" w:cs="Arial" w:eastAsia="Arial" w:hAnsi="Arial"/>
                <w:sz w:val="18"/>
                <w:szCs w:val="18"/>
                <w:b w:val="1"/>
                <w:bCs w:val="1"/>
                <w:color w:val="4D4D4F"/>
              </w:rPr>
              <w:t xml:space="preserve">Internet: </w:t>
            </w:r>
            <w:r>
              <w:rPr>
                <w:rFonts w:ascii="Arial" w:cs="Arial" w:eastAsia="Arial" w:hAnsi="Arial"/>
                <w:sz w:val="18"/>
                <w:szCs w:val="18"/>
                <w:color w:val="4D4D4F"/>
              </w:rPr>
              <w:t>From any web-enabled device at</w:t>
            </w:r>
            <w:r>
              <w:rPr>
                <w:rFonts w:ascii="Arial" w:cs="Arial" w:eastAsia="Arial" w:hAnsi="Arial"/>
                <w:sz w:val="18"/>
                <w:szCs w:val="18"/>
                <w:b w:val="1"/>
                <w:bCs w:val="1"/>
                <w:color w:val="4D4D4F"/>
              </w:rPr>
              <w:t xml:space="preserve"> </w:t>
            </w:r>
            <w:r>
              <w:rPr>
                <w:rFonts w:ascii="Arial" w:cs="Arial" w:eastAsia="Arial" w:hAnsi="Arial"/>
                <w:sz w:val="18"/>
                <w:szCs w:val="18"/>
                <w:i w:val="1"/>
                <w:iCs w:val="1"/>
                <w:color w:val="4D4D4F"/>
              </w:rPr>
              <w:t>proxyvote.com</w:t>
            </w:r>
          </w:p>
        </w:tc>
        <w:tc>
          <w:tcPr>
            <w:tcW w:w="5520" w:type="dxa"/>
            <w:vAlign w:val="bottom"/>
          </w:tcPr>
          <w:p>
            <w:pPr>
              <w:ind w:left="800"/>
              <w:spacing w:after="0"/>
              <w:rPr>
                <w:sz w:val="20"/>
                <w:szCs w:val="20"/>
                <w:color w:val="auto"/>
              </w:rPr>
            </w:pPr>
            <w:r>
              <w:rPr>
                <w:rFonts w:ascii="Arial" w:cs="Arial" w:eastAsia="Arial" w:hAnsi="Arial"/>
                <w:sz w:val="18"/>
                <w:szCs w:val="18"/>
                <w:color w:val="009299"/>
              </w:rPr>
              <w:t xml:space="preserve">• </w:t>
            </w:r>
            <w:r>
              <w:rPr>
                <w:rFonts w:ascii="Arial" w:cs="Arial" w:eastAsia="Arial" w:hAnsi="Arial"/>
                <w:sz w:val="18"/>
                <w:szCs w:val="18"/>
                <w:b w:val="1"/>
                <w:bCs w:val="1"/>
                <w:color w:val="4D4D4F"/>
              </w:rPr>
              <w:t>Internet:</w:t>
            </w:r>
            <w:r>
              <w:rPr>
                <w:rFonts w:ascii="Arial" w:cs="Arial" w:eastAsia="Arial" w:hAnsi="Arial"/>
                <w:sz w:val="18"/>
                <w:szCs w:val="18"/>
                <w:color w:val="009299"/>
              </w:rPr>
              <w:t xml:space="preserve"> </w:t>
            </w:r>
            <w:r>
              <w:rPr>
                <w:rFonts w:ascii="Arial" w:cs="Arial" w:eastAsia="Arial" w:hAnsi="Arial"/>
                <w:sz w:val="18"/>
                <w:szCs w:val="18"/>
                <w:color w:val="000000"/>
              </w:rPr>
              <w:t>J</w:t>
            </w:r>
            <w:r>
              <w:rPr>
                <w:rFonts w:ascii="Arial" w:cs="Arial" w:eastAsia="Arial" w:hAnsi="Arial"/>
                <w:sz w:val="18"/>
                <w:szCs w:val="18"/>
                <w:color w:val="4D4D4F"/>
              </w:rPr>
              <w:t>oining the Annual Meeting at</w:t>
            </w:r>
          </w:p>
        </w:tc>
        <w:tc>
          <w:tcPr>
            <w:tcW w:w="0" w:type="dxa"/>
            <w:vAlign w:val="bottom"/>
          </w:tcPr>
          <w:p>
            <w:pPr>
              <w:spacing w:after="0"/>
              <w:rPr>
                <w:sz w:val="1"/>
                <w:szCs w:val="1"/>
                <w:color w:val="auto"/>
              </w:rPr>
            </w:pPr>
          </w:p>
        </w:tc>
      </w:tr>
      <w:tr>
        <w:trPr>
          <w:trHeight w:val="235"/>
        </w:trPr>
        <w:tc>
          <w:tcPr>
            <w:tcW w:w="5580" w:type="dxa"/>
            <w:vAlign w:val="bottom"/>
            <w:gridSpan w:val="2"/>
            <w:vMerge w:val="restart"/>
          </w:tcPr>
          <w:p>
            <w:pPr>
              <w:spacing w:after="0"/>
              <w:rPr>
                <w:sz w:val="20"/>
                <w:szCs w:val="20"/>
                <w:color w:val="auto"/>
              </w:rPr>
            </w:pPr>
            <w:r>
              <w:rPr>
                <w:rFonts w:ascii="Arial" w:cs="Arial" w:eastAsia="Arial" w:hAnsi="Arial"/>
                <w:sz w:val="18"/>
                <w:szCs w:val="18"/>
                <w:b w:val="1"/>
                <w:bCs w:val="1"/>
                <w:color w:val="4D4D4F"/>
              </w:rPr>
              <w:t xml:space="preserve">• Telephone: </w:t>
            </w:r>
            <w:r>
              <w:rPr>
                <w:rFonts w:ascii="Arial" w:cs="Arial" w:eastAsia="Arial" w:hAnsi="Arial"/>
                <w:sz w:val="18"/>
                <w:szCs w:val="18"/>
                <w:color w:val="4D4D4F"/>
              </w:rPr>
              <w:t>+1.800.690.6903</w:t>
            </w:r>
          </w:p>
        </w:tc>
        <w:tc>
          <w:tcPr>
            <w:tcW w:w="5520" w:type="dxa"/>
            <w:vAlign w:val="bottom"/>
          </w:tcPr>
          <w:p>
            <w:pPr>
              <w:ind w:left="960"/>
              <w:spacing w:after="0"/>
              <w:rPr>
                <w:sz w:val="20"/>
                <w:szCs w:val="20"/>
                <w:color w:val="auto"/>
              </w:rPr>
            </w:pPr>
            <w:r>
              <w:rPr>
                <w:rFonts w:ascii="Arial" w:cs="Arial" w:eastAsia="Arial" w:hAnsi="Arial"/>
                <w:sz w:val="18"/>
                <w:szCs w:val="18"/>
                <w:i w:val="1"/>
                <w:iCs w:val="1"/>
                <w:color w:val="4D4D4F"/>
              </w:rPr>
              <w:t>virtualshareholdermeeting.com/ACMR2021</w:t>
            </w:r>
          </w:p>
        </w:tc>
        <w:tc>
          <w:tcPr>
            <w:tcW w:w="0" w:type="dxa"/>
            <w:vAlign w:val="bottom"/>
          </w:tcPr>
          <w:p>
            <w:pPr>
              <w:spacing w:after="0"/>
              <w:rPr>
                <w:sz w:val="1"/>
                <w:szCs w:val="1"/>
                <w:color w:val="auto"/>
              </w:rPr>
            </w:pPr>
          </w:p>
        </w:tc>
      </w:tr>
      <w:tr>
        <w:trPr>
          <w:trHeight w:val="175"/>
        </w:trPr>
        <w:tc>
          <w:tcPr>
            <w:tcW w:w="5580" w:type="dxa"/>
            <w:vAlign w:val="bottom"/>
            <w:gridSpan w:val="2"/>
            <w:vMerge w:val="continue"/>
          </w:tcPr>
          <w:p>
            <w:pPr>
              <w:spacing w:after="0"/>
              <w:rPr>
                <w:sz w:val="15"/>
                <w:szCs w:val="15"/>
                <w:color w:val="auto"/>
              </w:rPr>
            </w:pPr>
          </w:p>
        </w:tc>
        <w:tc>
          <w:tcPr>
            <w:tcW w:w="5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2"/>
        </w:trPr>
        <w:tc>
          <w:tcPr>
            <w:tcW w:w="120" w:type="dxa"/>
            <w:vAlign w:val="bottom"/>
          </w:tcPr>
          <w:p>
            <w:pPr>
              <w:spacing w:after="0"/>
              <w:rPr>
                <w:sz w:val="20"/>
                <w:szCs w:val="20"/>
                <w:color w:val="auto"/>
              </w:rPr>
            </w:pPr>
            <w:r>
              <w:rPr>
                <w:rFonts w:ascii="Arial" w:cs="Arial" w:eastAsia="Arial" w:hAnsi="Arial"/>
                <w:sz w:val="18"/>
                <w:szCs w:val="18"/>
                <w:color w:val="009299"/>
              </w:rPr>
              <w:t>•</w:t>
            </w:r>
          </w:p>
        </w:tc>
        <w:tc>
          <w:tcPr>
            <w:tcW w:w="5460" w:type="dxa"/>
            <w:vAlign w:val="bottom"/>
          </w:tcPr>
          <w:p>
            <w:pPr>
              <w:ind w:left="60"/>
              <w:spacing w:after="0"/>
              <w:rPr>
                <w:sz w:val="20"/>
                <w:szCs w:val="20"/>
                <w:color w:val="auto"/>
              </w:rPr>
            </w:pPr>
            <w:r>
              <w:rPr>
                <w:rFonts w:ascii="Arial" w:cs="Arial" w:eastAsia="Arial" w:hAnsi="Arial"/>
                <w:sz w:val="18"/>
                <w:szCs w:val="18"/>
                <w:color w:val="4D4D4F"/>
              </w:rPr>
              <w:t xml:space="preserve">Completed, signed and returned </w:t>
            </w:r>
            <w:r>
              <w:rPr>
                <w:rFonts w:ascii="Arial" w:cs="Arial" w:eastAsia="Arial" w:hAnsi="Arial"/>
                <w:sz w:val="18"/>
                <w:szCs w:val="18"/>
                <w:b w:val="1"/>
                <w:bCs w:val="1"/>
                <w:color w:val="4D4D4F"/>
              </w:rPr>
              <w:t>proxy card</w:t>
            </w:r>
          </w:p>
        </w:tc>
        <w:tc>
          <w:tcPr>
            <w:tcW w:w="5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7" w:name="page8"/>
    <w:bookmarkEnd w:id="7"/>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115570</wp:posOffset>
            </wp:positionV>
            <wp:extent cx="7187565" cy="5721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7565" cy="5721985"/>
                    </a:xfrm>
                    <a:prstGeom prst="rect">
                      <a:avLst/>
                    </a:prstGeom>
                    <a:noFill/>
                  </pic:spPr>
                </pic:pic>
              </a:graphicData>
            </a:graphic>
          </wp:anchor>
        </w:drawing>
      </w:r>
    </w:p>
    <w:p>
      <w:pPr>
        <w:spacing w:after="0" w:line="349"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0079C0"/>
        </w:rPr>
        <w:t>Election of Directors</w:t>
      </w:r>
    </w:p>
    <w:p>
      <w:pPr>
        <w:spacing w:after="0" w:line="135" w:lineRule="exact"/>
        <w:rPr>
          <w:sz w:val="20"/>
          <w:szCs w:val="20"/>
          <w:color w:val="auto"/>
        </w:rPr>
      </w:pPr>
    </w:p>
    <w:p>
      <w:pPr>
        <w:ind w:left="120"/>
        <w:spacing w:after="0" w:line="271" w:lineRule="auto"/>
        <w:rPr>
          <w:sz w:val="20"/>
          <w:szCs w:val="20"/>
          <w:color w:val="auto"/>
        </w:rPr>
      </w:pPr>
      <w:r>
        <w:rPr>
          <w:rFonts w:ascii="Arial" w:cs="Arial" w:eastAsia="Arial" w:hAnsi="Arial"/>
          <w:sz w:val="18"/>
          <w:szCs w:val="18"/>
          <w:b w:val="1"/>
          <w:bCs w:val="1"/>
          <w:color w:val="003E64"/>
        </w:rPr>
        <w:t>As the first proposal, we are asking stockholders to elect the following five director nominees, each of whom currently serves as a member of the board of directors. The following presents information as of April 8, 2021 with respect to each director nominee:</w:t>
      </w:r>
    </w:p>
    <w:p>
      <w:pPr>
        <w:spacing w:after="0" w:line="48"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1560" w:type="dxa"/>
            <w:vAlign w:val="bottom"/>
            <w:tcBorders>
              <w:top w:val="single" w:sz="8" w:color="auto"/>
            </w:tcBorders>
            <w:shd w:val="clear" w:color="auto" w:fill="003E64"/>
          </w:tcPr>
          <w:p>
            <w:pPr>
              <w:spacing w:after="0"/>
              <w:rPr>
                <w:sz w:val="17"/>
                <w:szCs w:val="17"/>
                <w:color w:val="auto"/>
              </w:rPr>
            </w:pPr>
          </w:p>
        </w:tc>
        <w:tc>
          <w:tcPr>
            <w:tcW w:w="440" w:type="dxa"/>
            <w:vAlign w:val="bottom"/>
            <w:tcBorders>
              <w:top w:val="single" w:sz="8" w:color="auto"/>
            </w:tcBorders>
            <w:shd w:val="clear" w:color="auto" w:fill="003E64"/>
          </w:tcPr>
          <w:p>
            <w:pPr>
              <w:spacing w:after="0"/>
              <w:rPr>
                <w:sz w:val="17"/>
                <w:szCs w:val="17"/>
                <w:color w:val="auto"/>
              </w:rPr>
            </w:pPr>
          </w:p>
        </w:tc>
        <w:tc>
          <w:tcPr>
            <w:tcW w:w="880" w:type="dxa"/>
            <w:vAlign w:val="bottom"/>
            <w:tcBorders>
              <w:top w:val="single" w:sz="8" w:color="auto"/>
            </w:tcBorders>
            <w:shd w:val="clear" w:color="auto" w:fill="003E64"/>
          </w:tcPr>
          <w:p>
            <w:pPr>
              <w:jc w:val="center"/>
              <w:spacing w:after="0"/>
              <w:rPr>
                <w:sz w:val="20"/>
                <w:szCs w:val="20"/>
                <w:color w:val="auto"/>
              </w:rPr>
            </w:pPr>
            <w:r>
              <w:rPr>
                <w:rFonts w:ascii="Arial" w:cs="Arial" w:eastAsia="Arial" w:hAnsi="Arial"/>
                <w:sz w:val="13"/>
                <w:szCs w:val="13"/>
                <w:b w:val="1"/>
                <w:bCs w:val="1"/>
                <w:color w:val="FFFFFF"/>
                <w:w w:val="96"/>
              </w:rPr>
              <w:t>Director</w:t>
            </w:r>
          </w:p>
        </w:tc>
        <w:tc>
          <w:tcPr>
            <w:tcW w:w="2280" w:type="dxa"/>
            <w:vAlign w:val="bottom"/>
            <w:tcBorders>
              <w:top w:val="single" w:sz="8" w:color="auto"/>
            </w:tcBorders>
            <w:shd w:val="clear" w:color="auto" w:fill="003E64"/>
          </w:tcPr>
          <w:p>
            <w:pPr>
              <w:spacing w:after="0"/>
              <w:rPr>
                <w:sz w:val="17"/>
                <w:szCs w:val="17"/>
                <w:color w:val="auto"/>
              </w:rPr>
            </w:pPr>
          </w:p>
        </w:tc>
        <w:tc>
          <w:tcPr>
            <w:tcW w:w="100" w:type="dxa"/>
            <w:vAlign w:val="bottom"/>
            <w:tcBorders>
              <w:top w:val="single" w:sz="8" w:color="auto"/>
            </w:tcBorders>
            <w:shd w:val="clear" w:color="auto" w:fill="003E64"/>
          </w:tcPr>
          <w:p>
            <w:pPr>
              <w:spacing w:after="0"/>
              <w:rPr>
                <w:sz w:val="17"/>
                <w:szCs w:val="17"/>
                <w:color w:val="auto"/>
              </w:rPr>
            </w:pPr>
          </w:p>
        </w:tc>
        <w:tc>
          <w:tcPr>
            <w:tcW w:w="1340" w:type="dxa"/>
            <w:vAlign w:val="bottom"/>
            <w:tcBorders>
              <w:top w:val="single" w:sz="8" w:color="auto"/>
            </w:tcBorders>
            <w:shd w:val="clear" w:color="auto" w:fill="003E64"/>
          </w:tcPr>
          <w:p>
            <w:pPr>
              <w:ind w:left="220"/>
              <w:spacing w:after="0"/>
              <w:rPr>
                <w:sz w:val="20"/>
                <w:szCs w:val="20"/>
                <w:color w:val="auto"/>
              </w:rPr>
            </w:pPr>
            <w:r>
              <w:rPr>
                <w:rFonts w:ascii="Arial" w:cs="Arial" w:eastAsia="Arial" w:hAnsi="Arial"/>
                <w:sz w:val="13"/>
                <w:szCs w:val="13"/>
                <w:b w:val="1"/>
                <w:bCs w:val="1"/>
                <w:color w:val="FFFFFF"/>
              </w:rPr>
              <w:t>Experience/</w:t>
            </w:r>
          </w:p>
        </w:tc>
        <w:tc>
          <w:tcPr>
            <w:tcW w:w="1300" w:type="dxa"/>
            <w:vAlign w:val="bottom"/>
            <w:tcBorders>
              <w:top w:val="single" w:sz="8" w:color="auto"/>
            </w:tcBorders>
            <w:gridSpan w:val="2"/>
            <w:shd w:val="clear" w:color="auto" w:fill="003E64"/>
          </w:tcPr>
          <w:p>
            <w:pPr>
              <w:jc w:val="right"/>
              <w:ind w:right="289"/>
              <w:spacing w:after="0"/>
              <w:rPr>
                <w:sz w:val="20"/>
                <w:szCs w:val="20"/>
                <w:color w:val="auto"/>
              </w:rPr>
            </w:pPr>
            <w:r>
              <w:rPr>
                <w:rFonts w:ascii="Arial" w:cs="Arial" w:eastAsia="Arial" w:hAnsi="Arial"/>
                <w:sz w:val="13"/>
                <w:szCs w:val="13"/>
                <w:b w:val="1"/>
                <w:bCs w:val="1"/>
                <w:color w:val="FFFFFF"/>
              </w:rPr>
              <w:t>Independent</w:t>
            </w:r>
          </w:p>
        </w:tc>
        <w:tc>
          <w:tcPr>
            <w:tcW w:w="1240" w:type="dxa"/>
            <w:vAlign w:val="bottom"/>
            <w:tcBorders>
              <w:top w:val="single" w:sz="8" w:color="auto"/>
            </w:tcBorders>
            <w:shd w:val="clear" w:color="auto" w:fill="003E64"/>
          </w:tcPr>
          <w:p>
            <w:pPr>
              <w:ind w:left="320"/>
              <w:spacing w:after="0"/>
              <w:rPr>
                <w:sz w:val="20"/>
                <w:szCs w:val="20"/>
                <w:color w:val="auto"/>
              </w:rPr>
            </w:pPr>
            <w:r>
              <w:rPr>
                <w:rFonts w:ascii="Arial" w:cs="Arial" w:eastAsia="Arial" w:hAnsi="Arial"/>
                <w:sz w:val="13"/>
                <w:szCs w:val="13"/>
                <w:b w:val="1"/>
                <w:bCs w:val="1"/>
                <w:color w:val="FFFFFF"/>
              </w:rPr>
              <w:t>Committee</w:t>
            </w:r>
          </w:p>
        </w:tc>
        <w:tc>
          <w:tcPr>
            <w:tcW w:w="240" w:type="dxa"/>
            <w:vAlign w:val="bottom"/>
            <w:tcBorders>
              <w:top w:val="single" w:sz="8" w:color="auto"/>
            </w:tcBorders>
            <w:shd w:val="clear" w:color="auto" w:fill="003E64"/>
          </w:tcPr>
          <w:p>
            <w:pPr>
              <w:spacing w:after="0"/>
              <w:rPr>
                <w:sz w:val="17"/>
                <w:szCs w:val="17"/>
                <w:color w:val="auto"/>
              </w:rPr>
            </w:pPr>
          </w:p>
        </w:tc>
        <w:tc>
          <w:tcPr>
            <w:tcW w:w="1720" w:type="dxa"/>
            <w:vAlign w:val="bottom"/>
            <w:tcBorders>
              <w:top w:val="single" w:sz="8" w:color="auto"/>
            </w:tcBorders>
            <w:shd w:val="clear" w:color="auto" w:fill="003E64"/>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560" w:type="dxa"/>
            <w:vAlign w:val="bottom"/>
            <w:shd w:val="clear" w:color="auto" w:fill="003E64"/>
          </w:tcPr>
          <w:p>
            <w:pPr>
              <w:ind w:left="600"/>
              <w:spacing w:after="0"/>
              <w:rPr>
                <w:sz w:val="20"/>
                <w:szCs w:val="20"/>
                <w:color w:val="auto"/>
              </w:rPr>
            </w:pPr>
            <w:r>
              <w:rPr>
                <w:rFonts w:ascii="Arial" w:cs="Arial" w:eastAsia="Arial" w:hAnsi="Arial"/>
                <w:sz w:val="13"/>
                <w:szCs w:val="13"/>
                <w:b w:val="1"/>
                <w:bCs w:val="1"/>
                <w:color w:val="FFFFFF"/>
              </w:rPr>
              <w:t>Name</w:t>
            </w:r>
          </w:p>
        </w:tc>
        <w:tc>
          <w:tcPr>
            <w:tcW w:w="440" w:type="dxa"/>
            <w:vAlign w:val="bottom"/>
            <w:shd w:val="clear" w:color="auto" w:fill="003E64"/>
          </w:tcPr>
          <w:p>
            <w:pPr>
              <w:jc w:val="center"/>
              <w:spacing w:after="0"/>
              <w:rPr>
                <w:sz w:val="20"/>
                <w:szCs w:val="20"/>
                <w:color w:val="auto"/>
              </w:rPr>
            </w:pPr>
            <w:r>
              <w:rPr>
                <w:rFonts w:ascii="Arial" w:cs="Arial" w:eastAsia="Arial" w:hAnsi="Arial"/>
                <w:sz w:val="13"/>
                <w:szCs w:val="13"/>
                <w:b w:val="1"/>
                <w:bCs w:val="1"/>
                <w:color w:val="FFFFFF"/>
                <w:w w:val="97"/>
              </w:rPr>
              <w:t>Age</w:t>
            </w:r>
          </w:p>
        </w:tc>
        <w:tc>
          <w:tcPr>
            <w:tcW w:w="880" w:type="dxa"/>
            <w:vAlign w:val="bottom"/>
            <w:shd w:val="clear" w:color="auto" w:fill="003E64"/>
          </w:tcPr>
          <w:p>
            <w:pPr>
              <w:jc w:val="center"/>
              <w:spacing w:after="0"/>
              <w:rPr>
                <w:sz w:val="20"/>
                <w:szCs w:val="20"/>
                <w:color w:val="auto"/>
              </w:rPr>
            </w:pPr>
            <w:r>
              <w:rPr>
                <w:rFonts w:ascii="Arial" w:cs="Arial" w:eastAsia="Arial" w:hAnsi="Arial"/>
                <w:sz w:val="13"/>
                <w:szCs w:val="13"/>
                <w:b w:val="1"/>
                <w:bCs w:val="1"/>
                <w:color w:val="FFFFFF"/>
                <w:w w:val="97"/>
              </w:rPr>
              <w:t>Since</w:t>
            </w:r>
          </w:p>
        </w:tc>
        <w:tc>
          <w:tcPr>
            <w:tcW w:w="2280" w:type="dxa"/>
            <w:vAlign w:val="bottom"/>
            <w:shd w:val="clear" w:color="auto" w:fill="003E64"/>
          </w:tcPr>
          <w:p>
            <w:pPr>
              <w:ind w:left="800"/>
              <w:spacing w:after="0"/>
              <w:rPr>
                <w:sz w:val="20"/>
                <w:szCs w:val="20"/>
                <w:color w:val="auto"/>
              </w:rPr>
            </w:pPr>
            <w:r>
              <w:rPr>
                <w:rFonts w:ascii="Arial" w:cs="Arial" w:eastAsia="Arial" w:hAnsi="Arial"/>
                <w:sz w:val="13"/>
                <w:szCs w:val="13"/>
                <w:b w:val="1"/>
                <w:bCs w:val="1"/>
                <w:color w:val="FFFFFF"/>
              </w:rPr>
              <w:t>Occupation</w:t>
            </w:r>
          </w:p>
        </w:tc>
        <w:tc>
          <w:tcPr>
            <w:tcW w:w="100" w:type="dxa"/>
            <w:vAlign w:val="bottom"/>
            <w:shd w:val="clear" w:color="auto" w:fill="003E64"/>
          </w:tcPr>
          <w:p>
            <w:pPr>
              <w:spacing w:after="0"/>
              <w:rPr>
                <w:sz w:val="16"/>
                <w:szCs w:val="16"/>
                <w:color w:val="auto"/>
              </w:rPr>
            </w:pPr>
          </w:p>
        </w:tc>
        <w:tc>
          <w:tcPr>
            <w:tcW w:w="1340" w:type="dxa"/>
            <w:vAlign w:val="bottom"/>
            <w:shd w:val="clear" w:color="auto" w:fill="003E64"/>
          </w:tcPr>
          <w:p>
            <w:pPr>
              <w:ind w:left="160"/>
              <w:spacing w:after="0"/>
              <w:rPr>
                <w:sz w:val="20"/>
                <w:szCs w:val="20"/>
                <w:color w:val="auto"/>
              </w:rPr>
            </w:pPr>
            <w:r>
              <w:rPr>
                <w:rFonts w:ascii="Arial" w:cs="Arial" w:eastAsia="Arial" w:hAnsi="Arial"/>
                <w:sz w:val="13"/>
                <w:szCs w:val="13"/>
                <w:b w:val="1"/>
                <w:bCs w:val="1"/>
                <w:color w:val="FFFFFF"/>
              </w:rPr>
              <w:t>Qualifications</w:t>
            </w:r>
          </w:p>
        </w:tc>
        <w:tc>
          <w:tcPr>
            <w:tcW w:w="560" w:type="dxa"/>
            <w:vAlign w:val="bottom"/>
            <w:shd w:val="clear" w:color="auto" w:fill="003E64"/>
          </w:tcPr>
          <w:p>
            <w:pPr>
              <w:jc w:val="center"/>
              <w:ind w:right="31"/>
              <w:spacing w:after="0"/>
              <w:rPr>
                <w:sz w:val="20"/>
                <w:szCs w:val="20"/>
                <w:color w:val="auto"/>
              </w:rPr>
            </w:pPr>
            <w:r>
              <w:rPr>
                <w:rFonts w:ascii="Arial" w:cs="Arial" w:eastAsia="Arial" w:hAnsi="Arial"/>
                <w:sz w:val="13"/>
                <w:szCs w:val="13"/>
                <w:b w:val="1"/>
                <w:bCs w:val="1"/>
                <w:color w:val="FFFFFF"/>
                <w:w w:val="94"/>
              </w:rPr>
              <w:t>Yes</w:t>
            </w:r>
          </w:p>
        </w:tc>
        <w:tc>
          <w:tcPr>
            <w:tcW w:w="740" w:type="dxa"/>
            <w:vAlign w:val="bottom"/>
            <w:shd w:val="clear" w:color="auto" w:fill="003E64"/>
          </w:tcPr>
          <w:p>
            <w:pPr>
              <w:jc w:val="right"/>
              <w:ind w:right="289"/>
              <w:spacing w:after="0"/>
              <w:rPr>
                <w:sz w:val="20"/>
                <w:szCs w:val="20"/>
                <w:color w:val="auto"/>
              </w:rPr>
            </w:pPr>
            <w:r>
              <w:rPr>
                <w:rFonts w:ascii="Arial" w:cs="Arial" w:eastAsia="Arial" w:hAnsi="Arial"/>
                <w:sz w:val="13"/>
                <w:szCs w:val="13"/>
                <w:b w:val="1"/>
                <w:bCs w:val="1"/>
                <w:color w:val="FFFFFF"/>
              </w:rPr>
              <w:t>No</w:t>
            </w:r>
          </w:p>
        </w:tc>
        <w:tc>
          <w:tcPr>
            <w:tcW w:w="1240" w:type="dxa"/>
            <w:vAlign w:val="bottom"/>
            <w:shd w:val="clear" w:color="auto" w:fill="003E64"/>
          </w:tcPr>
          <w:p>
            <w:pPr>
              <w:ind w:left="240"/>
              <w:spacing w:after="0"/>
              <w:rPr>
                <w:sz w:val="20"/>
                <w:szCs w:val="20"/>
                <w:color w:val="auto"/>
              </w:rPr>
            </w:pPr>
            <w:r>
              <w:rPr>
                <w:rFonts w:ascii="Arial" w:cs="Arial" w:eastAsia="Arial" w:hAnsi="Arial"/>
                <w:sz w:val="13"/>
                <w:szCs w:val="13"/>
                <w:b w:val="1"/>
                <w:bCs w:val="1"/>
                <w:color w:val="FFFFFF"/>
              </w:rPr>
              <w:t>Memberships</w:t>
            </w:r>
          </w:p>
        </w:tc>
        <w:tc>
          <w:tcPr>
            <w:tcW w:w="240" w:type="dxa"/>
            <w:vAlign w:val="bottom"/>
            <w:shd w:val="clear" w:color="auto" w:fill="003E64"/>
          </w:tcPr>
          <w:p>
            <w:pPr>
              <w:spacing w:after="0"/>
              <w:rPr>
                <w:sz w:val="16"/>
                <w:szCs w:val="16"/>
                <w:color w:val="auto"/>
              </w:rPr>
            </w:pPr>
          </w:p>
        </w:tc>
        <w:tc>
          <w:tcPr>
            <w:tcW w:w="1720" w:type="dxa"/>
            <w:vAlign w:val="bottom"/>
            <w:shd w:val="clear" w:color="auto" w:fill="003E64"/>
          </w:tcPr>
          <w:p>
            <w:pPr>
              <w:ind w:left="420"/>
              <w:spacing w:after="0"/>
              <w:rPr>
                <w:sz w:val="20"/>
                <w:szCs w:val="20"/>
                <w:color w:val="auto"/>
              </w:rPr>
            </w:pPr>
            <w:r>
              <w:rPr>
                <w:rFonts w:ascii="Arial" w:cs="Arial" w:eastAsia="Arial" w:hAnsi="Arial"/>
                <w:sz w:val="13"/>
                <w:szCs w:val="13"/>
                <w:b w:val="1"/>
                <w:bCs w:val="1"/>
                <w:color w:val="FFFFFF"/>
              </w:rPr>
              <w:t>Other Boards</w:t>
            </w:r>
          </w:p>
        </w:tc>
        <w:tc>
          <w:tcPr>
            <w:tcW w:w="0" w:type="dxa"/>
            <w:vAlign w:val="bottom"/>
          </w:tcPr>
          <w:p>
            <w:pPr>
              <w:spacing w:after="0"/>
              <w:rPr>
                <w:sz w:val="1"/>
                <w:szCs w:val="1"/>
                <w:color w:val="auto"/>
              </w:rPr>
            </w:pPr>
          </w:p>
        </w:tc>
      </w:tr>
      <w:tr>
        <w:trPr>
          <w:trHeight w:val="167"/>
        </w:trPr>
        <w:tc>
          <w:tcPr>
            <w:tcW w:w="1560" w:type="dxa"/>
            <w:vAlign w:val="bottom"/>
          </w:tcPr>
          <w:p>
            <w:pPr>
              <w:spacing w:after="0"/>
              <w:rPr>
                <w:sz w:val="20"/>
                <w:szCs w:val="20"/>
                <w:color w:val="auto"/>
              </w:rPr>
            </w:pPr>
            <w:r>
              <w:rPr>
                <w:rFonts w:ascii="Arial" w:cs="Arial" w:eastAsia="Arial" w:hAnsi="Arial"/>
                <w:sz w:val="14"/>
                <w:szCs w:val="14"/>
                <w:color w:val="4D4D4F"/>
              </w:rPr>
              <w:t>Haiping Dun</w:t>
            </w:r>
          </w:p>
        </w:tc>
        <w:tc>
          <w:tcPr>
            <w:tcW w:w="440" w:type="dxa"/>
            <w:vAlign w:val="bottom"/>
          </w:tcPr>
          <w:p>
            <w:pPr>
              <w:jc w:val="center"/>
              <w:spacing w:after="0"/>
              <w:rPr>
                <w:sz w:val="20"/>
                <w:szCs w:val="20"/>
                <w:color w:val="auto"/>
              </w:rPr>
            </w:pPr>
            <w:r>
              <w:rPr>
                <w:rFonts w:ascii="Arial" w:cs="Arial" w:eastAsia="Arial" w:hAnsi="Arial"/>
                <w:sz w:val="14"/>
                <w:szCs w:val="14"/>
                <w:color w:val="4D4D4F"/>
              </w:rPr>
              <w:t>71</w:t>
            </w:r>
          </w:p>
        </w:tc>
        <w:tc>
          <w:tcPr>
            <w:tcW w:w="880" w:type="dxa"/>
            <w:vAlign w:val="bottom"/>
          </w:tcPr>
          <w:p>
            <w:pPr>
              <w:jc w:val="center"/>
              <w:spacing w:after="0"/>
              <w:rPr>
                <w:sz w:val="20"/>
                <w:szCs w:val="20"/>
                <w:color w:val="auto"/>
              </w:rPr>
            </w:pPr>
            <w:r>
              <w:rPr>
                <w:rFonts w:ascii="Arial" w:cs="Arial" w:eastAsia="Arial" w:hAnsi="Arial"/>
                <w:sz w:val="14"/>
                <w:szCs w:val="14"/>
                <w:color w:val="4D4D4F"/>
              </w:rPr>
              <w:t>2003</w:t>
            </w:r>
          </w:p>
        </w:tc>
        <w:tc>
          <w:tcPr>
            <w:tcW w:w="2280" w:type="dxa"/>
            <w:vAlign w:val="bottom"/>
          </w:tcPr>
          <w:p>
            <w:pPr>
              <w:spacing w:after="0"/>
              <w:rPr>
                <w:sz w:val="20"/>
                <w:szCs w:val="20"/>
                <w:color w:val="auto"/>
              </w:rPr>
            </w:pPr>
            <w:r>
              <w:rPr>
                <w:rFonts w:ascii="Arial" w:cs="Arial" w:eastAsia="Arial" w:hAnsi="Arial"/>
                <w:sz w:val="14"/>
                <w:szCs w:val="14"/>
                <w:color w:val="4D4D4F"/>
              </w:rPr>
              <w:t>Former Senior Director of Intel</w:t>
            </w:r>
          </w:p>
        </w:tc>
        <w:tc>
          <w:tcPr>
            <w:tcW w:w="100" w:type="dxa"/>
            <w:vAlign w:val="bottom"/>
          </w:tcPr>
          <w:p>
            <w:pPr>
              <w:spacing w:after="0"/>
              <w:rPr>
                <w:sz w:val="20"/>
                <w:szCs w:val="20"/>
                <w:color w:val="auto"/>
              </w:rPr>
            </w:pPr>
            <w:r>
              <w:rPr>
                <w:rFonts w:ascii="Arial" w:cs="Arial" w:eastAsia="Arial" w:hAnsi="Arial"/>
                <w:sz w:val="14"/>
                <w:szCs w:val="14"/>
                <w:color w:val="003E64"/>
              </w:rPr>
              <w:t>•</w:t>
            </w:r>
          </w:p>
        </w:tc>
        <w:tc>
          <w:tcPr>
            <w:tcW w:w="1340" w:type="dxa"/>
            <w:vAlign w:val="bottom"/>
          </w:tcPr>
          <w:p>
            <w:pPr>
              <w:ind w:left="60"/>
              <w:spacing w:after="0"/>
              <w:rPr>
                <w:sz w:val="20"/>
                <w:szCs w:val="20"/>
                <w:color w:val="auto"/>
              </w:rPr>
            </w:pPr>
            <w:r>
              <w:rPr>
                <w:rFonts w:ascii="Arial" w:cs="Arial" w:eastAsia="Arial" w:hAnsi="Arial"/>
                <w:sz w:val="14"/>
                <w:szCs w:val="14"/>
                <w:color w:val="4D4D4F"/>
              </w:rPr>
              <w:t>Industry</w:t>
            </w:r>
          </w:p>
        </w:tc>
        <w:tc>
          <w:tcPr>
            <w:tcW w:w="560" w:type="dxa"/>
            <w:vAlign w:val="bottom"/>
          </w:tcPr>
          <w:p>
            <w:pPr>
              <w:jc w:val="center"/>
              <w:ind w:right="51"/>
              <w:spacing w:after="0" w:line="141" w:lineRule="exact"/>
              <w:rPr>
                <w:sz w:val="20"/>
                <w:szCs w:val="20"/>
                <w:color w:val="auto"/>
              </w:rPr>
            </w:pPr>
            <w:r>
              <w:rPr>
                <w:rFonts w:ascii="MS PGothic" w:cs="MS PGothic" w:eastAsia="MS PGothic" w:hAnsi="MS PGothic"/>
                <w:sz w:val="14"/>
                <w:szCs w:val="14"/>
                <w:color w:val="auto"/>
                <w:w w:val="85"/>
                <w:shd w:val="clear" w:color="auto" w:fill="003E64"/>
              </w:rPr>
              <w:t>✔</w:t>
            </w:r>
          </w:p>
        </w:tc>
        <w:tc>
          <w:tcPr>
            <w:tcW w:w="740" w:type="dxa"/>
            <w:vAlign w:val="bottom"/>
          </w:tcPr>
          <w:p>
            <w:pPr>
              <w:ind w:left="640"/>
              <w:spacing w:after="0"/>
              <w:rPr>
                <w:sz w:val="20"/>
                <w:szCs w:val="20"/>
                <w:color w:val="auto"/>
              </w:rPr>
            </w:pPr>
            <w:r>
              <w:rPr>
                <w:rFonts w:ascii="Arial" w:cs="Arial" w:eastAsia="Arial" w:hAnsi="Arial"/>
                <w:sz w:val="14"/>
                <w:szCs w:val="14"/>
                <w:color w:val="003E64"/>
              </w:rPr>
              <w:t>•</w:t>
            </w:r>
          </w:p>
        </w:tc>
        <w:tc>
          <w:tcPr>
            <w:tcW w:w="1240" w:type="dxa"/>
            <w:vAlign w:val="bottom"/>
          </w:tcPr>
          <w:p>
            <w:pPr>
              <w:ind w:left="60"/>
              <w:spacing w:after="0"/>
              <w:rPr>
                <w:sz w:val="20"/>
                <w:szCs w:val="20"/>
                <w:color w:val="auto"/>
              </w:rPr>
            </w:pPr>
            <w:r>
              <w:rPr>
                <w:rFonts w:ascii="Arial" w:cs="Arial" w:eastAsia="Arial" w:hAnsi="Arial"/>
                <w:sz w:val="14"/>
                <w:szCs w:val="14"/>
                <w:color w:val="4D4D4F"/>
              </w:rPr>
              <w:t>Audit</w:t>
            </w:r>
          </w:p>
        </w:tc>
        <w:tc>
          <w:tcPr>
            <w:tcW w:w="2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80" w:type="dxa"/>
            <w:vAlign w:val="bottom"/>
          </w:tcPr>
          <w:p>
            <w:pPr>
              <w:spacing w:after="0"/>
              <w:rPr>
                <w:sz w:val="20"/>
                <w:szCs w:val="20"/>
                <w:color w:val="auto"/>
              </w:rPr>
            </w:pPr>
            <w:r>
              <w:rPr>
                <w:rFonts w:ascii="Arial" w:cs="Arial" w:eastAsia="Arial" w:hAnsi="Arial"/>
                <w:sz w:val="14"/>
                <w:szCs w:val="14"/>
                <w:color w:val="4D4D4F"/>
              </w:rPr>
              <w:t>Corporation</w:t>
            </w:r>
          </w:p>
        </w:tc>
        <w:tc>
          <w:tcPr>
            <w:tcW w:w="100" w:type="dxa"/>
            <w:vAlign w:val="bottom"/>
            <w:vMerge w:val="restart"/>
          </w:tcPr>
          <w:p>
            <w:pPr>
              <w:spacing w:after="0"/>
              <w:rPr>
                <w:sz w:val="20"/>
                <w:szCs w:val="20"/>
                <w:color w:val="auto"/>
              </w:rPr>
            </w:pPr>
            <w:r>
              <w:rPr>
                <w:rFonts w:ascii="Arial" w:cs="Arial" w:eastAsia="Arial" w:hAnsi="Arial"/>
                <w:sz w:val="14"/>
                <w:szCs w:val="14"/>
                <w:color w:val="003E64"/>
              </w:rPr>
              <w:t>•</w:t>
            </w:r>
          </w:p>
        </w:tc>
        <w:tc>
          <w:tcPr>
            <w:tcW w:w="1340" w:type="dxa"/>
            <w:vAlign w:val="bottom"/>
            <w:vMerge w:val="restart"/>
          </w:tcPr>
          <w:p>
            <w:pPr>
              <w:ind w:left="60"/>
              <w:spacing w:after="0"/>
              <w:rPr>
                <w:sz w:val="20"/>
                <w:szCs w:val="20"/>
                <w:color w:val="auto"/>
              </w:rPr>
            </w:pPr>
            <w:r>
              <w:rPr>
                <w:rFonts w:ascii="Arial" w:cs="Arial" w:eastAsia="Arial" w:hAnsi="Arial"/>
                <w:sz w:val="14"/>
                <w:szCs w:val="14"/>
                <w:color w:val="4D4D4F"/>
              </w:rPr>
              <w:t>Global</w:t>
            </w:r>
          </w:p>
        </w:tc>
        <w:tc>
          <w:tcPr>
            <w:tcW w:w="560" w:type="dxa"/>
            <w:vAlign w:val="bottom"/>
          </w:tcPr>
          <w:p>
            <w:pPr>
              <w:spacing w:after="0"/>
              <w:rPr>
                <w:sz w:val="14"/>
                <w:szCs w:val="14"/>
                <w:color w:val="auto"/>
              </w:rPr>
            </w:pPr>
          </w:p>
        </w:tc>
        <w:tc>
          <w:tcPr>
            <w:tcW w:w="740" w:type="dxa"/>
            <w:vAlign w:val="bottom"/>
            <w:vMerge w:val="restart"/>
          </w:tcPr>
          <w:p>
            <w:pPr>
              <w:ind w:left="640"/>
              <w:spacing w:after="0"/>
              <w:rPr>
                <w:sz w:val="20"/>
                <w:szCs w:val="20"/>
                <w:color w:val="auto"/>
              </w:rPr>
            </w:pPr>
            <w:r>
              <w:rPr>
                <w:rFonts w:ascii="Arial" w:cs="Arial" w:eastAsia="Arial" w:hAnsi="Arial"/>
                <w:sz w:val="14"/>
                <w:szCs w:val="14"/>
                <w:color w:val="003E64"/>
              </w:rPr>
              <w:t>•</w:t>
            </w:r>
          </w:p>
        </w:tc>
        <w:tc>
          <w:tcPr>
            <w:tcW w:w="1240" w:type="dxa"/>
            <w:vAlign w:val="bottom"/>
            <w:vMerge w:val="restart"/>
          </w:tcPr>
          <w:p>
            <w:pPr>
              <w:ind w:left="60"/>
              <w:spacing w:after="0"/>
              <w:rPr>
                <w:sz w:val="20"/>
                <w:szCs w:val="20"/>
                <w:color w:val="auto"/>
              </w:rPr>
            </w:pPr>
            <w:r>
              <w:rPr>
                <w:rFonts w:ascii="Arial" w:cs="Arial" w:eastAsia="Arial" w:hAnsi="Arial"/>
                <w:sz w:val="14"/>
                <w:szCs w:val="14"/>
                <w:color w:val="4D4D4F"/>
              </w:rPr>
              <w:t>Compensation</w:t>
            </w:r>
          </w:p>
        </w:tc>
        <w:tc>
          <w:tcPr>
            <w:tcW w:w="2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1560" w:type="dxa"/>
            <w:vAlign w:val="bottom"/>
          </w:tcPr>
          <w:p>
            <w:pPr>
              <w:spacing w:after="0"/>
              <w:rPr>
                <w:sz w:val="4"/>
                <w:szCs w:val="4"/>
                <w:color w:val="auto"/>
              </w:rPr>
            </w:pPr>
          </w:p>
        </w:tc>
        <w:tc>
          <w:tcPr>
            <w:tcW w:w="440" w:type="dxa"/>
            <w:vAlign w:val="bottom"/>
          </w:tcPr>
          <w:p>
            <w:pPr>
              <w:spacing w:after="0"/>
              <w:rPr>
                <w:sz w:val="4"/>
                <w:szCs w:val="4"/>
                <w:color w:val="auto"/>
              </w:rPr>
            </w:pPr>
          </w:p>
        </w:tc>
        <w:tc>
          <w:tcPr>
            <w:tcW w:w="880" w:type="dxa"/>
            <w:vAlign w:val="bottom"/>
          </w:tcPr>
          <w:p>
            <w:pPr>
              <w:spacing w:after="0"/>
              <w:rPr>
                <w:sz w:val="4"/>
                <w:szCs w:val="4"/>
                <w:color w:val="auto"/>
              </w:rPr>
            </w:pPr>
          </w:p>
        </w:tc>
        <w:tc>
          <w:tcPr>
            <w:tcW w:w="228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124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1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1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380" w:type="dxa"/>
            <w:vAlign w:val="bottom"/>
            <w:gridSpan w:val="2"/>
          </w:tcPr>
          <w:p>
            <w:pPr>
              <w:spacing w:after="0"/>
              <w:rPr>
                <w:sz w:val="20"/>
                <w:szCs w:val="20"/>
                <w:color w:val="auto"/>
              </w:rPr>
            </w:pPr>
            <w:r>
              <w:rPr>
                <w:rFonts w:ascii="Arial" w:cs="Arial" w:eastAsia="Arial" w:hAnsi="Arial"/>
                <w:sz w:val="14"/>
                <w:szCs w:val="14"/>
                <w:color w:val="4D4D4F"/>
              </w:rPr>
              <w:t xml:space="preserve">Former President of Champion </w:t>
            </w:r>
            <w:r>
              <w:rPr>
                <w:rFonts w:ascii="Arial" w:cs="Arial" w:eastAsia="Arial" w:hAnsi="Arial"/>
                <w:sz w:val="14"/>
                <w:szCs w:val="14"/>
                <w:color w:val="003E64"/>
              </w:rPr>
              <w:t>•</w:t>
            </w:r>
          </w:p>
        </w:tc>
        <w:tc>
          <w:tcPr>
            <w:tcW w:w="1340" w:type="dxa"/>
            <w:vAlign w:val="bottom"/>
          </w:tcPr>
          <w:p>
            <w:pPr>
              <w:ind w:left="60"/>
              <w:spacing w:after="0"/>
              <w:rPr>
                <w:sz w:val="20"/>
                <w:szCs w:val="20"/>
                <w:color w:val="auto"/>
              </w:rPr>
            </w:pPr>
            <w:r>
              <w:rPr>
                <w:rFonts w:ascii="Arial" w:cs="Arial" w:eastAsia="Arial" w:hAnsi="Arial"/>
                <w:sz w:val="14"/>
                <w:szCs w:val="14"/>
                <w:color w:val="4D4D4F"/>
              </w:rPr>
              <w:t>Leadership</w:t>
            </w: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1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80" w:type="dxa"/>
            <w:vAlign w:val="bottom"/>
          </w:tcPr>
          <w:p>
            <w:pPr>
              <w:spacing w:after="0"/>
              <w:rPr>
                <w:sz w:val="20"/>
                <w:szCs w:val="20"/>
                <w:color w:val="auto"/>
              </w:rPr>
            </w:pPr>
            <w:r>
              <w:rPr>
                <w:rFonts w:ascii="Arial" w:cs="Arial" w:eastAsia="Arial" w:hAnsi="Arial"/>
                <w:sz w:val="14"/>
                <w:szCs w:val="14"/>
                <w:color w:val="4D4D4F"/>
              </w:rPr>
              <w:t>Microelectronic Corp.</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8"/>
        </w:trPr>
        <w:tc>
          <w:tcPr>
            <w:tcW w:w="1560" w:type="dxa"/>
            <w:vAlign w:val="bottom"/>
          </w:tcPr>
          <w:p>
            <w:pPr>
              <w:spacing w:after="0"/>
              <w:rPr>
                <w:sz w:val="5"/>
                <w:szCs w:val="5"/>
                <w:color w:val="auto"/>
              </w:rPr>
            </w:pPr>
          </w:p>
        </w:tc>
        <w:tc>
          <w:tcPr>
            <w:tcW w:w="440" w:type="dxa"/>
            <w:vAlign w:val="bottom"/>
          </w:tcPr>
          <w:p>
            <w:pPr>
              <w:spacing w:after="0"/>
              <w:rPr>
                <w:sz w:val="5"/>
                <w:szCs w:val="5"/>
                <w:color w:val="auto"/>
              </w:rPr>
            </w:pPr>
          </w:p>
        </w:tc>
        <w:tc>
          <w:tcPr>
            <w:tcW w:w="880" w:type="dxa"/>
            <w:vAlign w:val="bottom"/>
          </w:tcPr>
          <w:p>
            <w:pPr>
              <w:spacing w:after="0"/>
              <w:rPr>
                <w:sz w:val="5"/>
                <w:szCs w:val="5"/>
                <w:color w:val="auto"/>
              </w:rPr>
            </w:pPr>
          </w:p>
        </w:tc>
        <w:tc>
          <w:tcPr>
            <w:tcW w:w="2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1560" w:type="dxa"/>
            <w:vAlign w:val="bottom"/>
            <w:shd w:val="clear" w:color="auto" w:fill="B7E4FF"/>
          </w:tcPr>
          <w:p>
            <w:pPr>
              <w:spacing w:after="0"/>
              <w:rPr>
                <w:sz w:val="20"/>
                <w:szCs w:val="20"/>
                <w:color w:val="auto"/>
              </w:rPr>
            </w:pPr>
            <w:r>
              <w:rPr>
                <w:rFonts w:ascii="Arial" w:cs="Arial" w:eastAsia="Arial" w:hAnsi="Arial"/>
                <w:sz w:val="14"/>
                <w:szCs w:val="14"/>
                <w:color w:val="4D4D4F"/>
              </w:rPr>
              <w:t>Chenming C. Hu</w:t>
            </w:r>
          </w:p>
        </w:tc>
        <w:tc>
          <w:tcPr>
            <w:tcW w:w="440" w:type="dxa"/>
            <w:vAlign w:val="bottom"/>
            <w:shd w:val="clear" w:color="auto" w:fill="B7E4FF"/>
          </w:tcPr>
          <w:p>
            <w:pPr>
              <w:jc w:val="center"/>
              <w:spacing w:after="0"/>
              <w:rPr>
                <w:sz w:val="20"/>
                <w:szCs w:val="20"/>
                <w:color w:val="auto"/>
              </w:rPr>
            </w:pPr>
            <w:r>
              <w:rPr>
                <w:rFonts w:ascii="Arial" w:cs="Arial" w:eastAsia="Arial" w:hAnsi="Arial"/>
                <w:sz w:val="14"/>
                <w:szCs w:val="14"/>
                <w:color w:val="4D4D4F"/>
              </w:rPr>
              <w:t>73</w:t>
            </w:r>
          </w:p>
        </w:tc>
        <w:tc>
          <w:tcPr>
            <w:tcW w:w="880" w:type="dxa"/>
            <w:vAlign w:val="bottom"/>
            <w:shd w:val="clear" w:color="auto" w:fill="B7E4FF"/>
          </w:tcPr>
          <w:p>
            <w:pPr>
              <w:jc w:val="center"/>
              <w:spacing w:after="0"/>
              <w:rPr>
                <w:sz w:val="20"/>
                <w:szCs w:val="20"/>
                <w:color w:val="auto"/>
              </w:rPr>
            </w:pPr>
            <w:r>
              <w:rPr>
                <w:rFonts w:ascii="Arial" w:cs="Arial" w:eastAsia="Arial" w:hAnsi="Arial"/>
                <w:sz w:val="14"/>
                <w:szCs w:val="14"/>
                <w:color w:val="4D4D4F"/>
              </w:rPr>
              <w:t>2017</w:t>
            </w:r>
          </w:p>
        </w:tc>
        <w:tc>
          <w:tcPr>
            <w:tcW w:w="2280" w:type="dxa"/>
            <w:vAlign w:val="bottom"/>
            <w:shd w:val="clear" w:color="auto" w:fill="B7E4FF"/>
          </w:tcPr>
          <w:p>
            <w:pPr>
              <w:spacing w:after="0"/>
              <w:rPr>
                <w:sz w:val="20"/>
                <w:szCs w:val="20"/>
                <w:color w:val="auto"/>
              </w:rPr>
            </w:pPr>
            <w:r>
              <w:rPr>
                <w:rFonts w:ascii="Arial" w:cs="Arial" w:eastAsia="Arial" w:hAnsi="Arial"/>
                <w:sz w:val="14"/>
                <w:szCs w:val="14"/>
                <w:color w:val="4D4D4F"/>
              </w:rPr>
              <w:t>Professor of Engineering and</w:t>
            </w:r>
          </w:p>
        </w:tc>
        <w:tc>
          <w:tcPr>
            <w:tcW w:w="100" w:type="dxa"/>
            <w:vAlign w:val="bottom"/>
            <w:shd w:val="clear" w:color="auto" w:fill="B7E4FF"/>
          </w:tcPr>
          <w:p>
            <w:pPr>
              <w:spacing w:after="0"/>
              <w:rPr>
                <w:sz w:val="20"/>
                <w:szCs w:val="20"/>
                <w:color w:val="auto"/>
              </w:rPr>
            </w:pPr>
            <w:r>
              <w:rPr>
                <w:rFonts w:ascii="Arial" w:cs="Arial" w:eastAsia="Arial" w:hAnsi="Arial"/>
                <w:sz w:val="14"/>
                <w:szCs w:val="14"/>
                <w:color w:val="0079C0"/>
              </w:rPr>
              <w:t>•</w:t>
            </w:r>
          </w:p>
        </w:tc>
        <w:tc>
          <w:tcPr>
            <w:tcW w:w="1340" w:type="dxa"/>
            <w:vAlign w:val="bottom"/>
            <w:shd w:val="clear" w:color="auto" w:fill="B7E4FF"/>
          </w:tcPr>
          <w:p>
            <w:pPr>
              <w:ind w:left="60"/>
              <w:spacing w:after="0"/>
              <w:rPr>
                <w:sz w:val="20"/>
                <w:szCs w:val="20"/>
                <w:color w:val="auto"/>
              </w:rPr>
            </w:pPr>
            <w:r>
              <w:rPr>
                <w:rFonts w:ascii="Arial" w:cs="Arial" w:eastAsia="Arial" w:hAnsi="Arial"/>
                <w:sz w:val="14"/>
                <w:szCs w:val="14"/>
                <w:color w:val="4D4D4F"/>
              </w:rPr>
              <w:t>Innovation</w:t>
            </w:r>
          </w:p>
        </w:tc>
        <w:tc>
          <w:tcPr>
            <w:tcW w:w="560" w:type="dxa"/>
            <w:vAlign w:val="bottom"/>
            <w:shd w:val="clear" w:color="auto" w:fill="B7E4FF"/>
          </w:tcPr>
          <w:p>
            <w:pPr>
              <w:jc w:val="center"/>
              <w:ind w:right="51"/>
              <w:spacing w:after="0" w:line="141" w:lineRule="exact"/>
              <w:rPr>
                <w:sz w:val="20"/>
                <w:szCs w:val="20"/>
                <w:color w:val="auto"/>
              </w:rPr>
            </w:pPr>
            <w:r>
              <w:rPr>
                <w:rFonts w:ascii="MS PGothic" w:cs="MS PGothic" w:eastAsia="MS PGothic" w:hAnsi="MS PGothic"/>
                <w:sz w:val="14"/>
                <w:szCs w:val="14"/>
                <w:color w:val="auto"/>
                <w:w w:val="85"/>
                <w:shd w:val="clear" w:color="auto" w:fill="0079C0"/>
              </w:rPr>
              <w:t>✔</w:t>
            </w:r>
          </w:p>
        </w:tc>
        <w:tc>
          <w:tcPr>
            <w:tcW w:w="740" w:type="dxa"/>
            <w:vAlign w:val="bottom"/>
            <w:shd w:val="clear" w:color="auto" w:fill="B7E4FF"/>
          </w:tcPr>
          <w:p>
            <w:pPr>
              <w:ind w:left="640"/>
              <w:spacing w:after="0"/>
              <w:rPr>
                <w:sz w:val="20"/>
                <w:szCs w:val="20"/>
                <w:color w:val="auto"/>
              </w:rPr>
            </w:pPr>
            <w:r>
              <w:rPr>
                <w:rFonts w:ascii="Arial" w:cs="Arial" w:eastAsia="Arial" w:hAnsi="Arial"/>
                <w:sz w:val="14"/>
                <w:szCs w:val="14"/>
                <w:color w:val="003E64"/>
              </w:rPr>
              <w:t>•</w:t>
            </w:r>
          </w:p>
        </w:tc>
        <w:tc>
          <w:tcPr>
            <w:tcW w:w="1240" w:type="dxa"/>
            <w:vAlign w:val="bottom"/>
            <w:shd w:val="clear" w:color="auto" w:fill="B7E4FF"/>
          </w:tcPr>
          <w:p>
            <w:pPr>
              <w:ind w:left="60"/>
              <w:spacing w:after="0"/>
              <w:rPr>
                <w:sz w:val="20"/>
                <w:szCs w:val="20"/>
                <w:color w:val="auto"/>
              </w:rPr>
            </w:pPr>
            <w:r>
              <w:rPr>
                <w:rFonts w:ascii="Arial" w:cs="Arial" w:eastAsia="Arial" w:hAnsi="Arial"/>
                <w:sz w:val="14"/>
                <w:szCs w:val="14"/>
                <w:color w:val="4D4D4F"/>
              </w:rPr>
              <w:t>Nominating and</w:t>
            </w:r>
          </w:p>
        </w:tc>
        <w:tc>
          <w:tcPr>
            <w:tcW w:w="240" w:type="dxa"/>
            <w:vAlign w:val="bottom"/>
            <w:shd w:val="clear" w:color="auto" w:fill="B7E4FF"/>
          </w:tcPr>
          <w:p>
            <w:pPr>
              <w:ind w:left="140"/>
              <w:spacing w:after="0"/>
              <w:rPr>
                <w:sz w:val="20"/>
                <w:szCs w:val="20"/>
                <w:color w:val="auto"/>
              </w:rPr>
            </w:pPr>
            <w:r>
              <w:rPr>
                <w:rFonts w:ascii="Arial" w:cs="Arial" w:eastAsia="Arial" w:hAnsi="Arial"/>
                <w:sz w:val="14"/>
                <w:szCs w:val="14"/>
                <w:color w:val="003E64"/>
              </w:rPr>
              <w:t>•</w:t>
            </w:r>
          </w:p>
        </w:tc>
        <w:tc>
          <w:tcPr>
            <w:tcW w:w="1720" w:type="dxa"/>
            <w:vAlign w:val="bottom"/>
            <w:shd w:val="clear" w:color="auto" w:fill="B7E4FF"/>
          </w:tcPr>
          <w:p>
            <w:pPr>
              <w:ind w:left="40"/>
              <w:spacing w:after="0"/>
              <w:rPr>
                <w:sz w:val="20"/>
                <w:szCs w:val="20"/>
                <w:color w:val="auto"/>
              </w:rPr>
            </w:pPr>
            <w:r>
              <w:rPr>
                <w:rFonts w:ascii="Arial" w:cs="Arial" w:eastAsia="Arial" w:hAnsi="Arial"/>
                <w:sz w:val="14"/>
                <w:szCs w:val="14"/>
                <w:color w:val="4D4D4F"/>
              </w:rPr>
              <w:t>Ambarella, Inc.</w:t>
            </w:r>
          </w:p>
        </w:tc>
        <w:tc>
          <w:tcPr>
            <w:tcW w:w="0" w:type="dxa"/>
            <w:vAlign w:val="bottom"/>
          </w:tcPr>
          <w:p>
            <w:pPr>
              <w:spacing w:after="0"/>
              <w:rPr>
                <w:sz w:val="1"/>
                <w:szCs w:val="1"/>
                <w:color w:val="auto"/>
              </w:rPr>
            </w:pPr>
          </w:p>
        </w:tc>
      </w:tr>
      <w:tr>
        <w:trPr>
          <w:trHeight w:val="184"/>
        </w:trPr>
        <w:tc>
          <w:tcPr>
            <w:tcW w:w="1560" w:type="dxa"/>
            <w:vAlign w:val="bottom"/>
            <w:shd w:val="clear" w:color="auto" w:fill="B7E4FF"/>
          </w:tcPr>
          <w:p>
            <w:pPr>
              <w:spacing w:after="0"/>
              <w:rPr>
                <w:sz w:val="16"/>
                <w:szCs w:val="16"/>
                <w:color w:val="auto"/>
              </w:rPr>
            </w:pPr>
          </w:p>
        </w:tc>
        <w:tc>
          <w:tcPr>
            <w:tcW w:w="440" w:type="dxa"/>
            <w:vAlign w:val="bottom"/>
            <w:shd w:val="clear" w:color="auto" w:fill="B7E4FF"/>
          </w:tcPr>
          <w:p>
            <w:pPr>
              <w:spacing w:after="0"/>
              <w:rPr>
                <w:sz w:val="16"/>
                <w:szCs w:val="16"/>
                <w:color w:val="auto"/>
              </w:rPr>
            </w:pPr>
          </w:p>
        </w:tc>
        <w:tc>
          <w:tcPr>
            <w:tcW w:w="880" w:type="dxa"/>
            <w:vAlign w:val="bottom"/>
            <w:shd w:val="clear" w:color="auto" w:fill="B7E4FF"/>
          </w:tcPr>
          <w:p>
            <w:pPr>
              <w:spacing w:after="0"/>
              <w:rPr>
                <w:sz w:val="16"/>
                <w:szCs w:val="16"/>
                <w:color w:val="auto"/>
              </w:rPr>
            </w:pPr>
          </w:p>
        </w:tc>
        <w:tc>
          <w:tcPr>
            <w:tcW w:w="2280" w:type="dxa"/>
            <w:vAlign w:val="bottom"/>
            <w:shd w:val="clear" w:color="auto" w:fill="B7E4FF"/>
          </w:tcPr>
          <w:p>
            <w:pPr>
              <w:spacing w:after="0"/>
              <w:rPr>
                <w:sz w:val="20"/>
                <w:szCs w:val="20"/>
                <w:color w:val="auto"/>
              </w:rPr>
            </w:pPr>
            <w:r>
              <w:rPr>
                <w:rFonts w:ascii="Arial" w:cs="Arial" w:eastAsia="Arial" w:hAnsi="Arial"/>
                <w:sz w:val="14"/>
                <w:szCs w:val="14"/>
                <w:color w:val="4D4D4F"/>
              </w:rPr>
              <w:t>Computer Sciences, University of</w:t>
            </w:r>
          </w:p>
        </w:tc>
        <w:tc>
          <w:tcPr>
            <w:tcW w:w="100" w:type="dxa"/>
            <w:vAlign w:val="bottom"/>
            <w:shd w:val="clear" w:color="auto" w:fill="B7E4FF"/>
          </w:tcPr>
          <w:p>
            <w:pPr>
              <w:spacing w:after="0"/>
              <w:rPr>
                <w:sz w:val="20"/>
                <w:szCs w:val="20"/>
                <w:color w:val="auto"/>
              </w:rPr>
            </w:pPr>
            <w:r>
              <w:rPr>
                <w:rFonts w:ascii="Arial" w:cs="Arial" w:eastAsia="Arial" w:hAnsi="Arial"/>
                <w:sz w:val="14"/>
                <w:szCs w:val="14"/>
                <w:color w:val="0079C0"/>
              </w:rPr>
              <w:t>•</w:t>
            </w:r>
          </w:p>
        </w:tc>
        <w:tc>
          <w:tcPr>
            <w:tcW w:w="1340" w:type="dxa"/>
            <w:vAlign w:val="bottom"/>
            <w:shd w:val="clear" w:color="auto" w:fill="B7E4FF"/>
          </w:tcPr>
          <w:p>
            <w:pPr>
              <w:ind w:left="60"/>
              <w:spacing w:after="0"/>
              <w:rPr>
                <w:sz w:val="20"/>
                <w:szCs w:val="20"/>
                <w:color w:val="auto"/>
              </w:rPr>
            </w:pPr>
            <w:r>
              <w:rPr>
                <w:rFonts w:ascii="Arial" w:cs="Arial" w:eastAsia="Arial" w:hAnsi="Arial"/>
                <w:sz w:val="14"/>
                <w:szCs w:val="14"/>
                <w:color w:val="4D4D4F"/>
              </w:rPr>
              <w:t>Industry</w:t>
            </w:r>
          </w:p>
        </w:tc>
        <w:tc>
          <w:tcPr>
            <w:tcW w:w="560" w:type="dxa"/>
            <w:vAlign w:val="bottom"/>
            <w:shd w:val="clear" w:color="auto" w:fill="B7E4FF"/>
          </w:tcPr>
          <w:p>
            <w:pPr>
              <w:spacing w:after="0"/>
              <w:rPr>
                <w:sz w:val="16"/>
                <w:szCs w:val="16"/>
                <w:color w:val="auto"/>
              </w:rPr>
            </w:pPr>
          </w:p>
        </w:tc>
        <w:tc>
          <w:tcPr>
            <w:tcW w:w="740" w:type="dxa"/>
            <w:vAlign w:val="bottom"/>
            <w:shd w:val="clear" w:color="auto" w:fill="B7E4FF"/>
          </w:tcPr>
          <w:p>
            <w:pPr>
              <w:spacing w:after="0"/>
              <w:rPr>
                <w:sz w:val="16"/>
                <w:szCs w:val="16"/>
                <w:color w:val="auto"/>
              </w:rPr>
            </w:pPr>
          </w:p>
        </w:tc>
        <w:tc>
          <w:tcPr>
            <w:tcW w:w="1240" w:type="dxa"/>
            <w:vAlign w:val="bottom"/>
            <w:shd w:val="clear" w:color="auto" w:fill="B7E4FF"/>
          </w:tcPr>
          <w:p>
            <w:pPr>
              <w:ind w:left="60"/>
              <w:spacing w:after="0"/>
              <w:rPr>
                <w:sz w:val="20"/>
                <w:szCs w:val="20"/>
                <w:color w:val="auto"/>
              </w:rPr>
            </w:pPr>
            <w:r>
              <w:rPr>
                <w:rFonts w:ascii="Arial" w:cs="Arial" w:eastAsia="Arial" w:hAnsi="Arial"/>
                <w:sz w:val="14"/>
                <w:szCs w:val="14"/>
                <w:color w:val="4D4D4F"/>
              </w:rPr>
              <w:t>Governance</w:t>
            </w:r>
          </w:p>
        </w:tc>
        <w:tc>
          <w:tcPr>
            <w:tcW w:w="240" w:type="dxa"/>
            <w:vAlign w:val="bottom"/>
            <w:shd w:val="clear" w:color="auto" w:fill="B7E4FF"/>
          </w:tcPr>
          <w:p>
            <w:pPr>
              <w:ind w:left="140"/>
              <w:spacing w:after="0"/>
              <w:rPr>
                <w:sz w:val="20"/>
                <w:szCs w:val="20"/>
                <w:color w:val="auto"/>
              </w:rPr>
            </w:pPr>
            <w:r>
              <w:rPr>
                <w:rFonts w:ascii="Arial" w:cs="Arial" w:eastAsia="Arial" w:hAnsi="Arial"/>
                <w:sz w:val="14"/>
                <w:szCs w:val="14"/>
                <w:color w:val="003E64"/>
              </w:rPr>
              <w:t>•</w:t>
            </w:r>
          </w:p>
        </w:tc>
        <w:tc>
          <w:tcPr>
            <w:tcW w:w="1720" w:type="dxa"/>
            <w:vAlign w:val="bottom"/>
            <w:shd w:val="clear" w:color="auto" w:fill="B7E4FF"/>
          </w:tcPr>
          <w:p>
            <w:pPr>
              <w:ind w:left="40"/>
              <w:spacing w:after="0"/>
              <w:rPr>
                <w:sz w:val="20"/>
                <w:szCs w:val="20"/>
                <w:color w:val="auto"/>
              </w:rPr>
            </w:pPr>
            <w:r>
              <w:rPr>
                <w:rFonts w:ascii="Arial" w:cs="Arial" w:eastAsia="Arial" w:hAnsi="Arial"/>
                <w:sz w:val="14"/>
                <w:szCs w:val="14"/>
                <w:color w:val="4D4D4F"/>
              </w:rPr>
              <w:t>Inphi Corporation</w:t>
            </w:r>
          </w:p>
        </w:tc>
        <w:tc>
          <w:tcPr>
            <w:tcW w:w="0" w:type="dxa"/>
            <w:vAlign w:val="bottom"/>
          </w:tcPr>
          <w:p>
            <w:pPr>
              <w:spacing w:after="0"/>
              <w:rPr>
                <w:sz w:val="1"/>
                <w:szCs w:val="1"/>
                <w:color w:val="auto"/>
              </w:rPr>
            </w:pPr>
          </w:p>
        </w:tc>
      </w:tr>
      <w:tr>
        <w:trPr>
          <w:trHeight w:val="172"/>
        </w:trPr>
        <w:tc>
          <w:tcPr>
            <w:tcW w:w="1560" w:type="dxa"/>
            <w:vAlign w:val="bottom"/>
            <w:shd w:val="clear" w:color="auto" w:fill="B7E4FF"/>
          </w:tcPr>
          <w:p>
            <w:pPr>
              <w:spacing w:after="0"/>
              <w:rPr>
                <w:sz w:val="14"/>
                <w:szCs w:val="14"/>
                <w:color w:val="auto"/>
              </w:rPr>
            </w:pPr>
          </w:p>
        </w:tc>
        <w:tc>
          <w:tcPr>
            <w:tcW w:w="440" w:type="dxa"/>
            <w:vAlign w:val="bottom"/>
            <w:shd w:val="clear" w:color="auto" w:fill="B7E4FF"/>
          </w:tcPr>
          <w:p>
            <w:pPr>
              <w:spacing w:after="0"/>
              <w:rPr>
                <w:sz w:val="14"/>
                <w:szCs w:val="14"/>
                <w:color w:val="auto"/>
              </w:rPr>
            </w:pPr>
          </w:p>
        </w:tc>
        <w:tc>
          <w:tcPr>
            <w:tcW w:w="880" w:type="dxa"/>
            <w:vAlign w:val="bottom"/>
            <w:shd w:val="clear" w:color="auto" w:fill="B7E4FF"/>
          </w:tcPr>
          <w:p>
            <w:pPr>
              <w:spacing w:after="0"/>
              <w:rPr>
                <w:sz w:val="14"/>
                <w:szCs w:val="14"/>
                <w:color w:val="auto"/>
              </w:rPr>
            </w:pPr>
          </w:p>
        </w:tc>
        <w:tc>
          <w:tcPr>
            <w:tcW w:w="2280" w:type="dxa"/>
            <w:vAlign w:val="bottom"/>
            <w:shd w:val="clear" w:color="auto" w:fill="B7E4FF"/>
          </w:tcPr>
          <w:p>
            <w:pPr>
              <w:spacing w:after="0"/>
              <w:rPr>
                <w:sz w:val="20"/>
                <w:szCs w:val="20"/>
                <w:color w:val="auto"/>
              </w:rPr>
            </w:pPr>
            <w:r>
              <w:rPr>
                <w:rFonts w:ascii="Arial" w:cs="Arial" w:eastAsia="Arial" w:hAnsi="Arial"/>
                <w:sz w:val="14"/>
                <w:szCs w:val="14"/>
                <w:color w:val="4D4D4F"/>
              </w:rPr>
              <w:t>California, Berkeley</w:t>
            </w:r>
          </w:p>
        </w:tc>
        <w:tc>
          <w:tcPr>
            <w:tcW w:w="100" w:type="dxa"/>
            <w:vAlign w:val="bottom"/>
            <w:vMerge w:val="restart"/>
            <w:shd w:val="clear" w:color="auto" w:fill="B7E4FF"/>
          </w:tcPr>
          <w:p>
            <w:pPr>
              <w:spacing w:after="0"/>
              <w:rPr>
                <w:sz w:val="20"/>
                <w:szCs w:val="20"/>
                <w:color w:val="auto"/>
              </w:rPr>
            </w:pPr>
            <w:r>
              <w:rPr>
                <w:rFonts w:ascii="Arial" w:cs="Arial" w:eastAsia="Arial" w:hAnsi="Arial"/>
                <w:sz w:val="14"/>
                <w:szCs w:val="14"/>
                <w:color w:val="0079C0"/>
              </w:rPr>
              <w:t>•</w:t>
            </w:r>
          </w:p>
        </w:tc>
        <w:tc>
          <w:tcPr>
            <w:tcW w:w="1340" w:type="dxa"/>
            <w:vAlign w:val="bottom"/>
            <w:vMerge w:val="restart"/>
            <w:shd w:val="clear" w:color="auto" w:fill="B7E4FF"/>
          </w:tcPr>
          <w:p>
            <w:pPr>
              <w:ind w:left="60"/>
              <w:spacing w:after="0"/>
              <w:rPr>
                <w:sz w:val="20"/>
                <w:szCs w:val="20"/>
                <w:color w:val="auto"/>
              </w:rPr>
            </w:pPr>
            <w:r>
              <w:rPr>
                <w:rFonts w:ascii="Arial" w:cs="Arial" w:eastAsia="Arial" w:hAnsi="Arial"/>
                <w:sz w:val="14"/>
                <w:szCs w:val="14"/>
                <w:color w:val="4D4D4F"/>
              </w:rPr>
              <w:t>Education</w:t>
            </w:r>
          </w:p>
        </w:tc>
        <w:tc>
          <w:tcPr>
            <w:tcW w:w="560" w:type="dxa"/>
            <w:vAlign w:val="bottom"/>
            <w:shd w:val="clear" w:color="auto" w:fill="B7E4FF"/>
          </w:tcPr>
          <w:p>
            <w:pPr>
              <w:spacing w:after="0"/>
              <w:rPr>
                <w:sz w:val="14"/>
                <w:szCs w:val="14"/>
                <w:color w:val="auto"/>
              </w:rPr>
            </w:pPr>
          </w:p>
        </w:tc>
        <w:tc>
          <w:tcPr>
            <w:tcW w:w="740" w:type="dxa"/>
            <w:vAlign w:val="bottom"/>
            <w:shd w:val="clear" w:color="auto" w:fill="B7E4FF"/>
          </w:tcPr>
          <w:p>
            <w:pPr>
              <w:spacing w:after="0"/>
              <w:rPr>
                <w:sz w:val="14"/>
                <w:szCs w:val="14"/>
                <w:color w:val="auto"/>
              </w:rPr>
            </w:pPr>
          </w:p>
        </w:tc>
        <w:tc>
          <w:tcPr>
            <w:tcW w:w="1240" w:type="dxa"/>
            <w:vAlign w:val="bottom"/>
            <w:shd w:val="clear" w:color="auto" w:fill="B7E4FF"/>
          </w:tcPr>
          <w:p>
            <w:pPr>
              <w:spacing w:after="0"/>
              <w:rPr>
                <w:sz w:val="14"/>
                <w:szCs w:val="14"/>
                <w:color w:val="auto"/>
              </w:rPr>
            </w:pPr>
          </w:p>
        </w:tc>
        <w:tc>
          <w:tcPr>
            <w:tcW w:w="240" w:type="dxa"/>
            <w:vAlign w:val="bottom"/>
            <w:shd w:val="clear" w:color="auto" w:fill="B7E4FF"/>
          </w:tcPr>
          <w:p>
            <w:pPr>
              <w:spacing w:after="0"/>
              <w:rPr>
                <w:sz w:val="14"/>
                <w:szCs w:val="14"/>
                <w:color w:val="auto"/>
              </w:rPr>
            </w:pPr>
          </w:p>
        </w:tc>
        <w:tc>
          <w:tcPr>
            <w:tcW w:w="1720" w:type="dxa"/>
            <w:vAlign w:val="bottom"/>
            <w:shd w:val="clear" w:color="auto" w:fill="B7E4FF"/>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1560" w:type="dxa"/>
            <w:vAlign w:val="bottom"/>
            <w:shd w:val="clear" w:color="auto" w:fill="B7E4FF"/>
          </w:tcPr>
          <w:p>
            <w:pPr>
              <w:spacing w:after="0"/>
              <w:rPr>
                <w:sz w:val="7"/>
                <w:szCs w:val="7"/>
                <w:color w:val="auto"/>
              </w:rPr>
            </w:pPr>
          </w:p>
        </w:tc>
        <w:tc>
          <w:tcPr>
            <w:tcW w:w="440" w:type="dxa"/>
            <w:vAlign w:val="bottom"/>
            <w:shd w:val="clear" w:color="auto" w:fill="B7E4FF"/>
          </w:tcPr>
          <w:p>
            <w:pPr>
              <w:spacing w:after="0"/>
              <w:rPr>
                <w:sz w:val="7"/>
                <w:szCs w:val="7"/>
                <w:color w:val="auto"/>
              </w:rPr>
            </w:pPr>
          </w:p>
        </w:tc>
        <w:tc>
          <w:tcPr>
            <w:tcW w:w="880" w:type="dxa"/>
            <w:vAlign w:val="bottom"/>
            <w:shd w:val="clear" w:color="auto" w:fill="B7E4FF"/>
          </w:tcPr>
          <w:p>
            <w:pPr>
              <w:spacing w:after="0"/>
              <w:rPr>
                <w:sz w:val="7"/>
                <w:szCs w:val="7"/>
                <w:color w:val="auto"/>
              </w:rPr>
            </w:pPr>
          </w:p>
        </w:tc>
        <w:tc>
          <w:tcPr>
            <w:tcW w:w="2280" w:type="dxa"/>
            <w:vAlign w:val="bottom"/>
            <w:shd w:val="clear" w:color="auto" w:fill="B7E4FF"/>
          </w:tcPr>
          <w:p>
            <w:pPr>
              <w:spacing w:after="0"/>
              <w:rPr>
                <w:sz w:val="7"/>
                <w:szCs w:val="7"/>
                <w:color w:val="auto"/>
              </w:rPr>
            </w:pPr>
          </w:p>
        </w:tc>
        <w:tc>
          <w:tcPr>
            <w:tcW w:w="100" w:type="dxa"/>
            <w:vAlign w:val="bottom"/>
            <w:vMerge w:val="continue"/>
            <w:shd w:val="clear" w:color="auto" w:fill="B7E4FF"/>
          </w:tcPr>
          <w:p>
            <w:pPr>
              <w:spacing w:after="0"/>
              <w:rPr>
                <w:sz w:val="7"/>
                <w:szCs w:val="7"/>
                <w:color w:val="auto"/>
              </w:rPr>
            </w:pPr>
          </w:p>
        </w:tc>
        <w:tc>
          <w:tcPr>
            <w:tcW w:w="1340" w:type="dxa"/>
            <w:vAlign w:val="bottom"/>
            <w:vMerge w:val="continue"/>
            <w:shd w:val="clear" w:color="auto" w:fill="B7E4FF"/>
          </w:tcPr>
          <w:p>
            <w:pPr>
              <w:spacing w:after="0"/>
              <w:rPr>
                <w:sz w:val="7"/>
                <w:szCs w:val="7"/>
                <w:color w:val="auto"/>
              </w:rPr>
            </w:pPr>
          </w:p>
        </w:tc>
        <w:tc>
          <w:tcPr>
            <w:tcW w:w="560" w:type="dxa"/>
            <w:vAlign w:val="bottom"/>
            <w:shd w:val="clear" w:color="auto" w:fill="B7E4FF"/>
          </w:tcPr>
          <w:p>
            <w:pPr>
              <w:spacing w:after="0"/>
              <w:rPr>
                <w:sz w:val="7"/>
                <w:szCs w:val="7"/>
                <w:color w:val="auto"/>
              </w:rPr>
            </w:pPr>
          </w:p>
        </w:tc>
        <w:tc>
          <w:tcPr>
            <w:tcW w:w="740" w:type="dxa"/>
            <w:vAlign w:val="bottom"/>
            <w:shd w:val="clear" w:color="auto" w:fill="B7E4FF"/>
          </w:tcPr>
          <w:p>
            <w:pPr>
              <w:spacing w:after="0"/>
              <w:rPr>
                <w:sz w:val="7"/>
                <w:szCs w:val="7"/>
                <w:color w:val="auto"/>
              </w:rPr>
            </w:pPr>
          </w:p>
        </w:tc>
        <w:tc>
          <w:tcPr>
            <w:tcW w:w="1240" w:type="dxa"/>
            <w:vAlign w:val="bottom"/>
            <w:shd w:val="clear" w:color="auto" w:fill="B7E4FF"/>
          </w:tcPr>
          <w:p>
            <w:pPr>
              <w:spacing w:after="0"/>
              <w:rPr>
                <w:sz w:val="7"/>
                <w:szCs w:val="7"/>
                <w:color w:val="auto"/>
              </w:rPr>
            </w:pPr>
          </w:p>
        </w:tc>
        <w:tc>
          <w:tcPr>
            <w:tcW w:w="240" w:type="dxa"/>
            <w:vAlign w:val="bottom"/>
            <w:shd w:val="clear" w:color="auto" w:fill="B7E4FF"/>
          </w:tcPr>
          <w:p>
            <w:pPr>
              <w:spacing w:after="0"/>
              <w:rPr>
                <w:sz w:val="7"/>
                <w:szCs w:val="7"/>
                <w:color w:val="auto"/>
              </w:rPr>
            </w:pPr>
          </w:p>
        </w:tc>
        <w:tc>
          <w:tcPr>
            <w:tcW w:w="1720" w:type="dxa"/>
            <w:vAlign w:val="bottom"/>
            <w:shd w:val="clear" w:color="auto" w:fill="B7E4FF"/>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1560" w:type="dxa"/>
            <w:vAlign w:val="bottom"/>
            <w:shd w:val="clear" w:color="auto" w:fill="B7E4FF"/>
          </w:tcPr>
          <w:p>
            <w:pPr>
              <w:spacing w:after="0"/>
              <w:rPr>
                <w:sz w:val="6"/>
                <w:szCs w:val="6"/>
                <w:color w:val="auto"/>
              </w:rPr>
            </w:pPr>
          </w:p>
        </w:tc>
        <w:tc>
          <w:tcPr>
            <w:tcW w:w="440" w:type="dxa"/>
            <w:vAlign w:val="bottom"/>
            <w:shd w:val="clear" w:color="auto" w:fill="B7E4FF"/>
          </w:tcPr>
          <w:p>
            <w:pPr>
              <w:spacing w:after="0"/>
              <w:rPr>
                <w:sz w:val="6"/>
                <w:szCs w:val="6"/>
                <w:color w:val="auto"/>
              </w:rPr>
            </w:pPr>
          </w:p>
        </w:tc>
        <w:tc>
          <w:tcPr>
            <w:tcW w:w="880" w:type="dxa"/>
            <w:vAlign w:val="bottom"/>
            <w:shd w:val="clear" w:color="auto" w:fill="B7E4FF"/>
          </w:tcPr>
          <w:p>
            <w:pPr>
              <w:spacing w:after="0"/>
              <w:rPr>
                <w:sz w:val="6"/>
                <w:szCs w:val="6"/>
                <w:color w:val="auto"/>
              </w:rPr>
            </w:pPr>
          </w:p>
        </w:tc>
        <w:tc>
          <w:tcPr>
            <w:tcW w:w="2280" w:type="dxa"/>
            <w:vAlign w:val="bottom"/>
            <w:shd w:val="clear" w:color="auto" w:fill="B7E4FF"/>
          </w:tcPr>
          <w:p>
            <w:pPr>
              <w:spacing w:after="0"/>
              <w:rPr>
                <w:sz w:val="6"/>
                <w:szCs w:val="6"/>
                <w:color w:val="auto"/>
              </w:rPr>
            </w:pPr>
          </w:p>
        </w:tc>
        <w:tc>
          <w:tcPr>
            <w:tcW w:w="100" w:type="dxa"/>
            <w:vAlign w:val="bottom"/>
            <w:shd w:val="clear" w:color="auto" w:fill="B7E4FF"/>
          </w:tcPr>
          <w:p>
            <w:pPr>
              <w:spacing w:after="0"/>
              <w:rPr>
                <w:sz w:val="6"/>
                <w:szCs w:val="6"/>
                <w:color w:val="auto"/>
              </w:rPr>
            </w:pPr>
          </w:p>
        </w:tc>
        <w:tc>
          <w:tcPr>
            <w:tcW w:w="1340" w:type="dxa"/>
            <w:vAlign w:val="bottom"/>
            <w:shd w:val="clear" w:color="auto" w:fill="B7E4FF"/>
          </w:tcPr>
          <w:p>
            <w:pPr>
              <w:spacing w:after="0"/>
              <w:rPr>
                <w:sz w:val="6"/>
                <w:szCs w:val="6"/>
                <w:color w:val="auto"/>
              </w:rPr>
            </w:pPr>
          </w:p>
        </w:tc>
        <w:tc>
          <w:tcPr>
            <w:tcW w:w="560" w:type="dxa"/>
            <w:vAlign w:val="bottom"/>
            <w:shd w:val="clear" w:color="auto" w:fill="B7E4FF"/>
          </w:tcPr>
          <w:p>
            <w:pPr>
              <w:spacing w:after="0"/>
              <w:rPr>
                <w:sz w:val="6"/>
                <w:szCs w:val="6"/>
                <w:color w:val="auto"/>
              </w:rPr>
            </w:pPr>
          </w:p>
        </w:tc>
        <w:tc>
          <w:tcPr>
            <w:tcW w:w="740" w:type="dxa"/>
            <w:vAlign w:val="bottom"/>
            <w:shd w:val="clear" w:color="auto" w:fill="B7E4FF"/>
          </w:tcPr>
          <w:p>
            <w:pPr>
              <w:spacing w:after="0"/>
              <w:rPr>
                <w:sz w:val="6"/>
                <w:szCs w:val="6"/>
                <w:color w:val="auto"/>
              </w:rPr>
            </w:pPr>
          </w:p>
        </w:tc>
        <w:tc>
          <w:tcPr>
            <w:tcW w:w="1240" w:type="dxa"/>
            <w:vAlign w:val="bottom"/>
            <w:shd w:val="clear" w:color="auto" w:fill="B7E4FF"/>
          </w:tcPr>
          <w:p>
            <w:pPr>
              <w:spacing w:after="0"/>
              <w:rPr>
                <w:sz w:val="6"/>
                <w:szCs w:val="6"/>
                <w:color w:val="auto"/>
              </w:rPr>
            </w:pPr>
          </w:p>
        </w:tc>
        <w:tc>
          <w:tcPr>
            <w:tcW w:w="240" w:type="dxa"/>
            <w:vAlign w:val="bottom"/>
            <w:shd w:val="clear" w:color="auto" w:fill="B7E4FF"/>
          </w:tcPr>
          <w:p>
            <w:pPr>
              <w:spacing w:after="0"/>
              <w:rPr>
                <w:sz w:val="6"/>
                <w:szCs w:val="6"/>
                <w:color w:val="auto"/>
              </w:rPr>
            </w:pPr>
          </w:p>
        </w:tc>
        <w:tc>
          <w:tcPr>
            <w:tcW w:w="1720" w:type="dxa"/>
            <w:vAlign w:val="bottom"/>
            <w:shd w:val="clear" w:color="auto" w:fill="B7E4FF"/>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1560" w:type="dxa"/>
            <w:vAlign w:val="bottom"/>
          </w:tcPr>
          <w:p>
            <w:pPr>
              <w:spacing w:after="0"/>
              <w:rPr>
                <w:sz w:val="20"/>
                <w:szCs w:val="20"/>
                <w:color w:val="auto"/>
              </w:rPr>
            </w:pPr>
            <w:r>
              <w:rPr>
                <w:rFonts w:ascii="Arial" w:cs="Arial" w:eastAsia="Arial" w:hAnsi="Arial"/>
                <w:sz w:val="14"/>
                <w:szCs w:val="14"/>
                <w:color w:val="4D4D4F"/>
              </w:rPr>
              <w:t>Tracy Liu</w:t>
            </w:r>
          </w:p>
        </w:tc>
        <w:tc>
          <w:tcPr>
            <w:tcW w:w="440" w:type="dxa"/>
            <w:vAlign w:val="bottom"/>
          </w:tcPr>
          <w:p>
            <w:pPr>
              <w:jc w:val="center"/>
              <w:spacing w:after="0"/>
              <w:rPr>
                <w:sz w:val="20"/>
                <w:szCs w:val="20"/>
                <w:color w:val="auto"/>
              </w:rPr>
            </w:pPr>
            <w:r>
              <w:rPr>
                <w:rFonts w:ascii="Arial" w:cs="Arial" w:eastAsia="Arial" w:hAnsi="Arial"/>
                <w:sz w:val="14"/>
                <w:szCs w:val="14"/>
                <w:color w:val="4D4D4F"/>
              </w:rPr>
              <w:t>56</w:t>
            </w:r>
          </w:p>
        </w:tc>
        <w:tc>
          <w:tcPr>
            <w:tcW w:w="880" w:type="dxa"/>
            <w:vAlign w:val="bottom"/>
          </w:tcPr>
          <w:p>
            <w:pPr>
              <w:jc w:val="center"/>
              <w:spacing w:after="0"/>
              <w:rPr>
                <w:sz w:val="20"/>
                <w:szCs w:val="20"/>
                <w:color w:val="auto"/>
              </w:rPr>
            </w:pPr>
            <w:r>
              <w:rPr>
                <w:rFonts w:ascii="Arial" w:cs="Arial" w:eastAsia="Arial" w:hAnsi="Arial"/>
                <w:sz w:val="14"/>
                <w:szCs w:val="14"/>
                <w:color w:val="4D4D4F"/>
              </w:rPr>
              <w:t>2016</w:t>
            </w:r>
          </w:p>
        </w:tc>
        <w:tc>
          <w:tcPr>
            <w:tcW w:w="2280" w:type="dxa"/>
            <w:vAlign w:val="bottom"/>
          </w:tcPr>
          <w:p>
            <w:pPr>
              <w:spacing w:after="0"/>
              <w:rPr>
                <w:sz w:val="20"/>
                <w:szCs w:val="20"/>
                <w:color w:val="auto"/>
              </w:rPr>
            </w:pPr>
            <w:r>
              <w:rPr>
                <w:rFonts w:ascii="Arial" w:cs="Arial" w:eastAsia="Arial" w:hAnsi="Arial"/>
                <w:sz w:val="14"/>
                <w:szCs w:val="14"/>
                <w:color w:val="4D4D4F"/>
              </w:rPr>
              <w:t>Managing Partner of H&amp;M Int’l</w:t>
            </w:r>
          </w:p>
        </w:tc>
        <w:tc>
          <w:tcPr>
            <w:tcW w:w="100" w:type="dxa"/>
            <w:vAlign w:val="bottom"/>
          </w:tcPr>
          <w:p>
            <w:pPr>
              <w:spacing w:after="0"/>
              <w:rPr>
                <w:sz w:val="20"/>
                <w:szCs w:val="20"/>
                <w:color w:val="auto"/>
              </w:rPr>
            </w:pPr>
            <w:r>
              <w:rPr>
                <w:rFonts w:ascii="Arial" w:cs="Arial" w:eastAsia="Arial" w:hAnsi="Arial"/>
                <w:sz w:val="14"/>
                <w:szCs w:val="14"/>
                <w:color w:val="003E64"/>
              </w:rPr>
              <w:t>•</w:t>
            </w:r>
          </w:p>
        </w:tc>
        <w:tc>
          <w:tcPr>
            <w:tcW w:w="1340" w:type="dxa"/>
            <w:vAlign w:val="bottom"/>
          </w:tcPr>
          <w:p>
            <w:pPr>
              <w:ind w:left="60"/>
              <w:spacing w:after="0"/>
              <w:rPr>
                <w:sz w:val="20"/>
                <w:szCs w:val="20"/>
                <w:color w:val="auto"/>
              </w:rPr>
            </w:pPr>
            <w:r>
              <w:rPr>
                <w:rFonts w:ascii="Arial" w:cs="Arial" w:eastAsia="Arial" w:hAnsi="Arial"/>
                <w:sz w:val="14"/>
                <w:szCs w:val="14"/>
                <w:color w:val="4D4D4F"/>
              </w:rPr>
              <w:t>Finance</w:t>
            </w:r>
          </w:p>
        </w:tc>
        <w:tc>
          <w:tcPr>
            <w:tcW w:w="560" w:type="dxa"/>
            <w:vAlign w:val="bottom"/>
          </w:tcPr>
          <w:p>
            <w:pPr>
              <w:jc w:val="center"/>
              <w:ind w:right="51"/>
              <w:spacing w:after="0" w:line="141" w:lineRule="exact"/>
              <w:rPr>
                <w:sz w:val="20"/>
                <w:szCs w:val="20"/>
                <w:color w:val="auto"/>
              </w:rPr>
            </w:pPr>
            <w:r>
              <w:rPr>
                <w:rFonts w:ascii="MS PGothic" w:cs="MS PGothic" w:eastAsia="MS PGothic" w:hAnsi="MS PGothic"/>
                <w:sz w:val="14"/>
                <w:szCs w:val="14"/>
                <w:color w:val="auto"/>
                <w:w w:val="85"/>
                <w:shd w:val="clear" w:color="auto" w:fill="003E64"/>
              </w:rPr>
              <w:t>✔</w:t>
            </w:r>
          </w:p>
        </w:tc>
        <w:tc>
          <w:tcPr>
            <w:tcW w:w="740" w:type="dxa"/>
            <w:vAlign w:val="bottom"/>
          </w:tcPr>
          <w:p>
            <w:pPr>
              <w:ind w:left="640"/>
              <w:spacing w:after="0"/>
              <w:rPr>
                <w:sz w:val="20"/>
                <w:szCs w:val="20"/>
                <w:color w:val="auto"/>
              </w:rPr>
            </w:pPr>
            <w:r>
              <w:rPr>
                <w:rFonts w:ascii="Arial" w:cs="Arial" w:eastAsia="Arial" w:hAnsi="Arial"/>
                <w:sz w:val="14"/>
                <w:szCs w:val="14"/>
                <w:color w:val="003E64"/>
              </w:rPr>
              <w:t>•</w:t>
            </w:r>
          </w:p>
        </w:tc>
        <w:tc>
          <w:tcPr>
            <w:tcW w:w="1240" w:type="dxa"/>
            <w:vAlign w:val="bottom"/>
          </w:tcPr>
          <w:p>
            <w:pPr>
              <w:ind w:left="60"/>
              <w:spacing w:after="0"/>
              <w:rPr>
                <w:sz w:val="20"/>
                <w:szCs w:val="20"/>
                <w:color w:val="auto"/>
              </w:rPr>
            </w:pPr>
            <w:r>
              <w:rPr>
                <w:rFonts w:ascii="Arial" w:cs="Arial" w:eastAsia="Arial" w:hAnsi="Arial"/>
                <w:sz w:val="14"/>
                <w:szCs w:val="14"/>
                <w:color w:val="4D4D4F"/>
              </w:rPr>
              <w:t>Audit</w:t>
            </w:r>
          </w:p>
        </w:tc>
        <w:tc>
          <w:tcPr>
            <w:tcW w:w="2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80" w:type="dxa"/>
            <w:vAlign w:val="bottom"/>
          </w:tcPr>
          <w:p>
            <w:pPr>
              <w:spacing w:after="0"/>
              <w:rPr>
                <w:sz w:val="20"/>
                <w:szCs w:val="20"/>
                <w:color w:val="auto"/>
              </w:rPr>
            </w:pPr>
            <w:r>
              <w:rPr>
                <w:rFonts w:ascii="Arial" w:cs="Arial" w:eastAsia="Arial" w:hAnsi="Arial"/>
                <w:sz w:val="14"/>
                <w:szCs w:val="14"/>
                <w:color w:val="4D4D4F"/>
              </w:rPr>
              <w:t>CPAs, LLP</w:t>
            </w:r>
          </w:p>
        </w:tc>
        <w:tc>
          <w:tcPr>
            <w:tcW w:w="100" w:type="dxa"/>
            <w:vAlign w:val="bottom"/>
            <w:vMerge w:val="restart"/>
          </w:tcPr>
          <w:p>
            <w:pPr>
              <w:spacing w:after="0"/>
              <w:rPr>
                <w:sz w:val="20"/>
                <w:szCs w:val="20"/>
                <w:color w:val="auto"/>
              </w:rPr>
            </w:pPr>
            <w:r>
              <w:rPr>
                <w:rFonts w:ascii="Arial" w:cs="Arial" w:eastAsia="Arial" w:hAnsi="Arial"/>
                <w:sz w:val="14"/>
                <w:szCs w:val="14"/>
                <w:color w:val="003E64"/>
              </w:rPr>
              <w:t>•</w:t>
            </w:r>
          </w:p>
        </w:tc>
        <w:tc>
          <w:tcPr>
            <w:tcW w:w="1340" w:type="dxa"/>
            <w:vAlign w:val="bottom"/>
            <w:vMerge w:val="restart"/>
          </w:tcPr>
          <w:p>
            <w:pPr>
              <w:ind w:left="60"/>
              <w:spacing w:after="0"/>
              <w:rPr>
                <w:sz w:val="20"/>
                <w:szCs w:val="20"/>
                <w:color w:val="auto"/>
              </w:rPr>
            </w:pPr>
            <w:r>
              <w:rPr>
                <w:rFonts w:ascii="Arial" w:cs="Arial" w:eastAsia="Arial" w:hAnsi="Arial"/>
                <w:sz w:val="14"/>
                <w:szCs w:val="14"/>
                <w:color w:val="4D4D4F"/>
              </w:rPr>
              <w:t>Leadership</w:t>
            </w:r>
          </w:p>
        </w:tc>
        <w:tc>
          <w:tcPr>
            <w:tcW w:w="560" w:type="dxa"/>
            <w:vAlign w:val="bottom"/>
          </w:tcPr>
          <w:p>
            <w:pPr>
              <w:spacing w:after="0"/>
              <w:rPr>
                <w:sz w:val="14"/>
                <w:szCs w:val="14"/>
                <w:color w:val="auto"/>
              </w:rPr>
            </w:pPr>
          </w:p>
        </w:tc>
        <w:tc>
          <w:tcPr>
            <w:tcW w:w="740" w:type="dxa"/>
            <w:vAlign w:val="bottom"/>
            <w:vMerge w:val="restart"/>
          </w:tcPr>
          <w:p>
            <w:pPr>
              <w:ind w:left="640"/>
              <w:spacing w:after="0"/>
              <w:rPr>
                <w:sz w:val="20"/>
                <w:szCs w:val="20"/>
                <w:color w:val="auto"/>
              </w:rPr>
            </w:pPr>
            <w:r>
              <w:rPr>
                <w:rFonts w:ascii="Arial" w:cs="Arial" w:eastAsia="Arial" w:hAnsi="Arial"/>
                <w:sz w:val="14"/>
                <w:szCs w:val="14"/>
                <w:color w:val="003E64"/>
              </w:rPr>
              <w:t>•</w:t>
            </w:r>
          </w:p>
        </w:tc>
        <w:tc>
          <w:tcPr>
            <w:tcW w:w="1240" w:type="dxa"/>
            <w:vAlign w:val="bottom"/>
            <w:vMerge w:val="restart"/>
          </w:tcPr>
          <w:p>
            <w:pPr>
              <w:ind w:left="60"/>
              <w:spacing w:after="0"/>
              <w:rPr>
                <w:sz w:val="20"/>
                <w:szCs w:val="20"/>
                <w:color w:val="auto"/>
              </w:rPr>
            </w:pPr>
            <w:r>
              <w:rPr>
                <w:rFonts w:ascii="Arial" w:cs="Arial" w:eastAsia="Arial" w:hAnsi="Arial"/>
                <w:sz w:val="14"/>
                <w:szCs w:val="14"/>
                <w:color w:val="4D4D4F"/>
              </w:rPr>
              <w:t>Compensation</w:t>
            </w:r>
          </w:p>
        </w:tc>
        <w:tc>
          <w:tcPr>
            <w:tcW w:w="2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560" w:type="dxa"/>
            <w:vAlign w:val="bottom"/>
          </w:tcPr>
          <w:p>
            <w:pPr>
              <w:spacing w:after="0"/>
              <w:rPr>
                <w:sz w:val="4"/>
                <w:szCs w:val="4"/>
                <w:color w:val="auto"/>
              </w:rPr>
            </w:pPr>
          </w:p>
        </w:tc>
        <w:tc>
          <w:tcPr>
            <w:tcW w:w="440" w:type="dxa"/>
            <w:vAlign w:val="bottom"/>
          </w:tcPr>
          <w:p>
            <w:pPr>
              <w:spacing w:after="0"/>
              <w:rPr>
                <w:sz w:val="4"/>
                <w:szCs w:val="4"/>
                <w:color w:val="auto"/>
              </w:rPr>
            </w:pPr>
          </w:p>
        </w:tc>
        <w:tc>
          <w:tcPr>
            <w:tcW w:w="880" w:type="dxa"/>
            <w:vAlign w:val="bottom"/>
          </w:tcPr>
          <w:p>
            <w:pPr>
              <w:spacing w:after="0"/>
              <w:rPr>
                <w:sz w:val="4"/>
                <w:szCs w:val="4"/>
                <w:color w:val="auto"/>
              </w:rPr>
            </w:pPr>
          </w:p>
        </w:tc>
        <w:tc>
          <w:tcPr>
            <w:tcW w:w="228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124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1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1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4"/>
                <w:szCs w:val="14"/>
                <w:color w:val="003E64"/>
              </w:rPr>
              <w:t>•</w:t>
            </w:r>
          </w:p>
        </w:tc>
        <w:tc>
          <w:tcPr>
            <w:tcW w:w="1340" w:type="dxa"/>
            <w:vAlign w:val="bottom"/>
          </w:tcPr>
          <w:p>
            <w:pPr>
              <w:ind w:left="60"/>
              <w:spacing w:after="0"/>
              <w:rPr>
                <w:sz w:val="20"/>
                <w:szCs w:val="20"/>
                <w:color w:val="auto"/>
              </w:rPr>
            </w:pPr>
            <w:r>
              <w:rPr>
                <w:rFonts w:ascii="Arial" w:cs="Arial" w:eastAsia="Arial" w:hAnsi="Arial"/>
                <w:sz w:val="14"/>
                <w:szCs w:val="14"/>
                <w:color w:val="4D4D4F"/>
              </w:rPr>
              <w:t>Global</w:t>
            </w:r>
          </w:p>
        </w:tc>
        <w:tc>
          <w:tcPr>
            <w:tcW w:w="560" w:type="dxa"/>
            <w:vAlign w:val="bottom"/>
          </w:tcPr>
          <w:p>
            <w:pPr>
              <w:spacing w:after="0"/>
              <w:rPr>
                <w:sz w:val="17"/>
                <w:szCs w:val="17"/>
                <w:color w:val="auto"/>
              </w:rPr>
            </w:pPr>
          </w:p>
        </w:tc>
        <w:tc>
          <w:tcPr>
            <w:tcW w:w="740" w:type="dxa"/>
            <w:vAlign w:val="bottom"/>
          </w:tcPr>
          <w:p>
            <w:pPr>
              <w:ind w:left="640"/>
              <w:spacing w:after="0"/>
              <w:rPr>
                <w:sz w:val="20"/>
                <w:szCs w:val="20"/>
                <w:color w:val="auto"/>
              </w:rPr>
            </w:pPr>
            <w:r>
              <w:rPr>
                <w:rFonts w:ascii="Arial" w:cs="Arial" w:eastAsia="Arial" w:hAnsi="Arial"/>
                <w:sz w:val="14"/>
                <w:szCs w:val="14"/>
                <w:color w:val="003E64"/>
              </w:rPr>
              <w:t>•</w:t>
            </w:r>
          </w:p>
        </w:tc>
        <w:tc>
          <w:tcPr>
            <w:tcW w:w="1240" w:type="dxa"/>
            <w:vAlign w:val="bottom"/>
          </w:tcPr>
          <w:p>
            <w:pPr>
              <w:ind w:left="60"/>
              <w:spacing w:after="0"/>
              <w:rPr>
                <w:sz w:val="20"/>
                <w:szCs w:val="20"/>
                <w:color w:val="auto"/>
              </w:rPr>
            </w:pPr>
            <w:r>
              <w:rPr>
                <w:rFonts w:ascii="Arial" w:cs="Arial" w:eastAsia="Arial" w:hAnsi="Arial"/>
                <w:sz w:val="14"/>
                <w:szCs w:val="14"/>
                <w:color w:val="4D4D4F"/>
              </w:rPr>
              <w:t>Nominating and</w:t>
            </w:r>
          </w:p>
        </w:tc>
        <w:tc>
          <w:tcPr>
            <w:tcW w:w="2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1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40" w:type="dxa"/>
            <w:vAlign w:val="bottom"/>
          </w:tcPr>
          <w:p>
            <w:pPr>
              <w:ind w:left="60"/>
              <w:spacing w:after="0"/>
              <w:rPr>
                <w:sz w:val="20"/>
                <w:szCs w:val="20"/>
                <w:color w:val="auto"/>
              </w:rPr>
            </w:pPr>
            <w:r>
              <w:rPr>
                <w:rFonts w:ascii="Arial" w:cs="Arial" w:eastAsia="Arial" w:hAnsi="Arial"/>
                <w:sz w:val="14"/>
                <w:szCs w:val="14"/>
                <w:color w:val="4D4D4F"/>
              </w:rPr>
              <w:t>Governance</w:t>
            </w:r>
          </w:p>
        </w:tc>
        <w:tc>
          <w:tcPr>
            <w:tcW w:w="2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560" w:type="dxa"/>
            <w:vAlign w:val="bottom"/>
          </w:tcPr>
          <w:p>
            <w:pPr>
              <w:spacing w:after="0"/>
              <w:rPr>
                <w:sz w:val="6"/>
                <w:szCs w:val="6"/>
                <w:color w:val="auto"/>
              </w:rPr>
            </w:pPr>
          </w:p>
        </w:tc>
        <w:tc>
          <w:tcPr>
            <w:tcW w:w="440" w:type="dxa"/>
            <w:vAlign w:val="bottom"/>
          </w:tcPr>
          <w:p>
            <w:pPr>
              <w:spacing w:after="0"/>
              <w:rPr>
                <w:sz w:val="6"/>
                <w:szCs w:val="6"/>
                <w:color w:val="auto"/>
              </w:rPr>
            </w:pPr>
          </w:p>
        </w:tc>
        <w:tc>
          <w:tcPr>
            <w:tcW w:w="880" w:type="dxa"/>
            <w:vAlign w:val="bottom"/>
          </w:tcPr>
          <w:p>
            <w:pPr>
              <w:spacing w:after="0"/>
              <w:rPr>
                <w:sz w:val="6"/>
                <w:szCs w:val="6"/>
                <w:color w:val="auto"/>
              </w:rPr>
            </w:pPr>
          </w:p>
        </w:tc>
        <w:tc>
          <w:tcPr>
            <w:tcW w:w="2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5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1560" w:type="dxa"/>
            <w:vAlign w:val="bottom"/>
            <w:shd w:val="clear" w:color="auto" w:fill="B7E4FF"/>
          </w:tcPr>
          <w:p>
            <w:pPr>
              <w:spacing w:after="0"/>
              <w:rPr>
                <w:sz w:val="20"/>
                <w:szCs w:val="20"/>
                <w:color w:val="auto"/>
              </w:rPr>
            </w:pPr>
            <w:r>
              <w:rPr>
                <w:rFonts w:ascii="Arial" w:cs="Arial" w:eastAsia="Arial" w:hAnsi="Arial"/>
                <w:sz w:val="14"/>
                <w:szCs w:val="14"/>
                <w:color w:val="4D4D4F"/>
              </w:rPr>
              <w:t>David H. Wang</w:t>
            </w:r>
          </w:p>
        </w:tc>
        <w:tc>
          <w:tcPr>
            <w:tcW w:w="440" w:type="dxa"/>
            <w:vAlign w:val="bottom"/>
            <w:shd w:val="clear" w:color="auto" w:fill="B7E4FF"/>
          </w:tcPr>
          <w:p>
            <w:pPr>
              <w:jc w:val="center"/>
              <w:spacing w:after="0"/>
              <w:rPr>
                <w:sz w:val="20"/>
                <w:szCs w:val="20"/>
                <w:color w:val="auto"/>
              </w:rPr>
            </w:pPr>
            <w:r>
              <w:rPr>
                <w:rFonts w:ascii="Arial" w:cs="Arial" w:eastAsia="Arial" w:hAnsi="Arial"/>
                <w:sz w:val="14"/>
                <w:szCs w:val="14"/>
                <w:color w:val="4D4D4F"/>
              </w:rPr>
              <w:t>59</w:t>
            </w:r>
          </w:p>
        </w:tc>
        <w:tc>
          <w:tcPr>
            <w:tcW w:w="880" w:type="dxa"/>
            <w:vAlign w:val="bottom"/>
            <w:shd w:val="clear" w:color="auto" w:fill="B7E4FF"/>
          </w:tcPr>
          <w:p>
            <w:pPr>
              <w:jc w:val="center"/>
              <w:spacing w:after="0"/>
              <w:rPr>
                <w:sz w:val="20"/>
                <w:szCs w:val="20"/>
                <w:color w:val="auto"/>
              </w:rPr>
            </w:pPr>
            <w:r>
              <w:rPr>
                <w:rFonts w:ascii="Arial" w:cs="Arial" w:eastAsia="Arial" w:hAnsi="Arial"/>
                <w:sz w:val="14"/>
                <w:szCs w:val="14"/>
                <w:color w:val="4D4D4F"/>
              </w:rPr>
              <w:t>1998</w:t>
            </w:r>
          </w:p>
        </w:tc>
        <w:tc>
          <w:tcPr>
            <w:tcW w:w="2280" w:type="dxa"/>
            <w:vAlign w:val="bottom"/>
            <w:shd w:val="clear" w:color="auto" w:fill="B7E4FF"/>
          </w:tcPr>
          <w:p>
            <w:pPr>
              <w:spacing w:after="0"/>
              <w:rPr>
                <w:sz w:val="20"/>
                <w:szCs w:val="20"/>
                <w:color w:val="auto"/>
              </w:rPr>
            </w:pPr>
            <w:r>
              <w:rPr>
                <w:rFonts w:ascii="Arial" w:cs="Arial" w:eastAsia="Arial" w:hAnsi="Arial"/>
                <w:sz w:val="14"/>
                <w:szCs w:val="14"/>
                <w:color w:val="4D4D4F"/>
              </w:rPr>
              <w:t>Founder, Chief Executive Officer</w:t>
            </w:r>
          </w:p>
        </w:tc>
        <w:tc>
          <w:tcPr>
            <w:tcW w:w="100" w:type="dxa"/>
            <w:vAlign w:val="bottom"/>
            <w:shd w:val="clear" w:color="auto" w:fill="B7E4FF"/>
          </w:tcPr>
          <w:p>
            <w:pPr>
              <w:spacing w:after="0"/>
              <w:rPr>
                <w:sz w:val="20"/>
                <w:szCs w:val="20"/>
                <w:color w:val="auto"/>
              </w:rPr>
            </w:pPr>
            <w:r>
              <w:rPr>
                <w:rFonts w:ascii="Arial" w:cs="Arial" w:eastAsia="Arial" w:hAnsi="Arial"/>
                <w:sz w:val="14"/>
                <w:szCs w:val="14"/>
                <w:color w:val="0079C0"/>
              </w:rPr>
              <w:t>•</w:t>
            </w:r>
          </w:p>
        </w:tc>
        <w:tc>
          <w:tcPr>
            <w:tcW w:w="1340" w:type="dxa"/>
            <w:vAlign w:val="bottom"/>
            <w:shd w:val="clear" w:color="auto" w:fill="B7E4FF"/>
          </w:tcPr>
          <w:p>
            <w:pPr>
              <w:ind w:left="60"/>
              <w:spacing w:after="0"/>
              <w:rPr>
                <w:sz w:val="20"/>
                <w:szCs w:val="20"/>
                <w:color w:val="auto"/>
              </w:rPr>
            </w:pPr>
            <w:r>
              <w:rPr>
                <w:rFonts w:ascii="Arial" w:cs="Arial" w:eastAsia="Arial" w:hAnsi="Arial"/>
                <w:sz w:val="14"/>
                <w:szCs w:val="14"/>
                <w:color w:val="4D4D4F"/>
              </w:rPr>
              <w:t>Industry</w:t>
            </w:r>
          </w:p>
        </w:tc>
        <w:tc>
          <w:tcPr>
            <w:tcW w:w="560" w:type="dxa"/>
            <w:vAlign w:val="bottom"/>
            <w:shd w:val="clear" w:color="auto" w:fill="B7E4FF"/>
          </w:tcPr>
          <w:p>
            <w:pPr>
              <w:spacing w:after="0"/>
              <w:rPr>
                <w:sz w:val="14"/>
                <w:szCs w:val="14"/>
                <w:color w:val="auto"/>
              </w:rPr>
            </w:pPr>
          </w:p>
        </w:tc>
        <w:tc>
          <w:tcPr>
            <w:tcW w:w="740" w:type="dxa"/>
            <w:vAlign w:val="bottom"/>
            <w:shd w:val="clear" w:color="auto" w:fill="B7E4FF"/>
          </w:tcPr>
          <w:p>
            <w:pPr>
              <w:jc w:val="right"/>
              <w:ind w:right="309"/>
              <w:spacing w:after="0" w:line="141" w:lineRule="exact"/>
              <w:rPr>
                <w:sz w:val="20"/>
                <w:szCs w:val="20"/>
                <w:color w:val="auto"/>
              </w:rPr>
            </w:pPr>
            <w:r>
              <w:rPr>
                <w:rFonts w:ascii="MS PGothic" w:cs="MS PGothic" w:eastAsia="MS PGothic" w:hAnsi="MS PGothic"/>
                <w:sz w:val="14"/>
                <w:szCs w:val="14"/>
                <w:color w:val="auto"/>
                <w:shd w:val="clear" w:color="auto" w:fill="0079C0"/>
              </w:rPr>
              <w:t>✔</w:t>
            </w:r>
          </w:p>
        </w:tc>
        <w:tc>
          <w:tcPr>
            <w:tcW w:w="1240" w:type="dxa"/>
            <w:vAlign w:val="bottom"/>
            <w:shd w:val="clear" w:color="auto" w:fill="B7E4FF"/>
          </w:tcPr>
          <w:p>
            <w:pPr>
              <w:spacing w:after="0"/>
              <w:rPr>
                <w:sz w:val="14"/>
                <w:szCs w:val="14"/>
                <w:color w:val="auto"/>
              </w:rPr>
            </w:pPr>
          </w:p>
        </w:tc>
        <w:tc>
          <w:tcPr>
            <w:tcW w:w="240" w:type="dxa"/>
            <w:vAlign w:val="bottom"/>
            <w:shd w:val="clear" w:color="auto" w:fill="B7E4FF"/>
          </w:tcPr>
          <w:p>
            <w:pPr>
              <w:spacing w:after="0"/>
              <w:rPr>
                <w:sz w:val="14"/>
                <w:szCs w:val="14"/>
                <w:color w:val="auto"/>
              </w:rPr>
            </w:pPr>
          </w:p>
        </w:tc>
        <w:tc>
          <w:tcPr>
            <w:tcW w:w="1720" w:type="dxa"/>
            <w:vAlign w:val="bottom"/>
            <w:shd w:val="clear" w:color="auto" w:fill="B7E4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60" w:type="dxa"/>
            <w:vAlign w:val="bottom"/>
            <w:shd w:val="clear" w:color="auto" w:fill="B7E4FF"/>
          </w:tcPr>
          <w:p>
            <w:pPr>
              <w:spacing w:after="0"/>
              <w:rPr>
                <w:sz w:val="14"/>
                <w:szCs w:val="14"/>
                <w:color w:val="auto"/>
              </w:rPr>
            </w:pPr>
          </w:p>
        </w:tc>
        <w:tc>
          <w:tcPr>
            <w:tcW w:w="440" w:type="dxa"/>
            <w:vAlign w:val="bottom"/>
            <w:shd w:val="clear" w:color="auto" w:fill="B7E4FF"/>
          </w:tcPr>
          <w:p>
            <w:pPr>
              <w:spacing w:after="0"/>
              <w:rPr>
                <w:sz w:val="14"/>
                <w:szCs w:val="14"/>
                <w:color w:val="auto"/>
              </w:rPr>
            </w:pPr>
          </w:p>
        </w:tc>
        <w:tc>
          <w:tcPr>
            <w:tcW w:w="880" w:type="dxa"/>
            <w:vAlign w:val="bottom"/>
            <w:shd w:val="clear" w:color="auto" w:fill="B7E4FF"/>
          </w:tcPr>
          <w:p>
            <w:pPr>
              <w:spacing w:after="0"/>
              <w:rPr>
                <w:sz w:val="14"/>
                <w:szCs w:val="14"/>
                <w:color w:val="auto"/>
              </w:rPr>
            </w:pPr>
          </w:p>
        </w:tc>
        <w:tc>
          <w:tcPr>
            <w:tcW w:w="2280" w:type="dxa"/>
            <w:vAlign w:val="bottom"/>
            <w:shd w:val="clear" w:color="auto" w:fill="B7E4FF"/>
          </w:tcPr>
          <w:p>
            <w:pPr>
              <w:spacing w:after="0"/>
              <w:rPr>
                <w:sz w:val="20"/>
                <w:szCs w:val="20"/>
                <w:color w:val="auto"/>
              </w:rPr>
            </w:pPr>
            <w:r>
              <w:rPr>
                <w:rFonts w:ascii="Arial" w:cs="Arial" w:eastAsia="Arial" w:hAnsi="Arial"/>
                <w:sz w:val="14"/>
                <w:szCs w:val="14"/>
                <w:color w:val="4D4D4F"/>
              </w:rPr>
              <w:t>and President of ACM Research,</w:t>
            </w:r>
          </w:p>
        </w:tc>
        <w:tc>
          <w:tcPr>
            <w:tcW w:w="100" w:type="dxa"/>
            <w:vAlign w:val="bottom"/>
            <w:vMerge w:val="restart"/>
            <w:shd w:val="clear" w:color="auto" w:fill="B7E4FF"/>
          </w:tcPr>
          <w:p>
            <w:pPr>
              <w:spacing w:after="0"/>
              <w:rPr>
                <w:sz w:val="20"/>
                <w:szCs w:val="20"/>
                <w:color w:val="auto"/>
              </w:rPr>
            </w:pPr>
            <w:r>
              <w:rPr>
                <w:rFonts w:ascii="Arial" w:cs="Arial" w:eastAsia="Arial" w:hAnsi="Arial"/>
                <w:sz w:val="14"/>
                <w:szCs w:val="14"/>
                <w:color w:val="0079C0"/>
              </w:rPr>
              <w:t>•</w:t>
            </w:r>
          </w:p>
        </w:tc>
        <w:tc>
          <w:tcPr>
            <w:tcW w:w="1340" w:type="dxa"/>
            <w:vAlign w:val="bottom"/>
            <w:vMerge w:val="restart"/>
            <w:shd w:val="clear" w:color="auto" w:fill="B7E4FF"/>
          </w:tcPr>
          <w:p>
            <w:pPr>
              <w:ind w:left="60"/>
              <w:spacing w:after="0"/>
              <w:rPr>
                <w:sz w:val="20"/>
                <w:szCs w:val="20"/>
                <w:color w:val="auto"/>
              </w:rPr>
            </w:pPr>
            <w:r>
              <w:rPr>
                <w:rFonts w:ascii="Arial" w:cs="Arial" w:eastAsia="Arial" w:hAnsi="Arial"/>
                <w:sz w:val="14"/>
                <w:szCs w:val="14"/>
                <w:color w:val="4D4D4F"/>
              </w:rPr>
              <w:t>Innovation</w:t>
            </w:r>
          </w:p>
        </w:tc>
        <w:tc>
          <w:tcPr>
            <w:tcW w:w="560" w:type="dxa"/>
            <w:vAlign w:val="bottom"/>
            <w:shd w:val="clear" w:color="auto" w:fill="B7E4FF"/>
          </w:tcPr>
          <w:p>
            <w:pPr>
              <w:spacing w:after="0"/>
              <w:rPr>
                <w:sz w:val="14"/>
                <w:szCs w:val="14"/>
                <w:color w:val="auto"/>
              </w:rPr>
            </w:pPr>
          </w:p>
        </w:tc>
        <w:tc>
          <w:tcPr>
            <w:tcW w:w="740" w:type="dxa"/>
            <w:vAlign w:val="bottom"/>
            <w:shd w:val="clear" w:color="auto" w:fill="B7E4FF"/>
          </w:tcPr>
          <w:p>
            <w:pPr>
              <w:spacing w:after="0"/>
              <w:rPr>
                <w:sz w:val="14"/>
                <w:szCs w:val="14"/>
                <w:color w:val="auto"/>
              </w:rPr>
            </w:pPr>
          </w:p>
        </w:tc>
        <w:tc>
          <w:tcPr>
            <w:tcW w:w="1240" w:type="dxa"/>
            <w:vAlign w:val="bottom"/>
            <w:shd w:val="clear" w:color="auto" w:fill="B7E4FF"/>
          </w:tcPr>
          <w:p>
            <w:pPr>
              <w:spacing w:after="0"/>
              <w:rPr>
                <w:sz w:val="14"/>
                <w:szCs w:val="14"/>
                <w:color w:val="auto"/>
              </w:rPr>
            </w:pPr>
          </w:p>
        </w:tc>
        <w:tc>
          <w:tcPr>
            <w:tcW w:w="240" w:type="dxa"/>
            <w:vAlign w:val="bottom"/>
            <w:shd w:val="clear" w:color="auto" w:fill="B7E4FF"/>
          </w:tcPr>
          <w:p>
            <w:pPr>
              <w:spacing w:after="0"/>
              <w:rPr>
                <w:sz w:val="14"/>
                <w:szCs w:val="14"/>
                <w:color w:val="auto"/>
              </w:rPr>
            </w:pPr>
          </w:p>
        </w:tc>
        <w:tc>
          <w:tcPr>
            <w:tcW w:w="1720" w:type="dxa"/>
            <w:vAlign w:val="bottom"/>
            <w:shd w:val="clear" w:color="auto" w:fill="B7E4FF"/>
          </w:tcPr>
          <w:p>
            <w:pPr>
              <w:spacing w:after="0"/>
              <w:rPr>
                <w:sz w:val="14"/>
                <w:szCs w:val="14"/>
                <w:color w:val="auto"/>
              </w:rPr>
            </w:pPr>
          </w:p>
        </w:tc>
        <w:tc>
          <w:tcPr>
            <w:tcW w:w="0" w:type="dxa"/>
            <w:vAlign w:val="bottom"/>
          </w:tcPr>
          <w:p>
            <w:pPr>
              <w:spacing w:after="0"/>
              <w:rPr>
                <w:sz w:val="1"/>
                <w:szCs w:val="1"/>
                <w:color w:val="auto"/>
              </w:rPr>
            </w:pPr>
          </w:p>
        </w:tc>
      </w:tr>
      <w:tr>
        <w:trPr>
          <w:trHeight w:val="64"/>
        </w:trPr>
        <w:tc>
          <w:tcPr>
            <w:tcW w:w="1560" w:type="dxa"/>
            <w:vAlign w:val="bottom"/>
            <w:shd w:val="clear" w:color="auto" w:fill="B7E4FF"/>
          </w:tcPr>
          <w:p>
            <w:pPr>
              <w:spacing w:after="0"/>
              <w:rPr>
                <w:sz w:val="5"/>
                <w:szCs w:val="5"/>
                <w:color w:val="auto"/>
              </w:rPr>
            </w:pPr>
          </w:p>
        </w:tc>
        <w:tc>
          <w:tcPr>
            <w:tcW w:w="440" w:type="dxa"/>
            <w:vAlign w:val="bottom"/>
            <w:shd w:val="clear" w:color="auto" w:fill="B7E4FF"/>
          </w:tcPr>
          <w:p>
            <w:pPr>
              <w:spacing w:after="0"/>
              <w:rPr>
                <w:sz w:val="5"/>
                <w:szCs w:val="5"/>
                <w:color w:val="auto"/>
              </w:rPr>
            </w:pPr>
          </w:p>
        </w:tc>
        <w:tc>
          <w:tcPr>
            <w:tcW w:w="880" w:type="dxa"/>
            <w:vAlign w:val="bottom"/>
            <w:shd w:val="clear" w:color="auto" w:fill="B7E4FF"/>
          </w:tcPr>
          <w:p>
            <w:pPr>
              <w:spacing w:after="0"/>
              <w:rPr>
                <w:sz w:val="5"/>
                <w:szCs w:val="5"/>
                <w:color w:val="auto"/>
              </w:rPr>
            </w:pPr>
          </w:p>
        </w:tc>
        <w:tc>
          <w:tcPr>
            <w:tcW w:w="2280" w:type="dxa"/>
            <w:vAlign w:val="bottom"/>
            <w:vMerge w:val="restart"/>
            <w:shd w:val="clear" w:color="auto" w:fill="B7E4FF"/>
          </w:tcPr>
          <w:p>
            <w:pPr>
              <w:spacing w:after="0"/>
              <w:rPr>
                <w:sz w:val="20"/>
                <w:szCs w:val="20"/>
                <w:color w:val="auto"/>
              </w:rPr>
            </w:pPr>
            <w:r>
              <w:rPr>
                <w:rFonts w:ascii="Arial" w:cs="Arial" w:eastAsia="Arial" w:hAnsi="Arial"/>
                <w:sz w:val="14"/>
                <w:szCs w:val="14"/>
                <w:color w:val="4D4D4F"/>
              </w:rPr>
              <w:t>Inc.</w:t>
            </w:r>
          </w:p>
        </w:tc>
        <w:tc>
          <w:tcPr>
            <w:tcW w:w="100" w:type="dxa"/>
            <w:vAlign w:val="bottom"/>
            <w:vMerge w:val="continue"/>
            <w:shd w:val="clear" w:color="auto" w:fill="B7E4FF"/>
          </w:tcPr>
          <w:p>
            <w:pPr>
              <w:spacing w:after="0"/>
              <w:rPr>
                <w:sz w:val="5"/>
                <w:szCs w:val="5"/>
                <w:color w:val="auto"/>
              </w:rPr>
            </w:pPr>
          </w:p>
        </w:tc>
        <w:tc>
          <w:tcPr>
            <w:tcW w:w="1340" w:type="dxa"/>
            <w:vAlign w:val="bottom"/>
            <w:vMerge w:val="continue"/>
            <w:shd w:val="clear" w:color="auto" w:fill="B7E4FF"/>
          </w:tcPr>
          <w:p>
            <w:pPr>
              <w:spacing w:after="0"/>
              <w:rPr>
                <w:sz w:val="5"/>
                <w:szCs w:val="5"/>
                <w:color w:val="auto"/>
              </w:rPr>
            </w:pPr>
          </w:p>
        </w:tc>
        <w:tc>
          <w:tcPr>
            <w:tcW w:w="560" w:type="dxa"/>
            <w:vAlign w:val="bottom"/>
            <w:shd w:val="clear" w:color="auto" w:fill="B7E4FF"/>
          </w:tcPr>
          <w:p>
            <w:pPr>
              <w:spacing w:after="0"/>
              <w:rPr>
                <w:sz w:val="5"/>
                <w:szCs w:val="5"/>
                <w:color w:val="auto"/>
              </w:rPr>
            </w:pPr>
          </w:p>
        </w:tc>
        <w:tc>
          <w:tcPr>
            <w:tcW w:w="740" w:type="dxa"/>
            <w:vAlign w:val="bottom"/>
            <w:shd w:val="clear" w:color="auto" w:fill="B7E4FF"/>
          </w:tcPr>
          <w:p>
            <w:pPr>
              <w:spacing w:after="0"/>
              <w:rPr>
                <w:sz w:val="5"/>
                <w:szCs w:val="5"/>
                <w:color w:val="auto"/>
              </w:rPr>
            </w:pPr>
          </w:p>
        </w:tc>
        <w:tc>
          <w:tcPr>
            <w:tcW w:w="1240" w:type="dxa"/>
            <w:vAlign w:val="bottom"/>
            <w:shd w:val="clear" w:color="auto" w:fill="B7E4FF"/>
          </w:tcPr>
          <w:p>
            <w:pPr>
              <w:spacing w:after="0"/>
              <w:rPr>
                <w:sz w:val="5"/>
                <w:szCs w:val="5"/>
                <w:color w:val="auto"/>
              </w:rPr>
            </w:pPr>
          </w:p>
        </w:tc>
        <w:tc>
          <w:tcPr>
            <w:tcW w:w="240" w:type="dxa"/>
            <w:vAlign w:val="bottom"/>
            <w:shd w:val="clear" w:color="auto" w:fill="B7E4FF"/>
          </w:tcPr>
          <w:p>
            <w:pPr>
              <w:spacing w:after="0"/>
              <w:rPr>
                <w:sz w:val="5"/>
                <w:szCs w:val="5"/>
                <w:color w:val="auto"/>
              </w:rPr>
            </w:pPr>
          </w:p>
        </w:tc>
        <w:tc>
          <w:tcPr>
            <w:tcW w:w="1720" w:type="dxa"/>
            <w:vAlign w:val="bottom"/>
            <w:shd w:val="clear" w:color="auto" w:fill="B7E4FF"/>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1560" w:type="dxa"/>
            <w:vAlign w:val="bottom"/>
            <w:shd w:val="clear" w:color="auto" w:fill="B7E4FF"/>
          </w:tcPr>
          <w:p>
            <w:pPr>
              <w:spacing w:after="0"/>
              <w:rPr>
                <w:sz w:val="9"/>
                <w:szCs w:val="9"/>
                <w:color w:val="auto"/>
              </w:rPr>
            </w:pPr>
          </w:p>
        </w:tc>
        <w:tc>
          <w:tcPr>
            <w:tcW w:w="440" w:type="dxa"/>
            <w:vAlign w:val="bottom"/>
            <w:shd w:val="clear" w:color="auto" w:fill="B7E4FF"/>
          </w:tcPr>
          <w:p>
            <w:pPr>
              <w:spacing w:after="0"/>
              <w:rPr>
                <w:sz w:val="9"/>
                <w:szCs w:val="9"/>
                <w:color w:val="auto"/>
              </w:rPr>
            </w:pPr>
          </w:p>
        </w:tc>
        <w:tc>
          <w:tcPr>
            <w:tcW w:w="880" w:type="dxa"/>
            <w:vAlign w:val="bottom"/>
            <w:shd w:val="clear" w:color="auto" w:fill="B7E4FF"/>
          </w:tcPr>
          <w:p>
            <w:pPr>
              <w:spacing w:after="0"/>
              <w:rPr>
                <w:sz w:val="9"/>
                <w:szCs w:val="9"/>
                <w:color w:val="auto"/>
              </w:rPr>
            </w:pPr>
          </w:p>
        </w:tc>
        <w:tc>
          <w:tcPr>
            <w:tcW w:w="2280" w:type="dxa"/>
            <w:vAlign w:val="bottom"/>
            <w:vMerge w:val="continue"/>
            <w:shd w:val="clear" w:color="auto" w:fill="B7E4FF"/>
          </w:tcPr>
          <w:p>
            <w:pPr>
              <w:spacing w:after="0"/>
              <w:rPr>
                <w:sz w:val="9"/>
                <w:szCs w:val="9"/>
                <w:color w:val="auto"/>
              </w:rPr>
            </w:pPr>
          </w:p>
        </w:tc>
        <w:tc>
          <w:tcPr>
            <w:tcW w:w="100" w:type="dxa"/>
            <w:vAlign w:val="bottom"/>
            <w:vMerge w:val="restart"/>
            <w:shd w:val="clear" w:color="auto" w:fill="B7E4FF"/>
          </w:tcPr>
          <w:p>
            <w:pPr>
              <w:spacing w:after="0"/>
              <w:rPr>
                <w:sz w:val="20"/>
                <w:szCs w:val="20"/>
                <w:color w:val="auto"/>
              </w:rPr>
            </w:pPr>
            <w:r>
              <w:rPr>
                <w:rFonts w:ascii="Arial" w:cs="Arial" w:eastAsia="Arial" w:hAnsi="Arial"/>
                <w:sz w:val="14"/>
                <w:szCs w:val="14"/>
                <w:color w:val="0079C0"/>
              </w:rPr>
              <w:t>•</w:t>
            </w:r>
          </w:p>
        </w:tc>
        <w:tc>
          <w:tcPr>
            <w:tcW w:w="1340" w:type="dxa"/>
            <w:vAlign w:val="bottom"/>
            <w:vMerge w:val="restart"/>
            <w:shd w:val="clear" w:color="auto" w:fill="B7E4FF"/>
          </w:tcPr>
          <w:p>
            <w:pPr>
              <w:ind w:left="60"/>
              <w:spacing w:after="0"/>
              <w:rPr>
                <w:sz w:val="20"/>
                <w:szCs w:val="20"/>
                <w:color w:val="auto"/>
              </w:rPr>
            </w:pPr>
            <w:r>
              <w:rPr>
                <w:rFonts w:ascii="Arial" w:cs="Arial" w:eastAsia="Arial" w:hAnsi="Arial"/>
                <w:sz w:val="14"/>
                <w:szCs w:val="14"/>
                <w:color w:val="4D4D4F"/>
              </w:rPr>
              <w:t>Leadership</w:t>
            </w:r>
          </w:p>
        </w:tc>
        <w:tc>
          <w:tcPr>
            <w:tcW w:w="560" w:type="dxa"/>
            <w:vAlign w:val="bottom"/>
            <w:shd w:val="clear" w:color="auto" w:fill="B7E4FF"/>
          </w:tcPr>
          <w:p>
            <w:pPr>
              <w:spacing w:after="0"/>
              <w:rPr>
                <w:sz w:val="9"/>
                <w:szCs w:val="9"/>
                <w:color w:val="auto"/>
              </w:rPr>
            </w:pPr>
          </w:p>
        </w:tc>
        <w:tc>
          <w:tcPr>
            <w:tcW w:w="740" w:type="dxa"/>
            <w:vAlign w:val="bottom"/>
            <w:shd w:val="clear" w:color="auto" w:fill="B7E4FF"/>
          </w:tcPr>
          <w:p>
            <w:pPr>
              <w:spacing w:after="0"/>
              <w:rPr>
                <w:sz w:val="9"/>
                <w:szCs w:val="9"/>
                <w:color w:val="auto"/>
              </w:rPr>
            </w:pPr>
          </w:p>
        </w:tc>
        <w:tc>
          <w:tcPr>
            <w:tcW w:w="1240" w:type="dxa"/>
            <w:vAlign w:val="bottom"/>
            <w:shd w:val="clear" w:color="auto" w:fill="B7E4FF"/>
          </w:tcPr>
          <w:p>
            <w:pPr>
              <w:spacing w:after="0"/>
              <w:rPr>
                <w:sz w:val="9"/>
                <w:szCs w:val="9"/>
                <w:color w:val="auto"/>
              </w:rPr>
            </w:pPr>
          </w:p>
        </w:tc>
        <w:tc>
          <w:tcPr>
            <w:tcW w:w="240" w:type="dxa"/>
            <w:vAlign w:val="bottom"/>
            <w:shd w:val="clear" w:color="auto" w:fill="B7E4FF"/>
          </w:tcPr>
          <w:p>
            <w:pPr>
              <w:spacing w:after="0"/>
              <w:rPr>
                <w:sz w:val="9"/>
                <w:szCs w:val="9"/>
                <w:color w:val="auto"/>
              </w:rPr>
            </w:pPr>
          </w:p>
        </w:tc>
        <w:tc>
          <w:tcPr>
            <w:tcW w:w="1720" w:type="dxa"/>
            <w:vAlign w:val="bottom"/>
            <w:shd w:val="clear" w:color="auto" w:fill="B7E4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560" w:type="dxa"/>
            <w:vAlign w:val="bottom"/>
            <w:shd w:val="clear" w:color="auto" w:fill="B7E4FF"/>
          </w:tcPr>
          <w:p>
            <w:pPr>
              <w:spacing w:after="0"/>
              <w:rPr>
                <w:sz w:val="9"/>
                <w:szCs w:val="9"/>
                <w:color w:val="auto"/>
              </w:rPr>
            </w:pPr>
          </w:p>
        </w:tc>
        <w:tc>
          <w:tcPr>
            <w:tcW w:w="440" w:type="dxa"/>
            <w:vAlign w:val="bottom"/>
            <w:shd w:val="clear" w:color="auto" w:fill="B7E4FF"/>
          </w:tcPr>
          <w:p>
            <w:pPr>
              <w:spacing w:after="0"/>
              <w:rPr>
                <w:sz w:val="9"/>
                <w:szCs w:val="9"/>
                <w:color w:val="auto"/>
              </w:rPr>
            </w:pPr>
          </w:p>
        </w:tc>
        <w:tc>
          <w:tcPr>
            <w:tcW w:w="880" w:type="dxa"/>
            <w:vAlign w:val="bottom"/>
            <w:shd w:val="clear" w:color="auto" w:fill="B7E4FF"/>
          </w:tcPr>
          <w:p>
            <w:pPr>
              <w:spacing w:after="0"/>
              <w:rPr>
                <w:sz w:val="9"/>
                <w:szCs w:val="9"/>
                <w:color w:val="auto"/>
              </w:rPr>
            </w:pPr>
          </w:p>
        </w:tc>
        <w:tc>
          <w:tcPr>
            <w:tcW w:w="2280" w:type="dxa"/>
            <w:vAlign w:val="bottom"/>
            <w:shd w:val="clear" w:color="auto" w:fill="B7E4FF"/>
          </w:tcPr>
          <w:p>
            <w:pPr>
              <w:spacing w:after="0"/>
              <w:rPr>
                <w:sz w:val="9"/>
                <w:szCs w:val="9"/>
                <w:color w:val="auto"/>
              </w:rPr>
            </w:pPr>
          </w:p>
        </w:tc>
        <w:tc>
          <w:tcPr>
            <w:tcW w:w="100" w:type="dxa"/>
            <w:vAlign w:val="bottom"/>
            <w:vMerge w:val="continue"/>
            <w:shd w:val="clear" w:color="auto" w:fill="B7E4FF"/>
          </w:tcPr>
          <w:p>
            <w:pPr>
              <w:spacing w:after="0"/>
              <w:rPr>
                <w:sz w:val="9"/>
                <w:szCs w:val="9"/>
                <w:color w:val="auto"/>
              </w:rPr>
            </w:pPr>
          </w:p>
        </w:tc>
        <w:tc>
          <w:tcPr>
            <w:tcW w:w="1340" w:type="dxa"/>
            <w:vAlign w:val="bottom"/>
            <w:vMerge w:val="continue"/>
            <w:shd w:val="clear" w:color="auto" w:fill="B7E4FF"/>
          </w:tcPr>
          <w:p>
            <w:pPr>
              <w:spacing w:after="0"/>
              <w:rPr>
                <w:sz w:val="9"/>
                <w:szCs w:val="9"/>
                <w:color w:val="auto"/>
              </w:rPr>
            </w:pPr>
          </w:p>
        </w:tc>
        <w:tc>
          <w:tcPr>
            <w:tcW w:w="560" w:type="dxa"/>
            <w:vAlign w:val="bottom"/>
            <w:shd w:val="clear" w:color="auto" w:fill="B7E4FF"/>
          </w:tcPr>
          <w:p>
            <w:pPr>
              <w:spacing w:after="0"/>
              <w:rPr>
                <w:sz w:val="9"/>
                <w:szCs w:val="9"/>
                <w:color w:val="auto"/>
              </w:rPr>
            </w:pPr>
          </w:p>
        </w:tc>
        <w:tc>
          <w:tcPr>
            <w:tcW w:w="740" w:type="dxa"/>
            <w:vAlign w:val="bottom"/>
            <w:shd w:val="clear" w:color="auto" w:fill="B7E4FF"/>
          </w:tcPr>
          <w:p>
            <w:pPr>
              <w:spacing w:after="0"/>
              <w:rPr>
                <w:sz w:val="9"/>
                <w:szCs w:val="9"/>
                <w:color w:val="auto"/>
              </w:rPr>
            </w:pPr>
          </w:p>
        </w:tc>
        <w:tc>
          <w:tcPr>
            <w:tcW w:w="1240" w:type="dxa"/>
            <w:vAlign w:val="bottom"/>
            <w:shd w:val="clear" w:color="auto" w:fill="B7E4FF"/>
          </w:tcPr>
          <w:p>
            <w:pPr>
              <w:spacing w:after="0"/>
              <w:rPr>
                <w:sz w:val="9"/>
                <w:szCs w:val="9"/>
                <w:color w:val="auto"/>
              </w:rPr>
            </w:pPr>
          </w:p>
        </w:tc>
        <w:tc>
          <w:tcPr>
            <w:tcW w:w="240" w:type="dxa"/>
            <w:vAlign w:val="bottom"/>
            <w:shd w:val="clear" w:color="auto" w:fill="B7E4FF"/>
          </w:tcPr>
          <w:p>
            <w:pPr>
              <w:spacing w:after="0"/>
              <w:rPr>
                <w:sz w:val="9"/>
                <w:szCs w:val="9"/>
                <w:color w:val="auto"/>
              </w:rPr>
            </w:pPr>
          </w:p>
        </w:tc>
        <w:tc>
          <w:tcPr>
            <w:tcW w:w="1720" w:type="dxa"/>
            <w:vAlign w:val="bottom"/>
            <w:shd w:val="clear" w:color="auto" w:fill="B7E4FF"/>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1560" w:type="dxa"/>
            <w:vAlign w:val="bottom"/>
            <w:shd w:val="clear" w:color="auto" w:fill="B7E4FF"/>
          </w:tcPr>
          <w:p>
            <w:pPr>
              <w:spacing w:after="0"/>
              <w:rPr>
                <w:sz w:val="6"/>
                <w:szCs w:val="6"/>
                <w:color w:val="auto"/>
              </w:rPr>
            </w:pPr>
          </w:p>
        </w:tc>
        <w:tc>
          <w:tcPr>
            <w:tcW w:w="440" w:type="dxa"/>
            <w:vAlign w:val="bottom"/>
            <w:shd w:val="clear" w:color="auto" w:fill="B7E4FF"/>
          </w:tcPr>
          <w:p>
            <w:pPr>
              <w:spacing w:after="0"/>
              <w:rPr>
                <w:sz w:val="6"/>
                <w:szCs w:val="6"/>
                <w:color w:val="auto"/>
              </w:rPr>
            </w:pPr>
          </w:p>
        </w:tc>
        <w:tc>
          <w:tcPr>
            <w:tcW w:w="880" w:type="dxa"/>
            <w:vAlign w:val="bottom"/>
            <w:shd w:val="clear" w:color="auto" w:fill="B7E4FF"/>
          </w:tcPr>
          <w:p>
            <w:pPr>
              <w:spacing w:after="0"/>
              <w:rPr>
                <w:sz w:val="6"/>
                <w:szCs w:val="6"/>
                <w:color w:val="auto"/>
              </w:rPr>
            </w:pPr>
          </w:p>
        </w:tc>
        <w:tc>
          <w:tcPr>
            <w:tcW w:w="2280" w:type="dxa"/>
            <w:vAlign w:val="bottom"/>
            <w:shd w:val="clear" w:color="auto" w:fill="B7E4FF"/>
          </w:tcPr>
          <w:p>
            <w:pPr>
              <w:spacing w:after="0"/>
              <w:rPr>
                <w:sz w:val="6"/>
                <w:szCs w:val="6"/>
                <w:color w:val="auto"/>
              </w:rPr>
            </w:pPr>
          </w:p>
        </w:tc>
        <w:tc>
          <w:tcPr>
            <w:tcW w:w="100" w:type="dxa"/>
            <w:vAlign w:val="bottom"/>
            <w:shd w:val="clear" w:color="auto" w:fill="B7E4FF"/>
          </w:tcPr>
          <w:p>
            <w:pPr>
              <w:spacing w:after="0"/>
              <w:rPr>
                <w:sz w:val="6"/>
                <w:szCs w:val="6"/>
                <w:color w:val="auto"/>
              </w:rPr>
            </w:pPr>
          </w:p>
        </w:tc>
        <w:tc>
          <w:tcPr>
            <w:tcW w:w="1340" w:type="dxa"/>
            <w:vAlign w:val="bottom"/>
            <w:shd w:val="clear" w:color="auto" w:fill="B7E4FF"/>
          </w:tcPr>
          <w:p>
            <w:pPr>
              <w:spacing w:after="0"/>
              <w:rPr>
                <w:sz w:val="6"/>
                <w:szCs w:val="6"/>
                <w:color w:val="auto"/>
              </w:rPr>
            </w:pPr>
          </w:p>
        </w:tc>
        <w:tc>
          <w:tcPr>
            <w:tcW w:w="560" w:type="dxa"/>
            <w:vAlign w:val="bottom"/>
            <w:shd w:val="clear" w:color="auto" w:fill="B7E4FF"/>
          </w:tcPr>
          <w:p>
            <w:pPr>
              <w:spacing w:after="0"/>
              <w:rPr>
                <w:sz w:val="6"/>
                <w:szCs w:val="6"/>
                <w:color w:val="auto"/>
              </w:rPr>
            </w:pPr>
          </w:p>
        </w:tc>
        <w:tc>
          <w:tcPr>
            <w:tcW w:w="740" w:type="dxa"/>
            <w:vAlign w:val="bottom"/>
            <w:shd w:val="clear" w:color="auto" w:fill="B7E4FF"/>
          </w:tcPr>
          <w:p>
            <w:pPr>
              <w:spacing w:after="0"/>
              <w:rPr>
                <w:sz w:val="6"/>
                <w:szCs w:val="6"/>
                <w:color w:val="auto"/>
              </w:rPr>
            </w:pPr>
          </w:p>
        </w:tc>
        <w:tc>
          <w:tcPr>
            <w:tcW w:w="1240" w:type="dxa"/>
            <w:vAlign w:val="bottom"/>
            <w:shd w:val="clear" w:color="auto" w:fill="B7E4FF"/>
          </w:tcPr>
          <w:p>
            <w:pPr>
              <w:spacing w:after="0"/>
              <w:rPr>
                <w:sz w:val="6"/>
                <w:szCs w:val="6"/>
                <w:color w:val="auto"/>
              </w:rPr>
            </w:pPr>
          </w:p>
        </w:tc>
        <w:tc>
          <w:tcPr>
            <w:tcW w:w="240" w:type="dxa"/>
            <w:vAlign w:val="bottom"/>
            <w:shd w:val="clear" w:color="auto" w:fill="B7E4FF"/>
          </w:tcPr>
          <w:p>
            <w:pPr>
              <w:spacing w:after="0"/>
              <w:rPr>
                <w:sz w:val="6"/>
                <w:szCs w:val="6"/>
                <w:color w:val="auto"/>
              </w:rPr>
            </w:pPr>
          </w:p>
        </w:tc>
        <w:tc>
          <w:tcPr>
            <w:tcW w:w="1720" w:type="dxa"/>
            <w:vAlign w:val="bottom"/>
            <w:shd w:val="clear" w:color="auto" w:fill="B7E4FF"/>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1560" w:type="dxa"/>
            <w:vAlign w:val="bottom"/>
          </w:tcPr>
          <w:p>
            <w:pPr>
              <w:spacing w:after="0"/>
              <w:rPr>
                <w:sz w:val="20"/>
                <w:szCs w:val="20"/>
                <w:color w:val="auto"/>
              </w:rPr>
            </w:pPr>
            <w:r>
              <w:rPr>
                <w:rFonts w:ascii="Arial" w:cs="Arial" w:eastAsia="Arial" w:hAnsi="Arial"/>
                <w:sz w:val="14"/>
                <w:szCs w:val="14"/>
                <w:color w:val="4D4D4F"/>
              </w:rPr>
              <w:t>Yinan Xiang</w:t>
            </w:r>
          </w:p>
        </w:tc>
        <w:tc>
          <w:tcPr>
            <w:tcW w:w="440" w:type="dxa"/>
            <w:vAlign w:val="bottom"/>
          </w:tcPr>
          <w:p>
            <w:pPr>
              <w:jc w:val="center"/>
              <w:spacing w:after="0"/>
              <w:rPr>
                <w:sz w:val="20"/>
                <w:szCs w:val="20"/>
                <w:color w:val="auto"/>
              </w:rPr>
            </w:pPr>
            <w:r>
              <w:rPr>
                <w:rFonts w:ascii="Arial" w:cs="Arial" w:eastAsia="Arial" w:hAnsi="Arial"/>
                <w:sz w:val="14"/>
                <w:szCs w:val="14"/>
                <w:color w:val="4D4D4F"/>
              </w:rPr>
              <w:t>46</w:t>
            </w:r>
          </w:p>
        </w:tc>
        <w:tc>
          <w:tcPr>
            <w:tcW w:w="880" w:type="dxa"/>
            <w:vAlign w:val="bottom"/>
          </w:tcPr>
          <w:p>
            <w:pPr>
              <w:jc w:val="center"/>
              <w:spacing w:after="0"/>
              <w:rPr>
                <w:sz w:val="20"/>
                <w:szCs w:val="20"/>
                <w:color w:val="auto"/>
              </w:rPr>
            </w:pPr>
            <w:r>
              <w:rPr>
                <w:rFonts w:ascii="Arial" w:cs="Arial" w:eastAsia="Arial" w:hAnsi="Arial"/>
                <w:sz w:val="14"/>
                <w:szCs w:val="14"/>
                <w:color w:val="4D4D4F"/>
              </w:rPr>
              <w:t>2017</w:t>
            </w:r>
          </w:p>
        </w:tc>
        <w:tc>
          <w:tcPr>
            <w:tcW w:w="2280" w:type="dxa"/>
            <w:vAlign w:val="bottom"/>
          </w:tcPr>
          <w:p>
            <w:pPr>
              <w:spacing w:after="0"/>
              <w:rPr>
                <w:sz w:val="20"/>
                <w:szCs w:val="20"/>
                <w:color w:val="auto"/>
              </w:rPr>
            </w:pPr>
            <w:r>
              <w:rPr>
                <w:rFonts w:ascii="Arial" w:cs="Arial" w:eastAsia="Arial" w:hAnsi="Arial"/>
                <w:sz w:val="14"/>
                <w:szCs w:val="14"/>
                <w:color w:val="4D4D4F"/>
              </w:rPr>
              <w:t>Deputy General Manager of</w:t>
            </w:r>
          </w:p>
        </w:tc>
        <w:tc>
          <w:tcPr>
            <w:tcW w:w="100" w:type="dxa"/>
            <w:vAlign w:val="bottom"/>
          </w:tcPr>
          <w:p>
            <w:pPr>
              <w:spacing w:after="0"/>
              <w:rPr>
                <w:sz w:val="20"/>
                <w:szCs w:val="20"/>
                <w:color w:val="auto"/>
              </w:rPr>
            </w:pPr>
            <w:r>
              <w:rPr>
                <w:rFonts w:ascii="Arial" w:cs="Arial" w:eastAsia="Arial" w:hAnsi="Arial"/>
                <w:sz w:val="14"/>
                <w:szCs w:val="14"/>
                <w:color w:val="0079C0"/>
              </w:rPr>
              <w:t>•</w:t>
            </w:r>
          </w:p>
        </w:tc>
        <w:tc>
          <w:tcPr>
            <w:tcW w:w="1340" w:type="dxa"/>
            <w:vAlign w:val="bottom"/>
          </w:tcPr>
          <w:p>
            <w:pPr>
              <w:ind w:left="60"/>
              <w:spacing w:after="0"/>
              <w:rPr>
                <w:sz w:val="20"/>
                <w:szCs w:val="20"/>
                <w:color w:val="auto"/>
              </w:rPr>
            </w:pPr>
            <w:r>
              <w:rPr>
                <w:rFonts w:ascii="Arial" w:cs="Arial" w:eastAsia="Arial" w:hAnsi="Arial"/>
                <w:sz w:val="14"/>
                <w:szCs w:val="14"/>
                <w:color w:val="4D4D4F"/>
              </w:rPr>
              <w:t>Investor designee</w:t>
            </w:r>
          </w:p>
        </w:tc>
        <w:tc>
          <w:tcPr>
            <w:tcW w:w="560" w:type="dxa"/>
            <w:vAlign w:val="bottom"/>
          </w:tcPr>
          <w:p>
            <w:pPr>
              <w:jc w:val="center"/>
              <w:ind w:right="51"/>
              <w:spacing w:after="0" w:line="141" w:lineRule="exact"/>
              <w:rPr>
                <w:sz w:val="20"/>
                <w:szCs w:val="20"/>
                <w:color w:val="auto"/>
              </w:rPr>
            </w:pPr>
            <w:r>
              <w:rPr>
                <w:rFonts w:ascii="MS PGothic" w:cs="MS PGothic" w:eastAsia="MS PGothic" w:hAnsi="MS PGothic"/>
                <w:sz w:val="14"/>
                <w:szCs w:val="14"/>
                <w:color w:val="auto"/>
                <w:w w:val="85"/>
                <w:shd w:val="clear" w:color="auto" w:fill="0079C0"/>
              </w:rPr>
              <w:t>✔</w:t>
            </w:r>
          </w:p>
        </w:tc>
        <w:tc>
          <w:tcPr>
            <w:tcW w:w="740" w:type="dxa"/>
            <w:vAlign w:val="bottom"/>
          </w:tcPr>
          <w:p>
            <w:pPr>
              <w:ind w:left="640"/>
              <w:spacing w:after="0"/>
              <w:rPr>
                <w:sz w:val="20"/>
                <w:szCs w:val="20"/>
                <w:color w:val="auto"/>
              </w:rPr>
            </w:pPr>
            <w:r>
              <w:rPr>
                <w:rFonts w:ascii="Arial" w:cs="Arial" w:eastAsia="Arial" w:hAnsi="Arial"/>
                <w:sz w:val="14"/>
                <w:szCs w:val="14"/>
                <w:color w:val="003E64"/>
              </w:rPr>
              <w:t>•</w:t>
            </w:r>
          </w:p>
        </w:tc>
        <w:tc>
          <w:tcPr>
            <w:tcW w:w="1240" w:type="dxa"/>
            <w:vAlign w:val="bottom"/>
          </w:tcPr>
          <w:p>
            <w:pPr>
              <w:ind w:left="60"/>
              <w:spacing w:after="0"/>
              <w:rPr>
                <w:sz w:val="20"/>
                <w:szCs w:val="20"/>
                <w:color w:val="auto"/>
              </w:rPr>
            </w:pPr>
            <w:r>
              <w:rPr>
                <w:rFonts w:ascii="Arial" w:cs="Arial" w:eastAsia="Arial" w:hAnsi="Arial"/>
                <w:sz w:val="14"/>
                <w:szCs w:val="14"/>
                <w:color w:val="4D4D4F"/>
              </w:rPr>
              <w:t>Audit</w:t>
            </w:r>
          </w:p>
        </w:tc>
        <w:tc>
          <w:tcPr>
            <w:tcW w:w="2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80" w:type="dxa"/>
            <w:vAlign w:val="bottom"/>
          </w:tcPr>
          <w:p>
            <w:pPr>
              <w:spacing w:after="0"/>
              <w:rPr>
                <w:sz w:val="20"/>
                <w:szCs w:val="20"/>
                <w:color w:val="auto"/>
              </w:rPr>
            </w:pPr>
            <w:r>
              <w:rPr>
                <w:rFonts w:ascii="Arial" w:cs="Arial" w:eastAsia="Arial" w:hAnsi="Arial"/>
                <w:sz w:val="14"/>
                <w:szCs w:val="14"/>
                <w:color w:val="4D4D4F"/>
              </w:rPr>
              <w:t>Shanghai S&amp;T Venture Capital</w:t>
            </w:r>
          </w:p>
        </w:tc>
        <w:tc>
          <w:tcPr>
            <w:tcW w:w="100" w:type="dxa"/>
            <w:vAlign w:val="bottom"/>
            <w:vMerge w:val="restart"/>
          </w:tcPr>
          <w:p>
            <w:pPr>
              <w:spacing w:after="0"/>
              <w:rPr>
                <w:sz w:val="20"/>
                <w:szCs w:val="20"/>
                <w:color w:val="auto"/>
              </w:rPr>
            </w:pPr>
            <w:r>
              <w:rPr>
                <w:rFonts w:ascii="Arial" w:cs="Arial" w:eastAsia="Arial" w:hAnsi="Arial"/>
                <w:sz w:val="14"/>
                <w:szCs w:val="14"/>
                <w:color w:val="0079C0"/>
              </w:rPr>
              <w:t>•</w:t>
            </w:r>
          </w:p>
        </w:tc>
        <w:tc>
          <w:tcPr>
            <w:tcW w:w="1340" w:type="dxa"/>
            <w:vAlign w:val="bottom"/>
            <w:vMerge w:val="restart"/>
          </w:tcPr>
          <w:p>
            <w:pPr>
              <w:ind w:left="60"/>
              <w:spacing w:after="0"/>
              <w:rPr>
                <w:sz w:val="20"/>
                <w:szCs w:val="20"/>
                <w:color w:val="auto"/>
              </w:rPr>
            </w:pPr>
            <w:r>
              <w:rPr>
                <w:rFonts w:ascii="Arial" w:cs="Arial" w:eastAsia="Arial" w:hAnsi="Arial"/>
                <w:sz w:val="14"/>
                <w:szCs w:val="14"/>
                <w:color w:val="4D4D4F"/>
              </w:rPr>
              <w:t>Finance</w:t>
            </w: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4"/>
        </w:trPr>
        <w:tc>
          <w:tcPr>
            <w:tcW w:w="1560" w:type="dxa"/>
            <w:vAlign w:val="bottom"/>
          </w:tcPr>
          <w:p>
            <w:pPr>
              <w:spacing w:after="0"/>
              <w:rPr>
                <w:sz w:val="5"/>
                <w:szCs w:val="5"/>
                <w:color w:val="auto"/>
              </w:rPr>
            </w:pPr>
          </w:p>
        </w:tc>
        <w:tc>
          <w:tcPr>
            <w:tcW w:w="440" w:type="dxa"/>
            <w:vAlign w:val="bottom"/>
          </w:tcPr>
          <w:p>
            <w:pPr>
              <w:spacing w:after="0"/>
              <w:rPr>
                <w:sz w:val="5"/>
                <w:szCs w:val="5"/>
                <w:color w:val="auto"/>
              </w:rPr>
            </w:pPr>
          </w:p>
        </w:tc>
        <w:tc>
          <w:tcPr>
            <w:tcW w:w="880" w:type="dxa"/>
            <w:vAlign w:val="bottom"/>
          </w:tcPr>
          <w:p>
            <w:pPr>
              <w:spacing w:after="0"/>
              <w:rPr>
                <w:sz w:val="5"/>
                <w:szCs w:val="5"/>
                <w:color w:val="auto"/>
              </w:rPr>
            </w:pPr>
          </w:p>
        </w:tc>
        <w:tc>
          <w:tcPr>
            <w:tcW w:w="2280" w:type="dxa"/>
            <w:vAlign w:val="bottom"/>
            <w:vMerge w:val="restart"/>
          </w:tcPr>
          <w:p>
            <w:pPr>
              <w:spacing w:after="0"/>
              <w:rPr>
                <w:sz w:val="20"/>
                <w:szCs w:val="20"/>
                <w:color w:val="auto"/>
              </w:rPr>
            </w:pPr>
            <w:r>
              <w:rPr>
                <w:rFonts w:ascii="Arial" w:cs="Arial" w:eastAsia="Arial" w:hAnsi="Arial"/>
                <w:sz w:val="14"/>
                <w:szCs w:val="14"/>
                <w:color w:val="4D4D4F"/>
              </w:rPr>
              <w:t>(Group) Co. Ltd.</w:t>
            </w:r>
          </w:p>
        </w:tc>
        <w:tc>
          <w:tcPr>
            <w:tcW w:w="100" w:type="dxa"/>
            <w:vAlign w:val="bottom"/>
            <w:vMerge w:val="continue"/>
          </w:tcPr>
          <w:p>
            <w:pPr>
              <w:spacing w:after="0"/>
              <w:rPr>
                <w:sz w:val="5"/>
                <w:szCs w:val="5"/>
                <w:color w:val="auto"/>
              </w:rPr>
            </w:pPr>
          </w:p>
        </w:tc>
        <w:tc>
          <w:tcPr>
            <w:tcW w:w="13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15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80" w:type="dxa"/>
            <w:vAlign w:val="bottom"/>
            <w:vMerge w:val="continue"/>
          </w:tcPr>
          <w:p>
            <w:pPr>
              <w:spacing w:after="0"/>
              <w:rPr>
                <w:sz w:val="9"/>
                <w:szCs w:val="9"/>
                <w:color w:val="auto"/>
              </w:rPr>
            </w:pPr>
          </w:p>
        </w:tc>
        <w:tc>
          <w:tcPr>
            <w:tcW w:w="100" w:type="dxa"/>
            <w:vAlign w:val="bottom"/>
            <w:vMerge w:val="restart"/>
          </w:tcPr>
          <w:p>
            <w:pPr>
              <w:spacing w:after="0"/>
              <w:rPr>
                <w:sz w:val="20"/>
                <w:szCs w:val="20"/>
                <w:color w:val="auto"/>
              </w:rPr>
            </w:pPr>
            <w:r>
              <w:rPr>
                <w:rFonts w:ascii="Arial" w:cs="Arial" w:eastAsia="Arial" w:hAnsi="Arial"/>
                <w:sz w:val="14"/>
                <w:szCs w:val="14"/>
                <w:color w:val="0079C0"/>
              </w:rPr>
              <w:t>•</w:t>
            </w:r>
          </w:p>
        </w:tc>
        <w:tc>
          <w:tcPr>
            <w:tcW w:w="1340" w:type="dxa"/>
            <w:vAlign w:val="bottom"/>
            <w:vMerge w:val="restart"/>
          </w:tcPr>
          <w:p>
            <w:pPr>
              <w:ind w:left="100"/>
              <w:spacing w:after="0"/>
              <w:rPr>
                <w:sz w:val="20"/>
                <w:szCs w:val="20"/>
                <w:color w:val="auto"/>
              </w:rPr>
            </w:pPr>
            <w:r>
              <w:rPr>
                <w:rFonts w:ascii="Arial" w:cs="Arial" w:eastAsia="Arial" w:hAnsi="Arial"/>
                <w:sz w:val="14"/>
                <w:szCs w:val="14"/>
                <w:color w:val="4D4D4F"/>
              </w:rPr>
              <w:t>Industry</w:t>
            </w:r>
          </w:p>
        </w:tc>
        <w:tc>
          <w:tcPr>
            <w:tcW w:w="5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1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80" w:type="dxa"/>
            <w:vAlign w:val="bottom"/>
          </w:tcPr>
          <w:p>
            <w:pPr>
              <w:spacing w:after="0"/>
              <w:rPr>
                <w:sz w:val="8"/>
                <w:szCs w:val="8"/>
                <w:color w:val="auto"/>
              </w:rPr>
            </w:pPr>
          </w:p>
        </w:tc>
        <w:tc>
          <w:tcPr>
            <w:tcW w:w="100" w:type="dxa"/>
            <w:vAlign w:val="bottom"/>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8"/>
          <w:szCs w:val="18"/>
          <w:b w:val="1"/>
          <w:bCs w:val="1"/>
          <w:i w:val="1"/>
          <w:iCs w:val="1"/>
          <w:color w:val="0079C0"/>
        </w:rPr>
        <w:t>Board Representation</w:t>
      </w:r>
    </w:p>
    <w:p>
      <w:pPr>
        <w:sectPr>
          <w:pgSz w:w="11900" w:h="16838" w:orient="portrait"/>
          <w:cols w:equalWidth="0" w:num="1">
            <w:col w:w="11220"/>
          </w:cols>
          <w:pgMar w:left="320" w:top="130" w:right="359" w:bottom="1440" w:gutter="0" w:footer="0" w:header="0"/>
        </w:sectPr>
      </w:pP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3E64"/>
        </w:rPr>
        <w:t>DIVERSITY</w:t>
      </w:r>
    </w:p>
    <w:p>
      <w:pPr>
        <w:spacing w:after="0" w:line="234"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All of our director nominees voluntarily self-identify as having a diverse identity (gender or race).</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003E64"/>
        </w:rPr>
        <w:t>INDEPENDENCE</w:t>
      </w:r>
    </w:p>
    <w:p>
      <w:pPr>
        <w:spacing w:after="0" w:line="234"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Four of our five director nominees qualify as independent under SEC regulations and NASDAQ standards.</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003E64"/>
        </w:rPr>
        <w:t>TENURE</w:t>
      </w:r>
    </w:p>
    <w:p>
      <w:pPr>
        <w:spacing w:after="0" w:line="234"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tenure of our director nominees reflects a balance of experience and fresh perspective.</w:t>
      </w:r>
    </w:p>
    <w:p>
      <w:pPr>
        <w:spacing w:after="0" w:line="200" w:lineRule="exact"/>
        <w:rPr>
          <w:sz w:val="20"/>
          <w:szCs w:val="20"/>
          <w:color w:val="auto"/>
        </w:rPr>
      </w:pPr>
    </w:p>
    <w:p>
      <w:pPr>
        <w:sectPr>
          <w:pgSz w:w="11900" w:h="16838" w:orient="portrait"/>
          <w:cols w:equalWidth="0" w:num="3">
            <w:col w:w="3540" w:space="440"/>
            <w:col w:w="3420" w:space="420"/>
            <w:col w:w="3400"/>
          </w:cols>
          <w:pgMar w:left="320" w:top="13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type w:val="continuous"/>
        </w:sectPr>
      </w:pPr>
    </w:p>
    <w:bookmarkStart w:id="8" w:name="page9"/>
    <w:bookmarkEnd w:id="8"/>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115570</wp:posOffset>
            </wp:positionV>
            <wp:extent cx="7187565" cy="58248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7565" cy="5824855"/>
                    </a:xfrm>
                    <a:prstGeom prst="rect">
                      <a:avLst/>
                    </a:prstGeom>
                    <a:noFill/>
                  </pic:spPr>
                </pic:pic>
              </a:graphicData>
            </a:graphic>
          </wp:anchor>
        </w:drawing>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79C0"/>
        </w:rPr>
        <w:t>Board Governance Practices</w:t>
      </w:r>
    </w:p>
    <w:p>
      <w:pPr>
        <w:spacing w:after="0" w:line="210" w:lineRule="exact"/>
        <w:rPr>
          <w:sz w:val="20"/>
          <w:szCs w:val="20"/>
          <w:color w:val="auto"/>
        </w:rPr>
      </w:pPr>
    </w:p>
    <w:tbl>
      <w:tblPr>
        <w:tblLayout w:type="fixed"/>
        <w:tblInd w:w="1240" w:type="dxa"/>
        <w:tblCellMar>
          <w:top w:w="0" w:type="dxa"/>
          <w:left w:w="0" w:type="dxa"/>
          <w:bottom w:w="0" w:type="dxa"/>
          <w:right w:w="0" w:type="dxa"/>
        </w:tblCellMar>
      </w:tblPr>
      <w:tr>
        <w:trPr>
          <w:trHeight w:val="188"/>
        </w:trPr>
        <w:tc>
          <w:tcPr>
            <w:tcW w:w="1500" w:type="dxa"/>
            <w:vAlign w:val="bottom"/>
          </w:tcPr>
          <w:p>
            <w:pPr>
              <w:spacing w:after="0"/>
              <w:rPr>
                <w:sz w:val="20"/>
                <w:szCs w:val="20"/>
                <w:color w:val="auto"/>
              </w:rPr>
            </w:pPr>
            <w:r>
              <w:rPr>
                <w:rFonts w:ascii="Arial" w:cs="Arial" w:eastAsia="Arial" w:hAnsi="Arial"/>
                <w:sz w:val="14"/>
                <w:szCs w:val="14"/>
                <w:b w:val="1"/>
                <w:bCs w:val="1"/>
                <w:i w:val="1"/>
                <w:iCs w:val="1"/>
                <w:color w:val="003E64"/>
              </w:rPr>
              <w:t>Elections:</w:t>
            </w:r>
          </w:p>
        </w:tc>
        <w:tc>
          <w:tcPr>
            <w:tcW w:w="5500" w:type="dxa"/>
            <w:vAlign w:val="bottom"/>
          </w:tcPr>
          <w:p>
            <w:pPr>
              <w:ind w:left="140"/>
              <w:spacing w:after="0"/>
              <w:rPr>
                <w:sz w:val="20"/>
                <w:szCs w:val="20"/>
                <w:color w:val="auto"/>
              </w:rPr>
            </w:pPr>
            <w:r>
              <w:rPr>
                <w:rFonts w:ascii="Arial" w:cs="Arial" w:eastAsia="Arial" w:hAnsi="Arial"/>
                <w:sz w:val="14"/>
                <w:szCs w:val="14"/>
                <w:color w:val="4D4D4F"/>
              </w:rPr>
              <w:t>Classified Board</w:t>
            </w:r>
          </w:p>
        </w:tc>
        <w:tc>
          <w:tcPr>
            <w:tcW w:w="1880" w:type="dxa"/>
            <w:vAlign w:val="bottom"/>
          </w:tcPr>
          <w:p>
            <w:pPr>
              <w:ind w:left="980"/>
              <w:spacing w:after="0"/>
              <w:rPr>
                <w:sz w:val="20"/>
                <w:szCs w:val="20"/>
                <w:color w:val="auto"/>
              </w:rPr>
            </w:pPr>
            <w:r>
              <w:rPr>
                <w:rFonts w:ascii="Arial" w:cs="Arial" w:eastAsia="Arial" w:hAnsi="Arial"/>
                <w:sz w:val="14"/>
                <w:szCs w:val="14"/>
                <w:color w:val="4D4D4F"/>
              </w:rPr>
              <w:t>No</w:t>
            </w:r>
          </w:p>
        </w:tc>
      </w:tr>
      <w:tr>
        <w:trPr>
          <w:trHeight w:val="203"/>
        </w:trPr>
        <w:tc>
          <w:tcPr>
            <w:tcW w:w="1500" w:type="dxa"/>
            <w:vAlign w:val="bottom"/>
          </w:tcPr>
          <w:p>
            <w:pPr>
              <w:spacing w:after="0"/>
              <w:rPr>
                <w:sz w:val="17"/>
                <w:szCs w:val="17"/>
                <w:color w:val="auto"/>
              </w:rPr>
            </w:pPr>
          </w:p>
        </w:tc>
        <w:tc>
          <w:tcPr>
            <w:tcW w:w="5500" w:type="dxa"/>
            <w:vAlign w:val="bottom"/>
          </w:tcPr>
          <w:p>
            <w:pPr>
              <w:ind w:left="140"/>
              <w:spacing w:after="0"/>
              <w:rPr>
                <w:sz w:val="20"/>
                <w:szCs w:val="20"/>
                <w:color w:val="auto"/>
              </w:rPr>
            </w:pPr>
            <w:r>
              <w:rPr>
                <w:rFonts w:ascii="Arial" w:cs="Arial" w:eastAsia="Arial" w:hAnsi="Arial"/>
                <w:sz w:val="14"/>
                <w:szCs w:val="14"/>
                <w:color w:val="4D4D4F"/>
              </w:rPr>
              <w:t>Frequency of Director Elections</w:t>
            </w:r>
          </w:p>
        </w:tc>
        <w:tc>
          <w:tcPr>
            <w:tcW w:w="1880" w:type="dxa"/>
            <w:vAlign w:val="bottom"/>
          </w:tcPr>
          <w:p>
            <w:pPr>
              <w:ind w:left="980"/>
              <w:spacing w:after="0"/>
              <w:rPr>
                <w:sz w:val="20"/>
                <w:szCs w:val="20"/>
                <w:color w:val="auto"/>
              </w:rPr>
            </w:pPr>
            <w:r>
              <w:rPr>
                <w:rFonts w:ascii="Arial" w:cs="Arial" w:eastAsia="Arial" w:hAnsi="Arial"/>
                <w:sz w:val="14"/>
                <w:szCs w:val="14"/>
                <w:color w:val="4D4D4F"/>
              </w:rPr>
              <w:t>Annual</w:t>
            </w:r>
          </w:p>
        </w:tc>
      </w:tr>
      <w:tr>
        <w:trPr>
          <w:trHeight w:val="203"/>
        </w:trPr>
        <w:tc>
          <w:tcPr>
            <w:tcW w:w="1500" w:type="dxa"/>
            <w:vAlign w:val="bottom"/>
          </w:tcPr>
          <w:p>
            <w:pPr>
              <w:spacing w:after="0"/>
              <w:rPr>
                <w:sz w:val="17"/>
                <w:szCs w:val="17"/>
                <w:color w:val="auto"/>
              </w:rPr>
            </w:pPr>
          </w:p>
        </w:tc>
        <w:tc>
          <w:tcPr>
            <w:tcW w:w="5500" w:type="dxa"/>
            <w:vAlign w:val="bottom"/>
          </w:tcPr>
          <w:p>
            <w:pPr>
              <w:ind w:left="140"/>
              <w:spacing w:after="0"/>
              <w:rPr>
                <w:sz w:val="20"/>
                <w:szCs w:val="20"/>
                <w:color w:val="auto"/>
              </w:rPr>
            </w:pPr>
            <w:r>
              <w:rPr>
                <w:rFonts w:ascii="Arial" w:cs="Arial" w:eastAsia="Arial" w:hAnsi="Arial"/>
                <w:sz w:val="14"/>
                <w:szCs w:val="14"/>
                <w:color w:val="4D4D4F"/>
              </w:rPr>
              <w:t>Voting Standard</w:t>
            </w:r>
          </w:p>
        </w:tc>
        <w:tc>
          <w:tcPr>
            <w:tcW w:w="1880" w:type="dxa"/>
            <w:vAlign w:val="bottom"/>
          </w:tcPr>
          <w:p>
            <w:pPr>
              <w:ind w:left="980"/>
              <w:spacing w:after="0"/>
              <w:rPr>
                <w:sz w:val="20"/>
                <w:szCs w:val="20"/>
                <w:color w:val="auto"/>
              </w:rPr>
            </w:pPr>
            <w:r>
              <w:rPr>
                <w:rFonts w:ascii="Arial" w:cs="Arial" w:eastAsia="Arial" w:hAnsi="Arial"/>
                <w:sz w:val="14"/>
                <w:szCs w:val="14"/>
                <w:color w:val="4D4D4F"/>
              </w:rPr>
              <w:t>Majority</w:t>
            </w:r>
          </w:p>
        </w:tc>
      </w:tr>
      <w:tr>
        <w:trPr>
          <w:trHeight w:val="203"/>
        </w:trPr>
        <w:tc>
          <w:tcPr>
            <w:tcW w:w="1500" w:type="dxa"/>
            <w:vAlign w:val="bottom"/>
          </w:tcPr>
          <w:p>
            <w:pPr>
              <w:spacing w:after="0"/>
              <w:rPr>
                <w:sz w:val="17"/>
                <w:szCs w:val="17"/>
                <w:color w:val="auto"/>
              </w:rPr>
            </w:pPr>
          </w:p>
        </w:tc>
        <w:tc>
          <w:tcPr>
            <w:tcW w:w="5500" w:type="dxa"/>
            <w:vAlign w:val="bottom"/>
          </w:tcPr>
          <w:p>
            <w:pPr>
              <w:ind w:left="140"/>
              <w:spacing w:after="0"/>
              <w:rPr>
                <w:sz w:val="20"/>
                <w:szCs w:val="20"/>
                <w:color w:val="auto"/>
              </w:rPr>
            </w:pPr>
            <w:r>
              <w:rPr>
                <w:rFonts w:ascii="Arial" w:cs="Arial" w:eastAsia="Arial" w:hAnsi="Arial"/>
                <w:sz w:val="14"/>
                <w:szCs w:val="14"/>
                <w:color w:val="4D4D4F"/>
              </w:rPr>
              <w:t>Resignation Policy</w:t>
            </w:r>
          </w:p>
        </w:tc>
        <w:tc>
          <w:tcPr>
            <w:tcW w:w="1880" w:type="dxa"/>
            <w:vAlign w:val="bottom"/>
          </w:tcPr>
          <w:p>
            <w:pPr>
              <w:ind w:left="980"/>
              <w:spacing w:after="0"/>
              <w:rPr>
                <w:sz w:val="20"/>
                <w:szCs w:val="20"/>
                <w:color w:val="auto"/>
              </w:rPr>
            </w:pPr>
            <w:r>
              <w:rPr>
                <w:rFonts w:ascii="Arial" w:cs="Arial" w:eastAsia="Arial" w:hAnsi="Arial"/>
                <w:sz w:val="14"/>
                <w:szCs w:val="14"/>
                <w:color w:val="4D4D4F"/>
              </w:rPr>
              <w:t>Yes</w:t>
            </w:r>
          </w:p>
        </w:tc>
      </w:tr>
      <w:tr>
        <w:trPr>
          <w:trHeight w:val="201"/>
        </w:trPr>
        <w:tc>
          <w:tcPr>
            <w:tcW w:w="1500" w:type="dxa"/>
            <w:vAlign w:val="bottom"/>
          </w:tcPr>
          <w:p>
            <w:pPr>
              <w:spacing w:after="0"/>
              <w:rPr>
                <w:sz w:val="17"/>
                <w:szCs w:val="17"/>
                <w:color w:val="auto"/>
              </w:rPr>
            </w:pPr>
          </w:p>
        </w:tc>
        <w:tc>
          <w:tcPr>
            <w:tcW w:w="5500" w:type="dxa"/>
            <w:vAlign w:val="bottom"/>
          </w:tcPr>
          <w:p>
            <w:pPr>
              <w:ind w:left="140"/>
              <w:spacing w:after="0"/>
              <w:rPr>
                <w:sz w:val="20"/>
                <w:szCs w:val="20"/>
                <w:color w:val="auto"/>
              </w:rPr>
            </w:pPr>
            <w:r>
              <w:rPr>
                <w:rFonts w:ascii="Arial" w:cs="Arial" w:eastAsia="Arial" w:hAnsi="Arial"/>
                <w:sz w:val="14"/>
                <w:szCs w:val="14"/>
                <w:color w:val="4D4D4F"/>
              </w:rPr>
              <w:t>Mandatory Retirement Age or Tenure</w:t>
            </w:r>
          </w:p>
        </w:tc>
        <w:tc>
          <w:tcPr>
            <w:tcW w:w="1880" w:type="dxa"/>
            <w:vAlign w:val="bottom"/>
          </w:tcPr>
          <w:p>
            <w:pPr>
              <w:ind w:left="980"/>
              <w:spacing w:after="0"/>
              <w:rPr>
                <w:sz w:val="20"/>
                <w:szCs w:val="20"/>
                <w:color w:val="auto"/>
              </w:rPr>
            </w:pPr>
            <w:r>
              <w:rPr>
                <w:rFonts w:ascii="Arial" w:cs="Arial" w:eastAsia="Arial" w:hAnsi="Arial"/>
                <w:sz w:val="14"/>
                <w:szCs w:val="14"/>
                <w:color w:val="4D4D4F"/>
              </w:rPr>
              <w:t>No</w:t>
            </w:r>
          </w:p>
        </w:tc>
      </w:tr>
      <w:tr>
        <w:trPr>
          <w:trHeight w:val="203"/>
        </w:trPr>
        <w:tc>
          <w:tcPr>
            <w:tcW w:w="1500" w:type="dxa"/>
            <w:vAlign w:val="bottom"/>
            <w:shd w:val="clear" w:color="auto" w:fill="B7E4FF"/>
          </w:tcPr>
          <w:p>
            <w:pPr>
              <w:spacing w:after="0"/>
              <w:rPr>
                <w:sz w:val="20"/>
                <w:szCs w:val="20"/>
                <w:color w:val="auto"/>
              </w:rPr>
            </w:pPr>
            <w:r>
              <w:rPr>
                <w:rFonts w:ascii="Arial" w:cs="Arial" w:eastAsia="Arial" w:hAnsi="Arial"/>
                <w:sz w:val="14"/>
                <w:szCs w:val="14"/>
                <w:b w:val="1"/>
                <w:bCs w:val="1"/>
                <w:i w:val="1"/>
                <w:iCs w:val="1"/>
                <w:color w:val="003E64"/>
              </w:rPr>
              <w:t>Chair:</w:t>
            </w:r>
          </w:p>
        </w:tc>
        <w:tc>
          <w:tcPr>
            <w:tcW w:w="5500" w:type="dxa"/>
            <w:vAlign w:val="bottom"/>
            <w:shd w:val="clear" w:color="auto" w:fill="B7E4FF"/>
          </w:tcPr>
          <w:p>
            <w:pPr>
              <w:ind w:left="140"/>
              <w:spacing w:after="0"/>
              <w:rPr>
                <w:sz w:val="20"/>
                <w:szCs w:val="20"/>
                <w:color w:val="auto"/>
              </w:rPr>
            </w:pPr>
            <w:r>
              <w:rPr>
                <w:rFonts w:ascii="Arial" w:cs="Arial" w:eastAsia="Arial" w:hAnsi="Arial"/>
                <w:sz w:val="14"/>
                <w:szCs w:val="14"/>
                <w:color w:val="4D4D4F"/>
              </w:rPr>
              <w:t>Separate Chair of the Board and CEO</w:t>
            </w:r>
          </w:p>
        </w:tc>
        <w:tc>
          <w:tcPr>
            <w:tcW w:w="1880" w:type="dxa"/>
            <w:vAlign w:val="bottom"/>
            <w:shd w:val="clear" w:color="auto" w:fill="B7E4FF"/>
          </w:tcPr>
          <w:p>
            <w:pPr>
              <w:ind w:left="980"/>
              <w:spacing w:after="0"/>
              <w:rPr>
                <w:sz w:val="20"/>
                <w:szCs w:val="20"/>
                <w:color w:val="auto"/>
              </w:rPr>
            </w:pPr>
            <w:r>
              <w:rPr>
                <w:rFonts w:ascii="Arial" w:cs="Arial" w:eastAsia="Arial" w:hAnsi="Arial"/>
                <w:sz w:val="14"/>
                <w:szCs w:val="14"/>
                <w:color w:val="4D4D4F"/>
              </w:rPr>
              <w:t>No</w:t>
            </w:r>
          </w:p>
        </w:tc>
      </w:tr>
      <w:tr>
        <w:trPr>
          <w:trHeight w:val="203"/>
        </w:trPr>
        <w:tc>
          <w:tcPr>
            <w:tcW w:w="1500" w:type="dxa"/>
            <w:vAlign w:val="bottom"/>
            <w:shd w:val="clear" w:color="auto" w:fill="B7E4FF"/>
          </w:tcPr>
          <w:p>
            <w:pPr>
              <w:spacing w:after="0"/>
              <w:rPr>
                <w:sz w:val="17"/>
                <w:szCs w:val="17"/>
                <w:color w:val="auto"/>
              </w:rPr>
            </w:pPr>
          </w:p>
        </w:tc>
        <w:tc>
          <w:tcPr>
            <w:tcW w:w="5500" w:type="dxa"/>
            <w:vAlign w:val="bottom"/>
            <w:shd w:val="clear" w:color="auto" w:fill="B7E4FF"/>
          </w:tcPr>
          <w:p>
            <w:pPr>
              <w:ind w:left="140"/>
              <w:spacing w:after="0"/>
              <w:rPr>
                <w:sz w:val="20"/>
                <w:szCs w:val="20"/>
                <w:color w:val="auto"/>
              </w:rPr>
            </w:pPr>
            <w:r>
              <w:rPr>
                <w:rFonts w:ascii="Arial" w:cs="Arial" w:eastAsia="Arial" w:hAnsi="Arial"/>
                <w:sz w:val="14"/>
                <w:szCs w:val="14"/>
                <w:color w:val="4D4D4F"/>
              </w:rPr>
              <w:t>Independent Lead Director</w:t>
            </w:r>
          </w:p>
        </w:tc>
        <w:tc>
          <w:tcPr>
            <w:tcW w:w="1880" w:type="dxa"/>
            <w:vAlign w:val="bottom"/>
            <w:shd w:val="clear" w:color="auto" w:fill="B7E4FF"/>
          </w:tcPr>
          <w:p>
            <w:pPr>
              <w:ind w:left="980"/>
              <w:spacing w:after="0"/>
              <w:rPr>
                <w:sz w:val="20"/>
                <w:szCs w:val="20"/>
                <w:color w:val="auto"/>
              </w:rPr>
            </w:pPr>
            <w:r>
              <w:rPr>
                <w:rFonts w:ascii="Arial" w:cs="Arial" w:eastAsia="Arial" w:hAnsi="Arial"/>
                <w:sz w:val="14"/>
                <w:szCs w:val="14"/>
                <w:color w:val="4D4D4F"/>
              </w:rPr>
              <w:t>Yes</w:t>
            </w:r>
          </w:p>
        </w:tc>
      </w:tr>
      <w:tr>
        <w:trPr>
          <w:trHeight w:val="203"/>
        </w:trPr>
        <w:tc>
          <w:tcPr>
            <w:tcW w:w="1500" w:type="dxa"/>
            <w:vAlign w:val="bottom"/>
            <w:shd w:val="clear" w:color="auto" w:fill="B7E4FF"/>
          </w:tcPr>
          <w:p>
            <w:pPr>
              <w:spacing w:after="0"/>
              <w:rPr>
                <w:sz w:val="17"/>
                <w:szCs w:val="17"/>
                <w:color w:val="auto"/>
              </w:rPr>
            </w:pPr>
          </w:p>
        </w:tc>
        <w:tc>
          <w:tcPr>
            <w:tcW w:w="5500" w:type="dxa"/>
            <w:vAlign w:val="bottom"/>
            <w:shd w:val="clear" w:color="auto" w:fill="B7E4FF"/>
          </w:tcPr>
          <w:p>
            <w:pPr>
              <w:ind w:left="140"/>
              <w:spacing w:after="0"/>
              <w:rPr>
                <w:sz w:val="20"/>
                <w:szCs w:val="20"/>
                <w:color w:val="auto"/>
              </w:rPr>
            </w:pPr>
            <w:r>
              <w:rPr>
                <w:rFonts w:ascii="Arial" w:cs="Arial" w:eastAsia="Arial" w:hAnsi="Arial"/>
                <w:sz w:val="14"/>
                <w:szCs w:val="14"/>
                <w:color w:val="4D4D4F"/>
              </w:rPr>
              <w:t>Robust Responsibilities and Duties Assigned to Independent Chair</w:t>
            </w:r>
          </w:p>
        </w:tc>
        <w:tc>
          <w:tcPr>
            <w:tcW w:w="1880" w:type="dxa"/>
            <w:vAlign w:val="bottom"/>
            <w:shd w:val="clear" w:color="auto" w:fill="B7E4FF"/>
          </w:tcPr>
          <w:p>
            <w:pPr>
              <w:ind w:left="980"/>
              <w:spacing w:after="0"/>
              <w:rPr>
                <w:sz w:val="20"/>
                <w:szCs w:val="20"/>
                <w:color w:val="auto"/>
              </w:rPr>
            </w:pPr>
            <w:r>
              <w:rPr>
                <w:rFonts w:ascii="Arial" w:cs="Arial" w:eastAsia="Arial" w:hAnsi="Arial"/>
                <w:sz w:val="14"/>
                <w:szCs w:val="14"/>
                <w:color w:val="4D4D4F"/>
              </w:rPr>
              <w:t>Yes</w:t>
            </w:r>
          </w:p>
        </w:tc>
      </w:tr>
      <w:tr>
        <w:trPr>
          <w:trHeight w:val="204"/>
        </w:trPr>
        <w:tc>
          <w:tcPr>
            <w:tcW w:w="1500" w:type="dxa"/>
            <w:vAlign w:val="bottom"/>
          </w:tcPr>
          <w:p>
            <w:pPr>
              <w:spacing w:after="0"/>
              <w:rPr>
                <w:sz w:val="20"/>
                <w:szCs w:val="20"/>
                <w:color w:val="auto"/>
              </w:rPr>
            </w:pPr>
            <w:r>
              <w:rPr>
                <w:rFonts w:ascii="Arial" w:cs="Arial" w:eastAsia="Arial" w:hAnsi="Arial"/>
                <w:sz w:val="14"/>
                <w:szCs w:val="14"/>
                <w:b w:val="1"/>
                <w:bCs w:val="1"/>
                <w:i w:val="1"/>
                <w:iCs w:val="1"/>
                <w:color w:val="003E64"/>
              </w:rPr>
              <w:t>Meetings:</w:t>
            </w:r>
          </w:p>
        </w:tc>
        <w:tc>
          <w:tcPr>
            <w:tcW w:w="5500" w:type="dxa"/>
            <w:vAlign w:val="bottom"/>
          </w:tcPr>
          <w:p>
            <w:pPr>
              <w:ind w:left="140"/>
              <w:spacing w:after="0"/>
              <w:rPr>
                <w:sz w:val="20"/>
                <w:szCs w:val="20"/>
                <w:color w:val="auto"/>
              </w:rPr>
            </w:pPr>
            <w:r>
              <w:rPr>
                <w:rFonts w:ascii="Arial" w:cs="Arial" w:eastAsia="Arial" w:hAnsi="Arial"/>
                <w:sz w:val="14"/>
                <w:szCs w:val="14"/>
                <w:color w:val="4D4D4F"/>
              </w:rPr>
              <w:t>Number of Board Meetings Held in 2020</w:t>
            </w:r>
          </w:p>
        </w:tc>
        <w:tc>
          <w:tcPr>
            <w:tcW w:w="1880" w:type="dxa"/>
            <w:vAlign w:val="bottom"/>
          </w:tcPr>
          <w:p>
            <w:pPr>
              <w:ind w:left="980"/>
              <w:spacing w:after="0"/>
              <w:rPr>
                <w:sz w:val="20"/>
                <w:szCs w:val="20"/>
                <w:color w:val="auto"/>
              </w:rPr>
            </w:pPr>
            <w:r>
              <w:rPr>
                <w:rFonts w:ascii="Arial" w:cs="Arial" w:eastAsia="Arial" w:hAnsi="Arial"/>
                <w:sz w:val="14"/>
                <w:szCs w:val="14"/>
                <w:color w:val="4D4D4F"/>
              </w:rPr>
              <w:t>6</w:t>
            </w:r>
          </w:p>
        </w:tc>
      </w:tr>
      <w:tr>
        <w:trPr>
          <w:trHeight w:val="203"/>
        </w:trPr>
        <w:tc>
          <w:tcPr>
            <w:tcW w:w="1500" w:type="dxa"/>
            <w:vAlign w:val="bottom"/>
          </w:tcPr>
          <w:p>
            <w:pPr>
              <w:spacing w:after="0"/>
              <w:rPr>
                <w:sz w:val="17"/>
                <w:szCs w:val="17"/>
                <w:color w:val="auto"/>
              </w:rPr>
            </w:pPr>
          </w:p>
        </w:tc>
        <w:tc>
          <w:tcPr>
            <w:tcW w:w="5500" w:type="dxa"/>
            <w:vAlign w:val="bottom"/>
          </w:tcPr>
          <w:p>
            <w:pPr>
              <w:ind w:left="140"/>
              <w:spacing w:after="0"/>
              <w:rPr>
                <w:sz w:val="20"/>
                <w:szCs w:val="20"/>
                <w:color w:val="auto"/>
              </w:rPr>
            </w:pPr>
            <w:r>
              <w:rPr>
                <w:rFonts w:ascii="Arial" w:cs="Arial" w:eastAsia="Arial" w:hAnsi="Arial"/>
                <w:sz w:val="14"/>
                <w:szCs w:val="14"/>
                <w:color w:val="4D4D4F"/>
              </w:rPr>
              <w:t>Directors Attending Fewer than 75% of Board Meetings in 2020</w:t>
            </w:r>
          </w:p>
        </w:tc>
        <w:tc>
          <w:tcPr>
            <w:tcW w:w="1880" w:type="dxa"/>
            <w:vAlign w:val="bottom"/>
          </w:tcPr>
          <w:p>
            <w:pPr>
              <w:ind w:left="980"/>
              <w:spacing w:after="0"/>
              <w:rPr>
                <w:sz w:val="20"/>
                <w:szCs w:val="20"/>
                <w:color w:val="auto"/>
              </w:rPr>
            </w:pPr>
            <w:r>
              <w:rPr>
                <w:rFonts w:ascii="Arial" w:cs="Arial" w:eastAsia="Arial" w:hAnsi="Arial"/>
                <w:sz w:val="14"/>
                <w:szCs w:val="14"/>
                <w:color w:val="4D4D4F"/>
              </w:rPr>
              <w:t>2*</w:t>
            </w:r>
          </w:p>
        </w:tc>
      </w:tr>
      <w:tr>
        <w:trPr>
          <w:trHeight w:val="203"/>
        </w:trPr>
        <w:tc>
          <w:tcPr>
            <w:tcW w:w="1500" w:type="dxa"/>
            <w:vAlign w:val="bottom"/>
          </w:tcPr>
          <w:p>
            <w:pPr>
              <w:spacing w:after="0"/>
              <w:rPr>
                <w:sz w:val="17"/>
                <w:szCs w:val="17"/>
                <w:color w:val="auto"/>
              </w:rPr>
            </w:pPr>
          </w:p>
        </w:tc>
        <w:tc>
          <w:tcPr>
            <w:tcW w:w="5500" w:type="dxa"/>
            <w:vAlign w:val="bottom"/>
          </w:tcPr>
          <w:p>
            <w:pPr>
              <w:ind w:left="140"/>
              <w:spacing w:after="0"/>
              <w:rPr>
                <w:sz w:val="20"/>
                <w:szCs w:val="20"/>
                <w:color w:val="auto"/>
              </w:rPr>
            </w:pPr>
            <w:r>
              <w:rPr>
                <w:rFonts w:ascii="Arial" w:cs="Arial" w:eastAsia="Arial" w:hAnsi="Arial"/>
                <w:sz w:val="14"/>
                <w:szCs w:val="14"/>
                <w:color w:val="4D4D4F"/>
              </w:rPr>
              <w:t>Independent Directors Meet Without Management Present</w:t>
            </w:r>
          </w:p>
        </w:tc>
        <w:tc>
          <w:tcPr>
            <w:tcW w:w="1880" w:type="dxa"/>
            <w:vAlign w:val="bottom"/>
          </w:tcPr>
          <w:p>
            <w:pPr>
              <w:ind w:left="980"/>
              <w:spacing w:after="0"/>
              <w:rPr>
                <w:sz w:val="20"/>
                <w:szCs w:val="20"/>
                <w:color w:val="auto"/>
              </w:rPr>
            </w:pPr>
            <w:r>
              <w:rPr>
                <w:rFonts w:ascii="Arial" w:cs="Arial" w:eastAsia="Arial" w:hAnsi="Arial"/>
                <w:sz w:val="14"/>
                <w:szCs w:val="14"/>
                <w:color w:val="4D4D4F"/>
              </w:rPr>
              <w:t>Yes</w:t>
            </w:r>
          </w:p>
        </w:tc>
      </w:tr>
      <w:tr>
        <w:trPr>
          <w:trHeight w:val="203"/>
        </w:trPr>
        <w:tc>
          <w:tcPr>
            <w:tcW w:w="1500" w:type="dxa"/>
            <w:vAlign w:val="bottom"/>
          </w:tcPr>
          <w:p>
            <w:pPr>
              <w:spacing w:after="0"/>
              <w:rPr>
                <w:sz w:val="17"/>
                <w:szCs w:val="17"/>
                <w:color w:val="auto"/>
              </w:rPr>
            </w:pPr>
          </w:p>
        </w:tc>
        <w:tc>
          <w:tcPr>
            <w:tcW w:w="5500" w:type="dxa"/>
            <w:vAlign w:val="bottom"/>
          </w:tcPr>
          <w:p>
            <w:pPr>
              <w:ind w:left="140"/>
              <w:spacing w:after="0"/>
              <w:rPr>
                <w:sz w:val="20"/>
                <w:szCs w:val="20"/>
                <w:color w:val="auto"/>
              </w:rPr>
            </w:pPr>
            <w:r>
              <w:rPr>
                <w:rFonts w:ascii="Arial" w:cs="Arial" w:eastAsia="Arial" w:hAnsi="Arial"/>
                <w:sz w:val="14"/>
                <w:szCs w:val="14"/>
                <w:color w:val="4D4D4F"/>
              </w:rPr>
              <w:t>Number of Standing Committee Meetings Held in 2020</w:t>
            </w:r>
          </w:p>
        </w:tc>
        <w:tc>
          <w:tcPr>
            <w:tcW w:w="1880" w:type="dxa"/>
            <w:vAlign w:val="bottom"/>
          </w:tcPr>
          <w:p>
            <w:pPr>
              <w:ind w:left="980"/>
              <w:spacing w:after="0"/>
              <w:rPr>
                <w:sz w:val="20"/>
                <w:szCs w:val="20"/>
                <w:color w:val="auto"/>
              </w:rPr>
            </w:pPr>
            <w:r>
              <w:rPr>
                <w:rFonts w:ascii="Arial" w:cs="Arial" w:eastAsia="Arial" w:hAnsi="Arial"/>
                <w:sz w:val="14"/>
                <w:szCs w:val="14"/>
                <w:color w:val="4D4D4F"/>
              </w:rPr>
              <w:t>13</w:t>
            </w:r>
          </w:p>
        </w:tc>
      </w:tr>
      <w:tr>
        <w:trPr>
          <w:trHeight w:val="201"/>
        </w:trPr>
        <w:tc>
          <w:tcPr>
            <w:tcW w:w="1500" w:type="dxa"/>
            <w:vAlign w:val="bottom"/>
          </w:tcPr>
          <w:p>
            <w:pPr>
              <w:spacing w:after="0"/>
              <w:rPr>
                <w:sz w:val="17"/>
                <w:szCs w:val="17"/>
                <w:color w:val="auto"/>
              </w:rPr>
            </w:pPr>
          </w:p>
        </w:tc>
        <w:tc>
          <w:tcPr>
            <w:tcW w:w="5500" w:type="dxa"/>
            <w:vAlign w:val="bottom"/>
          </w:tcPr>
          <w:p>
            <w:pPr>
              <w:ind w:left="140"/>
              <w:spacing w:after="0"/>
              <w:rPr>
                <w:sz w:val="20"/>
                <w:szCs w:val="20"/>
                <w:color w:val="auto"/>
              </w:rPr>
            </w:pPr>
            <w:r>
              <w:rPr>
                <w:rFonts w:ascii="Arial" w:cs="Arial" w:eastAsia="Arial" w:hAnsi="Arial"/>
                <w:sz w:val="14"/>
                <w:szCs w:val="14"/>
                <w:color w:val="4D4D4F"/>
              </w:rPr>
              <w:t>Members Attending Fewer than 75% of Committee Meetings in 2020</w:t>
            </w:r>
          </w:p>
        </w:tc>
        <w:tc>
          <w:tcPr>
            <w:tcW w:w="1880" w:type="dxa"/>
            <w:vAlign w:val="bottom"/>
          </w:tcPr>
          <w:p>
            <w:pPr>
              <w:ind w:left="980"/>
              <w:spacing w:after="0"/>
              <w:rPr>
                <w:sz w:val="20"/>
                <w:szCs w:val="20"/>
                <w:color w:val="auto"/>
              </w:rPr>
            </w:pPr>
            <w:r>
              <w:rPr>
                <w:rFonts w:ascii="Arial" w:cs="Arial" w:eastAsia="Arial" w:hAnsi="Arial"/>
                <w:sz w:val="14"/>
                <w:szCs w:val="14"/>
                <w:color w:val="4D4D4F"/>
              </w:rPr>
              <w:t>0</w:t>
            </w:r>
          </w:p>
        </w:tc>
      </w:tr>
      <w:tr>
        <w:trPr>
          <w:trHeight w:val="203"/>
        </w:trPr>
        <w:tc>
          <w:tcPr>
            <w:tcW w:w="1500" w:type="dxa"/>
            <w:vAlign w:val="bottom"/>
            <w:shd w:val="clear" w:color="auto" w:fill="B7E4FF"/>
          </w:tcPr>
          <w:p>
            <w:pPr>
              <w:spacing w:after="0"/>
              <w:rPr>
                <w:sz w:val="20"/>
                <w:szCs w:val="20"/>
                <w:color w:val="auto"/>
              </w:rPr>
            </w:pPr>
            <w:r>
              <w:rPr>
                <w:rFonts w:ascii="Arial" w:cs="Arial" w:eastAsia="Arial" w:hAnsi="Arial"/>
                <w:sz w:val="14"/>
                <w:szCs w:val="14"/>
                <w:b w:val="1"/>
                <w:bCs w:val="1"/>
                <w:i w:val="1"/>
                <w:iCs w:val="1"/>
                <w:color w:val="003E64"/>
              </w:rPr>
              <w:t>Director Status:</w:t>
            </w:r>
          </w:p>
        </w:tc>
        <w:tc>
          <w:tcPr>
            <w:tcW w:w="5500" w:type="dxa"/>
            <w:vAlign w:val="bottom"/>
            <w:shd w:val="clear" w:color="auto" w:fill="B7E4FF"/>
          </w:tcPr>
          <w:p>
            <w:pPr>
              <w:ind w:left="140"/>
              <w:spacing w:after="0"/>
              <w:rPr>
                <w:sz w:val="20"/>
                <w:szCs w:val="20"/>
                <w:color w:val="auto"/>
              </w:rPr>
            </w:pPr>
            <w:r>
              <w:rPr>
                <w:rFonts w:ascii="Arial" w:cs="Arial" w:eastAsia="Arial" w:hAnsi="Arial"/>
                <w:sz w:val="14"/>
                <w:szCs w:val="14"/>
                <w:color w:val="4D4D4F"/>
              </w:rPr>
              <w:t>Directors Overboarded per ISS or Glass Lewis Voting Guidelines</w:t>
            </w:r>
          </w:p>
        </w:tc>
        <w:tc>
          <w:tcPr>
            <w:tcW w:w="1880" w:type="dxa"/>
            <w:vAlign w:val="bottom"/>
            <w:shd w:val="clear" w:color="auto" w:fill="B7E4FF"/>
          </w:tcPr>
          <w:p>
            <w:pPr>
              <w:ind w:left="980"/>
              <w:spacing w:after="0"/>
              <w:rPr>
                <w:sz w:val="20"/>
                <w:szCs w:val="20"/>
                <w:color w:val="auto"/>
              </w:rPr>
            </w:pPr>
            <w:r>
              <w:rPr>
                <w:rFonts w:ascii="Arial" w:cs="Arial" w:eastAsia="Arial" w:hAnsi="Arial"/>
                <w:sz w:val="14"/>
                <w:szCs w:val="14"/>
                <w:color w:val="4D4D4F"/>
              </w:rPr>
              <w:t>None</w:t>
            </w:r>
          </w:p>
        </w:tc>
      </w:tr>
      <w:tr>
        <w:trPr>
          <w:trHeight w:val="203"/>
        </w:trPr>
        <w:tc>
          <w:tcPr>
            <w:tcW w:w="1500" w:type="dxa"/>
            <w:vAlign w:val="bottom"/>
            <w:shd w:val="clear" w:color="auto" w:fill="B7E4FF"/>
          </w:tcPr>
          <w:p>
            <w:pPr>
              <w:spacing w:after="0"/>
              <w:rPr>
                <w:sz w:val="17"/>
                <w:szCs w:val="17"/>
                <w:color w:val="auto"/>
              </w:rPr>
            </w:pPr>
          </w:p>
        </w:tc>
        <w:tc>
          <w:tcPr>
            <w:tcW w:w="5500" w:type="dxa"/>
            <w:vAlign w:val="bottom"/>
            <w:shd w:val="clear" w:color="auto" w:fill="B7E4FF"/>
          </w:tcPr>
          <w:p>
            <w:pPr>
              <w:ind w:left="140"/>
              <w:spacing w:after="0"/>
              <w:rPr>
                <w:sz w:val="20"/>
                <w:szCs w:val="20"/>
                <w:color w:val="auto"/>
              </w:rPr>
            </w:pPr>
            <w:r>
              <w:rPr>
                <w:rFonts w:ascii="Arial" w:cs="Arial" w:eastAsia="Arial" w:hAnsi="Arial"/>
                <w:sz w:val="14"/>
                <w:szCs w:val="14"/>
                <w:color w:val="4D4D4F"/>
              </w:rPr>
              <w:t>Standing Board Committee Membership Independence</w:t>
            </w:r>
          </w:p>
        </w:tc>
        <w:tc>
          <w:tcPr>
            <w:tcW w:w="1880" w:type="dxa"/>
            <w:vAlign w:val="bottom"/>
            <w:shd w:val="clear" w:color="auto" w:fill="B7E4FF"/>
          </w:tcPr>
          <w:p>
            <w:pPr>
              <w:ind w:left="980"/>
              <w:spacing w:after="0"/>
              <w:rPr>
                <w:sz w:val="20"/>
                <w:szCs w:val="20"/>
                <w:color w:val="auto"/>
              </w:rPr>
            </w:pPr>
            <w:r>
              <w:rPr>
                <w:rFonts w:ascii="Arial" w:cs="Arial" w:eastAsia="Arial" w:hAnsi="Arial"/>
                <w:sz w:val="14"/>
                <w:szCs w:val="14"/>
                <w:color w:val="4D4D4F"/>
              </w:rPr>
              <w:t>100%</w:t>
            </w:r>
          </w:p>
        </w:tc>
      </w:tr>
      <w:tr>
        <w:trPr>
          <w:trHeight w:val="204"/>
        </w:trPr>
        <w:tc>
          <w:tcPr>
            <w:tcW w:w="1500" w:type="dxa"/>
            <w:vAlign w:val="bottom"/>
            <w:shd w:val="clear" w:color="auto" w:fill="B7E4FF"/>
          </w:tcPr>
          <w:p>
            <w:pPr>
              <w:spacing w:after="0"/>
              <w:rPr>
                <w:sz w:val="17"/>
                <w:szCs w:val="17"/>
                <w:color w:val="auto"/>
              </w:rPr>
            </w:pPr>
          </w:p>
        </w:tc>
        <w:tc>
          <w:tcPr>
            <w:tcW w:w="5500" w:type="dxa"/>
            <w:vAlign w:val="bottom"/>
            <w:shd w:val="clear" w:color="auto" w:fill="B7E4FF"/>
          </w:tcPr>
          <w:p>
            <w:pPr>
              <w:ind w:left="140"/>
              <w:spacing w:after="0"/>
              <w:rPr>
                <w:sz w:val="20"/>
                <w:szCs w:val="20"/>
                <w:color w:val="auto"/>
              </w:rPr>
            </w:pPr>
            <w:r>
              <w:rPr>
                <w:rFonts w:ascii="Arial" w:cs="Arial" w:eastAsia="Arial" w:hAnsi="Arial"/>
                <w:sz w:val="14"/>
                <w:szCs w:val="14"/>
                <w:color w:val="4D4D4F"/>
              </w:rPr>
              <w:t>Board Oversight of Company Strategy and Risk</w:t>
            </w:r>
          </w:p>
        </w:tc>
        <w:tc>
          <w:tcPr>
            <w:tcW w:w="1880" w:type="dxa"/>
            <w:vAlign w:val="bottom"/>
            <w:shd w:val="clear" w:color="auto" w:fill="B7E4FF"/>
          </w:tcPr>
          <w:p>
            <w:pPr>
              <w:ind w:left="980"/>
              <w:spacing w:after="0"/>
              <w:rPr>
                <w:sz w:val="20"/>
                <w:szCs w:val="20"/>
                <w:color w:val="auto"/>
              </w:rPr>
            </w:pPr>
            <w:r>
              <w:rPr>
                <w:rFonts w:ascii="Arial" w:cs="Arial" w:eastAsia="Arial" w:hAnsi="Arial"/>
                <w:sz w:val="14"/>
                <w:szCs w:val="14"/>
                <w:color w:val="4D4D4F"/>
              </w:rPr>
              <w:t>Yes</w:t>
            </w:r>
          </w:p>
        </w:tc>
      </w:tr>
      <w:tr>
        <w:trPr>
          <w:trHeight w:val="201"/>
        </w:trPr>
        <w:tc>
          <w:tcPr>
            <w:tcW w:w="1500" w:type="dxa"/>
            <w:vAlign w:val="bottom"/>
            <w:shd w:val="clear" w:color="auto" w:fill="B7E4FF"/>
          </w:tcPr>
          <w:p>
            <w:pPr>
              <w:spacing w:after="0"/>
              <w:rPr>
                <w:sz w:val="17"/>
                <w:szCs w:val="17"/>
                <w:color w:val="auto"/>
              </w:rPr>
            </w:pPr>
          </w:p>
        </w:tc>
        <w:tc>
          <w:tcPr>
            <w:tcW w:w="5500" w:type="dxa"/>
            <w:vAlign w:val="bottom"/>
            <w:shd w:val="clear" w:color="auto" w:fill="B7E4FF"/>
          </w:tcPr>
          <w:p>
            <w:pPr>
              <w:ind w:left="140"/>
              <w:spacing w:after="0"/>
              <w:rPr>
                <w:sz w:val="20"/>
                <w:szCs w:val="20"/>
                <w:color w:val="auto"/>
              </w:rPr>
            </w:pPr>
            <w:r>
              <w:rPr>
                <w:rFonts w:ascii="Arial" w:cs="Arial" w:eastAsia="Arial" w:hAnsi="Arial"/>
                <w:sz w:val="14"/>
                <w:szCs w:val="14"/>
                <w:color w:val="4D4D4F"/>
              </w:rPr>
              <w:t>Shares Pledged by Directors</w:t>
            </w:r>
          </w:p>
        </w:tc>
        <w:tc>
          <w:tcPr>
            <w:tcW w:w="1880" w:type="dxa"/>
            <w:vAlign w:val="bottom"/>
            <w:shd w:val="clear" w:color="auto" w:fill="B7E4FF"/>
          </w:tcPr>
          <w:p>
            <w:pPr>
              <w:ind w:left="980"/>
              <w:spacing w:after="0"/>
              <w:rPr>
                <w:sz w:val="20"/>
                <w:szCs w:val="20"/>
                <w:color w:val="auto"/>
              </w:rPr>
            </w:pPr>
            <w:r>
              <w:rPr>
                <w:rFonts w:ascii="Arial" w:cs="Arial" w:eastAsia="Arial" w:hAnsi="Arial"/>
                <w:sz w:val="14"/>
                <w:szCs w:val="14"/>
                <w:color w:val="4D4D4F"/>
              </w:rPr>
              <w:t>None</w:t>
            </w:r>
          </w:p>
        </w:tc>
      </w:tr>
      <w:tr>
        <w:trPr>
          <w:trHeight w:val="204"/>
        </w:trPr>
        <w:tc>
          <w:tcPr>
            <w:tcW w:w="1500" w:type="dxa"/>
            <w:vAlign w:val="bottom"/>
          </w:tcPr>
          <w:p>
            <w:pPr>
              <w:spacing w:after="0"/>
              <w:rPr>
                <w:sz w:val="20"/>
                <w:szCs w:val="20"/>
                <w:color w:val="auto"/>
              </w:rPr>
            </w:pPr>
            <w:r>
              <w:rPr>
                <w:rFonts w:ascii="Arial" w:cs="Arial" w:eastAsia="Arial" w:hAnsi="Arial"/>
                <w:sz w:val="14"/>
                <w:szCs w:val="14"/>
                <w:b w:val="1"/>
                <w:bCs w:val="1"/>
                <w:i w:val="1"/>
                <w:iCs w:val="1"/>
                <w:color w:val="003E64"/>
              </w:rPr>
              <w:t>Shareholder Rights:</w:t>
            </w:r>
          </w:p>
        </w:tc>
        <w:tc>
          <w:tcPr>
            <w:tcW w:w="5500" w:type="dxa"/>
            <w:vAlign w:val="bottom"/>
          </w:tcPr>
          <w:p>
            <w:pPr>
              <w:ind w:left="140"/>
              <w:spacing w:after="0"/>
              <w:rPr>
                <w:sz w:val="20"/>
                <w:szCs w:val="20"/>
                <w:color w:val="auto"/>
              </w:rPr>
            </w:pPr>
            <w:r>
              <w:rPr>
                <w:rFonts w:ascii="Arial" w:cs="Arial" w:eastAsia="Arial" w:hAnsi="Arial"/>
                <w:sz w:val="14"/>
                <w:szCs w:val="14"/>
                <w:color w:val="4D4D4F"/>
              </w:rPr>
              <w:t>Cumulative Voting</w:t>
            </w:r>
          </w:p>
        </w:tc>
        <w:tc>
          <w:tcPr>
            <w:tcW w:w="1880" w:type="dxa"/>
            <w:vAlign w:val="bottom"/>
          </w:tcPr>
          <w:p>
            <w:pPr>
              <w:ind w:left="980"/>
              <w:spacing w:after="0"/>
              <w:rPr>
                <w:sz w:val="20"/>
                <w:szCs w:val="20"/>
                <w:color w:val="auto"/>
              </w:rPr>
            </w:pPr>
            <w:r>
              <w:rPr>
                <w:rFonts w:ascii="Arial" w:cs="Arial" w:eastAsia="Arial" w:hAnsi="Arial"/>
                <w:sz w:val="14"/>
                <w:szCs w:val="14"/>
                <w:color w:val="4D4D4F"/>
              </w:rPr>
              <w:t>No</w:t>
            </w:r>
          </w:p>
        </w:tc>
      </w:tr>
      <w:tr>
        <w:trPr>
          <w:trHeight w:val="200"/>
        </w:trPr>
        <w:tc>
          <w:tcPr>
            <w:tcW w:w="1500" w:type="dxa"/>
            <w:vAlign w:val="bottom"/>
          </w:tcPr>
          <w:p>
            <w:pPr>
              <w:spacing w:after="0"/>
              <w:rPr>
                <w:sz w:val="17"/>
                <w:szCs w:val="17"/>
                <w:color w:val="auto"/>
              </w:rPr>
            </w:pPr>
          </w:p>
        </w:tc>
        <w:tc>
          <w:tcPr>
            <w:tcW w:w="5500" w:type="dxa"/>
            <w:vAlign w:val="bottom"/>
          </w:tcPr>
          <w:p>
            <w:pPr>
              <w:ind w:left="140"/>
              <w:spacing w:after="0"/>
              <w:rPr>
                <w:sz w:val="20"/>
                <w:szCs w:val="20"/>
                <w:color w:val="auto"/>
              </w:rPr>
            </w:pPr>
            <w:r>
              <w:rPr>
                <w:rFonts w:ascii="Arial" w:cs="Arial" w:eastAsia="Arial" w:hAnsi="Arial"/>
                <w:sz w:val="14"/>
                <w:szCs w:val="14"/>
                <w:color w:val="4D4D4F"/>
              </w:rPr>
              <w:t>Proxy Access Bylaw</w:t>
            </w:r>
          </w:p>
        </w:tc>
        <w:tc>
          <w:tcPr>
            <w:tcW w:w="1880" w:type="dxa"/>
            <w:vAlign w:val="bottom"/>
          </w:tcPr>
          <w:p>
            <w:pPr>
              <w:ind w:left="980"/>
              <w:spacing w:after="0"/>
              <w:rPr>
                <w:sz w:val="20"/>
                <w:szCs w:val="20"/>
                <w:color w:val="auto"/>
              </w:rPr>
            </w:pPr>
            <w:r>
              <w:rPr>
                <w:rFonts w:ascii="Arial" w:cs="Arial" w:eastAsia="Arial" w:hAnsi="Arial"/>
                <w:sz w:val="14"/>
                <w:szCs w:val="14"/>
                <w:color w:val="4D4D4F"/>
              </w:rPr>
              <w:t>Yes</w:t>
            </w:r>
          </w:p>
        </w:tc>
      </w:tr>
    </w:tbl>
    <w:p>
      <w:pPr>
        <w:ind w:left="1400" w:hanging="164"/>
        <w:spacing w:after="0" w:line="206" w:lineRule="auto"/>
        <w:tabs>
          <w:tab w:leader="none" w:pos="1400" w:val="left"/>
        </w:tabs>
        <w:numPr>
          <w:ilvl w:val="0"/>
          <w:numId w:val="6"/>
        </w:numPr>
        <w:rPr>
          <w:rFonts w:ascii="Arial" w:cs="Arial" w:eastAsia="Arial" w:hAnsi="Arial"/>
          <w:sz w:val="18"/>
          <w:szCs w:val="18"/>
          <w:color w:val="4D4D4F"/>
        </w:rPr>
      </w:pPr>
      <w:r>
        <w:rPr>
          <w:rFonts w:ascii="Arial" w:cs="Arial" w:eastAsia="Arial" w:hAnsi="Arial"/>
          <w:sz w:val="14"/>
          <w:szCs w:val="14"/>
          <w:color w:val="4D4D4F"/>
        </w:rPr>
        <w:t>One director nominee and one director not standing for re-election each attended 67% of board meetings held in 2020.</w:t>
      </w:r>
    </w:p>
    <w:p>
      <w:pPr>
        <w:spacing w:after="0" w:line="398"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0079C0"/>
        </w:rPr>
        <w:t>Amendments to Certificate of Incorporation</w:t>
      </w:r>
    </w:p>
    <w:p>
      <w:pPr>
        <w:spacing w:after="0" w:line="238" w:lineRule="exact"/>
        <w:rPr>
          <w:sz w:val="20"/>
          <w:szCs w:val="20"/>
          <w:color w:val="auto"/>
        </w:rPr>
      </w:pPr>
    </w:p>
    <w:p>
      <w:pPr>
        <w:ind w:left="120"/>
        <w:spacing w:after="0" w:line="246" w:lineRule="auto"/>
        <w:rPr>
          <w:sz w:val="20"/>
          <w:szCs w:val="20"/>
          <w:color w:val="auto"/>
        </w:rPr>
      </w:pPr>
      <w:r>
        <w:rPr>
          <w:rFonts w:ascii="Arial" w:cs="Arial" w:eastAsia="Arial" w:hAnsi="Arial"/>
          <w:sz w:val="18"/>
          <w:szCs w:val="18"/>
          <w:color w:val="4D4D4F"/>
        </w:rPr>
        <w:t>As the second proposal, we are asking stockholders to approve amendments to our certificate of incorporation, principally to increase the numbers of shares of common stock we are authorized to issue as follows:</w:t>
      </w:r>
    </w:p>
    <w:p>
      <w:pPr>
        <w:spacing w:after="0" w:line="62" w:lineRule="exact"/>
        <w:rPr>
          <w:sz w:val="20"/>
          <w:szCs w:val="20"/>
          <w:color w:val="auto"/>
        </w:rPr>
      </w:pPr>
    </w:p>
    <w:p>
      <w:pPr>
        <w:jc w:val="both"/>
        <w:ind w:left="440" w:hanging="324"/>
        <w:spacing w:after="0" w:line="238" w:lineRule="auto"/>
        <w:tabs>
          <w:tab w:leader="none" w:pos="440" w:val="left"/>
        </w:tabs>
        <w:numPr>
          <w:ilvl w:val="0"/>
          <w:numId w:val="7"/>
        </w:numPr>
        <w:rPr>
          <w:rFonts w:ascii="Arial" w:cs="Arial" w:eastAsia="Arial" w:hAnsi="Arial"/>
          <w:sz w:val="18"/>
          <w:szCs w:val="18"/>
          <w:color w:val="4D4D4F"/>
        </w:rPr>
      </w:pPr>
      <w:r>
        <w:rPr>
          <w:rFonts w:ascii="Arial" w:cs="Arial" w:eastAsia="Arial" w:hAnsi="Arial"/>
          <w:sz w:val="18"/>
          <w:szCs w:val="18"/>
          <w:color w:val="4D4D4F"/>
        </w:rPr>
        <w:t>The total number of authorized shares of Class A common stock would be increased from 50,000,000 to 150,000,000. Of the additional 100,000,000 shares of Class A common stock that would be authorized, a total of 60,000,000 shares would be available only for issuance as dividends on outstanding Class A common stock, in order to enable the board of directors to declare stock dividends in the future that would have the effect of a stock split of the Class A common stock.</w:t>
      </w:r>
    </w:p>
    <w:p>
      <w:pPr>
        <w:spacing w:after="0" w:line="42" w:lineRule="exact"/>
        <w:rPr>
          <w:rFonts w:ascii="Arial" w:cs="Arial" w:eastAsia="Arial" w:hAnsi="Arial"/>
          <w:sz w:val="18"/>
          <w:szCs w:val="18"/>
          <w:color w:val="4D4D4F"/>
        </w:rPr>
      </w:pPr>
    </w:p>
    <w:p>
      <w:pPr>
        <w:jc w:val="both"/>
        <w:ind w:left="440" w:hanging="324"/>
        <w:spacing w:after="0" w:line="238" w:lineRule="auto"/>
        <w:tabs>
          <w:tab w:leader="none" w:pos="440" w:val="left"/>
        </w:tabs>
        <w:numPr>
          <w:ilvl w:val="0"/>
          <w:numId w:val="7"/>
        </w:numPr>
        <w:rPr>
          <w:rFonts w:ascii="Arial" w:cs="Arial" w:eastAsia="Arial" w:hAnsi="Arial"/>
          <w:sz w:val="18"/>
          <w:szCs w:val="18"/>
          <w:color w:val="4D4D4F"/>
        </w:rPr>
      </w:pPr>
      <w:r>
        <w:rPr>
          <w:rFonts w:ascii="Arial" w:cs="Arial" w:eastAsia="Arial" w:hAnsi="Arial"/>
          <w:sz w:val="18"/>
          <w:szCs w:val="18"/>
          <w:color w:val="4D4D4F"/>
        </w:rPr>
        <w:t>The total number of authorized shares of Class B common stock would be increased from 2,409,738 to 5,307,816. All of the 2,898,078 additional shares of authorized but unissued Class B common stock, as well as the 640,466 shares of Class B common stock currently authorized but unissued, would be available only for issuance as dividends on outstanding Class B common stock, in order to enable the board to declare stock dividends in the future that would have the effect of a stock split of the Class B common stock.</w:t>
      </w:r>
    </w:p>
    <w:p>
      <w:pPr>
        <w:spacing w:after="0" w:line="42" w:lineRule="exact"/>
        <w:rPr>
          <w:rFonts w:ascii="Arial" w:cs="Arial" w:eastAsia="Arial" w:hAnsi="Arial"/>
          <w:sz w:val="18"/>
          <w:szCs w:val="18"/>
          <w:color w:val="4D4D4F"/>
        </w:rPr>
      </w:pPr>
    </w:p>
    <w:p>
      <w:pPr>
        <w:jc w:val="both"/>
        <w:ind w:left="440" w:hanging="324"/>
        <w:spacing w:after="0" w:line="238" w:lineRule="auto"/>
        <w:tabs>
          <w:tab w:leader="none" w:pos="440" w:val="left"/>
        </w:tabs>
        <w:numPr>
          <w:ilvl w:val="0"/>
          <w:numId w:val="7"/>
        </w:numPr>
        <w:rPr>
          <w:rFonts w:ascii="Arial" w:cs="Arial" w:eastAsia="Arial" w:hAnsi="Arial"/>
          <w:sz w:val="18"/>
          <w:szCs w:val="18"/>
          <w:color w:val="4D4D4F"/>
        </w:rPr>
      </w:pPr>
      <w:r>
        <w:rPr>
          <w:rFonts w:ascii="Arial" w:cs="Arial" w:eastAsia="Arial" w:hAnsi="Arial"/>
          <w:sz w:val="18"/>
          <w:szCs w:val="18"/>
          <w:color w:val="4D4D4F"/>
        </w:rPr>
        <w:t xml:space="preserve">The full text of the proposed amendments to our certificate of incorporation, marked to show the proposed deletions and insertions, is set forth in </w:t>
      </w:r>
      <w:r>
        <w:rPr>
          <w:rFonts w:ascii="Arial" w:cs="Arial" w:eastAsia="Arial" w:hAnsi="Arial"/>
          <w:sz w:val="18"/>
          <w:szCs w:val="18"/>
          <w:i w:val="1"/>
          <w:iCs w:val="1"/>
          <w:color w:val="4D4D4F"/>
        </w:rPr>
        <w:t>Appendix A</w:t>
      </w:r>
      <w:r>
        <w:rPr>
          <w:rFonts w:ascii="Arial" w:cs="Arial" w:eastAsia="Arial" w:hAnsi="Arial"/>
          <w:sz w:val="18"/>
          <w:szCs w:val="18"/>
          <w:color w:val="4D4D4F"/>
        </w:rPr>
        <w:t xml:space="preserve"> to this Proxy Statement. The general description of provisions of our certificate of incorporation and the proposed amendments to our certificate of incorporation set forth herein are qualified in their entirety by reference to the text of </w:t>
      </w:r>
      <w:r>
        <w:rPr>
          <w:rFonts w:ascii="Arial" w:cs="Arial" w:eastAsia="Arial" w:hAnsi="Arial"/>
          <w:sz w:val="18"/>
          <w:szCs w:val="18"/>
          <w:i w:val="1"/>
          <w:iCs w:val="1"/>
          <w:color w:val="4D4D4F"/>
        </w:rPr>
        <w:t>Appendix A</w:t>
      </w:r>
      <w:r>
        <w:rPr>
          <w:rFonts w:ascii="Arial" w:cs="Arial" w:eastAsia="Arial" w:hAnsi="Arial"/>
          <w:sz w:val="18"/>
          <w:szCs w:val="18"/>
          <w:color w:val="4D4D4F"/>
        </w:rPr>
        <w:t>.</w:t>
      </w:r>
    </w:p>
    <w:p>
      <w:pPr>
        <w:spacing w:after="0" w:line="42" w:lineRule="exact"/>
        <w:rPr>
          <w:rFonts w:ascii="Arial" w:cs="Arial" w:eastAsia="Arial" w:hAnsi="Arial"/>
          <w:sz w:val="18"/>
          <w:szCs w:val="18"/>
          <w:color w:val="4D4D4F"/>
        </w:rPr>
      </w:pPr>
    </w:p>
    <w:p>
      <w:pPr>
        <w:jc w:val="both"/>
        <w:ind w:left="440" w:hanging="324"/>
        <w:spacing w:after="0"/>
        <w:tabs>
          <w:tab w:leader="none" w:pos="440" w:val="left"/>
        </w:tabs>
        <w:numPr>
          <w:ilvl w:val="0"/>
          <w:numId w:val="7"/>
        </w:numPr>
        <w:rPr>
          <w:rFonts w:ascii="Arial" w:cs="Arial" w:eastAsia="Arial" w:hAnsi="Arial"/>
          <w:sz w:val="18"/>
          <w:szCs w:val="18"/>
          <w:color w:val="4D4D4F"/>
        </w:rPr>
      </w:pPr>
      <w:r>
        <w:rPr>
          <w:rFonts w:ascii="Arial" w:cs="Arial" w:eastAsia="Arial" w:hAnsi="Arial"/>
          <w:sz w:val="18"/>
          <w:szCs w:val="18"/>
          <w:color w:val="4D4D4F"/>
        </w:rPr>
        <w:t>If stockholders approve the proposed amendments to our certificate of incorporation, we will file a Certificate of Amendment that includes the proposed amendments with the Secretary of State of the State of Delaware following the Annual Meeting. The Certificate of Amendment will become effective upon acceptance of the filing by the Secretary of State of the State of Delaware.</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9" w:name="page10"/>
    <w:bookmarkEnd w:id="9"/>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115570</wp:posOffset>
            </wp:positionV>
            <wp:extent cx="7187565" cy="53873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7565" cy="538734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0079C0"/>
        </w:rPr>
        <w:t>Ratification of Appointment of Independent Auditor for 2021</w:t>
      </w:r>
    </w:p>
    <w:p>
      <w:pPr>
        <w:spacing w:after="0" w:line="200" w:lineRule="exact"/>
        <w:rPr>
          <w:sz w:val="20"/>
          <w:szCs w:val="20"/>
          <w:color w:val="auto"/>
        </w:rPr>
      </w:pPr>
    </w:p>
    <w:p>
      <w:pPr>
        <w:spacing w:after="0" w:line="213"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4D4D4F"/>
        </w:rPr>
        <w:t>We are asking stockholders to ratify the audit committee’s retention of BDO China Shu Lun Pan Certified Public Accountants LLP, an independent registered public accounting firm, as our independent auditor to examine and report on our consolidated financial statements for the fiscal year ending December 31, 2021.</w:t>
      </w:r>
    </w:p>
    <w:p>
      <w:pPr>
        <w:spacing w:after="0" w:line="360"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0079C0"/>
        </w:rPr>
        <w:t>Advisory Vote on 2020 Executive Compensation</w:t>
      </w:r>
    </w:p>
    <w:p>
      <w:pPr>
        <w:spacing w:after="0" w:line="200" w:lineRule="exact"/>
        <w:rPr>
          <w:sz w:val="20"/>
          <w:szCs w:val="20"/>
          <w:color w:val="auto"/>
        </w:rPr>
      </w:pPr>
    </w:p>
    <w:p>
      <w:pPr>
        <w:spacing w:after="0" w:line="213"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4D4D4F"/>
        </w:rPr>
        <w:t>In accordance with the rules of the Securities Exchange Commission, or the SEC, we are asking stockholders for an advisory vote — known as a “say-on-pay” vote — of the 2020 executive compensation of our “named executive officers,” or NEOs, as set forth in the compensation tables, related narrative discussion and other disclosures under “Executive Compensation” in this Proxy Statement. The following table provides information concerning the compensation paid for 2018, 2019 and 2020 to our NEOs, determined in accordance with SEC rules:</w:t>
      </w:r>
    </w:p>
    <w:p>
      <w:pPr>
        <w:spacing w:after="0" w:line="8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380" w:type="dxa"/>
            <w:vAlign w:val="bottom"/>
            <w:shd w:val="clear" w:color="auto" w:fill="003E64"/>
          </w:tcPr>
          <w:p>
            <w:pPr>
              <w:spacing w:after="0"/>
              <w:rPr>
                <w:sz w:val="14"/>
                <w:szCs w:val="14"/>
                <w:color w:val="auto"/>
              </w:rPr>
            </w:pPr>
          </w:p>
        </w:tc>
        <w:tc>
          <w:tcPr>
            <w:tcW w:w="780" w:type="dxa"/>
            <w:vAlign w:val="bottom"/>
            <w:shd w:val="clear" w:color="auto" w:fill="003E64"/>
          </w:tcPr>
          <w:p>
            <w:pPr>
              <w:spacing w:after="0"/>
              <w:rPr>
                <w:sz w:val="14"/>
                <w:szCs w:val="14"/>
                <w:color w:val="auto"/>
              </w:rPr>
            </w:pPr>
          </w:p>
        </w:tc>
        <w:tc>
          <w:tcPr>
            <w:tcW w:w="1120" w:type="dxa"/>
            <w:vAlign w:val="bottom"/>
            <w:shd w:val="clear" w:color="auto" w:fill="003E64"/>
          </w:tcPr>
          <w:p>
            <w:pPr>
              <w:spacing w:after="0"/>
              <w:rPr>
                <w:sz w:val="14"/>
                <w:szCs w:val="14"/>
                <w:color w:val="auto"/>
              </w:rPr>
            </w:pPr>
          </w:p>
        </w:tc>
        <w:tc>
          <w:tcPr>
            <w:tcW w:w="1160" w:type="dxa"/>
            <w:vAlign w:val="bottom"/>
            <w:shd w:val="clear" w:color="auto" w:fill="003E64"/>
          </w:tcPr>
          <w:p>
            <w:pPr>
              <w:spacing w:after="0"/>
              <w:rPr>
                <w:sz w:val="14"/>
                <w:szCs w:val="14"/>
                <w:color w:val="auto"/>
              </w:rPr>
            </w:pPr>
          </w:p>
        </w:tc>
        <w:tc>
          <w:tcPr>
            <w:tcW w:w="1180" w:type="dxa"/>
            <w:vAlign w:val="bottom"/>
            <w:shd w:val="clear" w:color="auto" w:fill="003E64"/>
          </w:tcPr>
          <w:p>
            <w:pPr>
              <w:ind w:left="320"/>
              <w:spacing w:after="0"/>
              <w:rPr>
                <w:sz w:val="20"/>
                <w:szCs w:val="20"/>
                <w:color w:val="auto"/>
              </w:rPr>
            </w:pPr>
            <w:r>
              <w:rPr>
                <w:rFonts w:ascii="Arial" w:cs="Arial" w:eastAsia="Arial" w:hAnsi="Arial"/>
                <w:sz w:val="14"/>
                <w:szCs w:val="14"/>
                <w:b w:val="1"/>
                <w:bCs w:val="1"/>
                <w:color w:val="FFFFFF"/>
              </w:rPr>
              <w:t>Option</w:t>
            </w:r>
          </w:p>
        </w:tc>
        <w:tc>
          <w:tcPr>
            <w:tcW w:w="1440" w:type="dxa"/>
            <w:vAlign w:val="bottom"/>
            <w:shd w:val="clear" w:color="auto" w:fill="003E64"/>
          </w:tcPr>
          <w:p>
            <w:pPr>
              <w:jc w:val="center"/>
              <w:spacing w:after="0"/>
              <w:rPr>
                <w:sz w:val="20"/>
                <w:szCs w:val="20"/>
                <w:color w:val="auto"/>
              </w:rPr>
            </w:pPr>
            <w:r>
              <w:rPr>
                <w:rFonts w:ascii="Arial" w:cs="Arial" w:eastAsia="Arial" w:hAnsi="Arial"/>
                <w:sz w:val="14"/>
                <w:szCs w:val="14"/>
                <w:b w:val="1"/>
                <w:bCs w:val="1"/>
                <w:color w:val="FFFFFF"/>
              </w:rPr>
              <w:t>All Other</w:t>
            </w:r>
          </w:p>
        </w:tc>
        <w:tc>
          <w:tcPr>
            <w:tcW w:w="1040" w:type="dxa"/>
            <w:vAlign w:val="bottom"/>
            <w:shd w:val="clear" w:color="auto" w:fill="003E64"/>
          </w:tcPr>
          <w:p>
            <w:pPr>
              <w:spacing w:after="0"/>
              <w:rPr>
                <w:sz w:val="14"/>
                <w:szCs w:val="14"/>
                <w:color w:val="auto"/>
              </w:rPr>
            </w:pPr>
          </w:p>
        </w:tc>
      </w:tr>
      <w:tr>
        <w:trPr>
          <w:trHeight w:val="162"/>
        </w:trPr>
        <w:tc>
          <w:tcPr>
            <w:tcW w:w="4380" w:type="dxa"/>
            <w:vAlign w:val="bottom"/>
            <w:shd w:val="clear" w:color="auto" w:fill="003E64"/>
          </w:tcPr>
          <w:p>
            <w:pPr>
              <w:spacing w:after="0"/>
              <w:rPr>
                <w:sz w:val="14"/>
                <w:szCs w:val="14"/>
                <w:color w:val="auto"/>
              </w:rPr>
            </w:pPr>
          </w:p>
        </w:tc>
        <w:tc>
          <w:tcPr>
            <w:tcW w:w="780" w:type="dxa"/>
            <w:vAlign w:val="bottom"/>
            <w:shd w:val="clear" w:color="auto" w:fill="003E64"/>
          </w:tcPr>
          <w:p>
            <w:pPr>
              <w:spacing w:after="0"/>
              <w:rPr>
                <w:sz w:val="14"/>
                <w:szCs w:val="14"/>
                <w:color w:val="auto"/>
              </w:rPr>
            </w:pPr>
          </w:p>
        </w:tc>
        <w:tc>
          <w:tcPr>
            <w:tcW w:w="1120" w:type="dxa"/>
            <w:vAlign w:val="bottom"/>
            <w:shd w:val="clear" w:color="auto" w:fill="003E64"/>
          </w:tcPr>
          <w:p>
            <w:pPr>
              <w:spacing w:after="0"/>
              <w:rPr>
                <w:sz w:val="14"/>
                <w:szCs w:val="14"/>
                <w:color w:val="auto"/>
              </w:rPr>
            </w:pPr>
          </w:p>
        </w:tc>
        <w:tc>
          <w:tcPr>
            <w:tcW w:w="1160" w:type="dxa"/>
            <w:vAlign w:val="bottom"/>
            <w:shd w:val="clear" w:color="auto" w:fill="003E64"/>
          </w:tcPr>
          <w:p>
            <w:pPr>
              <w:spacing w:after="0"/>
              <w:rPr>
                <w:sz w:val="14"/>
                <w:szCs w:val="14"/>
                <w:color w:val="auto"/>
              </w:rPr>
            </w:pPr>
          </w:p>
        </w:tc>
        <w:tc>
          <w:tcPr>
            <w:tcW w:w="1180" w:type="dxa"/>
            <w:vAlign w:val="bottom"/>
            <w:shd w:val="clear" w:color="auto" w:fill="003E64"/>
          </w:tcPr>
          <w:p>
            <w:pPr>
              <w:ind w:left="320"/>
              <w:spacing w:after="0"/>
              <w:rPr>
                <w:sz w:val="20"/>
                <w:szCs w:val="20"/>
                <w:color w:val="auto"/>
              </w:rPr>
            </w:pPr>
            <w:r>
              <w:rPr>
                <w:rFonts w:ascii="Arial" w:cs="Arial" w:eastAsia="Arial" w:hAnsi="Arial"/>
                <w:sz w:val="14"/>
                <w:szCs w:val="14"/>
                <w:b w:val="1"/>
                <w:bCs w:val="1"/>
                <w:color w:val="FFFFFF"/>
              </w:rPr>
              <w:t>Awards</w:t>
            </w:r>
          </w:p>
        </w:tc>
        <w:tc>
          <w:tcPr>
            <w:tcW w:w="1440" w:type="dxa"/>
            <w:vAlign w:val="bottom"/>
            <w:shd w:val="clear" w:color="auto" w:fill="003E64"/>
          </w:tcPr>
          <w:p>
            <w:pPr>
              <w:jc w:val="center"/>
              <w:ind w:left="8"/>
              <w:spacing w:after="0"/>
              <w:rPr>
                <w:sz w:val="20"/>
                <w:szCs w:val="20"/>
                <w:color w:val="auto"/>
              </w:rPr>
            </w:pPr>
            <w:r>
              <w:rPr>
                <w:rFonts w:ascii="Arial" w:cs="Arial" w:eastAsia="Arial" w:hAnsi="Arial"/>
                <w:sz w:val="14"/>
                <w:szCs w:val="14"/>
                <w:b w:val="1"/>
                <w:bCs w:val="1"/>
                <w:color w:val="FFFFFF"/>
              </w:rPr>
              <w:t>Compensation</w:t>
            </w:r>
          </w:p>
        </w:tc>
        <w:tc>
          <w:tcPr>
            <w:tcW w:w="1040" w:type="dxa"/>
            <w:vAlign w:val="bottom"/>
            <w:shd w:val="clear" w:color="auto" w:fill="003E64"/>
          </w:tcPr>
          <w:p>
            <w:pPr>
              <w:spacing w:after="0"/>
              <w:rPr>
                <w:sz w:val="14"/>
                <w:szCs w:val="14"/>
                <w:color w:val="auto"/>
              </w:rPr>
            </w:pPr>
          </w:p>
        </w:tc>
      </w:tr>
      <w:tr>
        <w:trPr>
          <w:trHeight w:val="175"/>
        </w:trPr>
        <w:tc>
          <w:tcPr>
            <w:tcW w:w="4380" w:type="dxa"/>
            <w:vAlign w:val="bottom"/>
            <w:shd w:val="clear" w:color="auto" w:fill="003E64"/>
          </w:tcPr>
          <w:p>
            <w:pPr>
              <w:spacing w:after="0"/>
              <w:rPr>
                <w:sz w:val="20"/>
                <w:szCs w:val="20"/>
                <w:color w:val="auto"/>
              </w:rPr>
            </w:pPr>
            <w:r>
              <w:rPr>
                <w:rFonts w:ascii="Arial" w:cs="Arial" w:eastAsia="Arial" w:hAnsi="Arial"/>
                <w:sz w:val="14"/>
                <w:szCs w:val="14"/>
                <w:b w:val="1"/>
                <w:bCs w:val="1"/>
                <w:color w:val="FFFFFF"/>
              </w:rPr>
              <w:t>Name and Principal Position</w:t>
            </w:r>
          </w:p>
        </w:tc>
        <w:tc>
          <w:tcPr>
            <w:tcW w:w="780" w:type="dxa"/>
            <w:vAlign w:val="bottom"/>
            <w:shd w:val="clear" w:color="auto" w:fill="003E64"/>
          </w:tcPr>
          <w:p>
            <w:pPr>
              <w:ind w:left="280"/>
              <w:spacing w:after="0"/>
              <w:rPr>
                <w:sz w:val="20"/>
                <w:szCs w:val="20"/>
                <w:color w:val="auto"/>
              </w:rPr>
            </w:pPr>
            <w:r>
              <w:rPr>
                <w:rFonts w:ascii="Arial" w:cs="Arial" w:eastAsia="Arial" w:hAnsi="Arial"/>
                <w:sz w:val="14"/>
                <w:szCs w:val="14"/>
                <w:b w:val="1"/>
                <w:bCs w:val="1"/>
                <w:color w:val="FFFFFF"/>
              </w:rPr>
              <w:t>Year</w:t>
            </w:r>
          </w:p>
        </w:tc>
        <w:tc>
          <w:tcPr>
            <w:tcW w:w="1120" w:type="dxa"/>
            <w:vAlign w:val="bottom"/>
            <w:shd w:val="clear" w:color="auto" w:fill="003E64"/>
          </w:tcPr>
          <w:p>
            <w:pPr>
              <w:ind w:left="180"/>
              <w:spacing w:after="0"/>
              <w:rPr>
                <w:sz w:val="20"/>
                <w:szCs w:val="20"/>
                <w:color w:val="auto"/>
              </w:rPr>
            </w:pPr>
            <w:r>
              <w:rPr>
                <w:rFonts w:ascii="Arial" w:cs="Arial" w:eastAsia="Arial" w:hAnsi="Arial"/>
                <w:sz w:val="14"/>
                <w:szCs w:val="14"/>
                <w:b w:val="1"/>
                <w:bCs w:val="1"/>
                <w:color w:val="FFFFFF"/>
              </w:rPr>
              <w:t>Salary($)(1)</w:t>
            </w:r>
          </w:p>
        </w:tc>
        <w:tc>
          <w:tcPr>
            <w:tcW w:w="1160" w:type="dxa"/>
            <w:vAlign w:val="bottom"/>
            <w:shd w:val="clear" w:color="auto" w:fill="003E64"/>
          </w:tcPr>
          <w:p>
            <w:pPr>
              <w:ind w:left="160"/>
              <w:spacing w:after="0"/>
              <w:rPr>
                <w:sz w:val="20"/>
                <w:szCs w:val="20"/>
                <w:color w:val="auto"/>
              </w:rPr>
            </w:pPr>
            <w:r>
              <w:rPr>
                <w:rFonts w:ascii="Arial" w:cs="Arial" w:eastAsia="Arial" w:hAnsi="Arial"/>
                <w:sz w:val="14"/>
                <w:szCs w:val="14"/>
                <w:b w:val="1"/>
                <w:bCs w:val="1"/>
                <w:color w:val="FFFFFF"/>
              </w:rPr>
              <w:t>Bonus($)(1)</w:t>
            </w:r>
          </w:p>
        </w:tc>
        <w:tc>
          <w:tcPr>
            <w:tcW w:w="1180" w:type="dxa"/>
            <w:vAlign w:val="bottom"/>
            <w:shd w:val="clear" w:color="auto" w:fill="003E64"/>
          </w:tcPr>
          <w:p>
            <w:pPr>
              <w:jc w:val="center"/>
              <w:spacing w:after="0"/>
              <w:rPr>
                <w:sz w:val="20"/>
                <w:szCs w:val="20"/>
                <w:color w:val="auto"/>
              </w:rPr>
            </w:pPr>
            <w:r>
              <w:rPr>
                <w:rFonts w:ascii="Arial" w:cs="Arial" w:eastAsia="Arial" w:hAnsi="Arial"/>
                <w:sz w:val="14"/>
                <w:szCs w:val="14"/>
                <w:b w:val="1"/>
                <w:bCs w:val="1"/>
                <w:color w:val="FFFFFF"/>
              </w:rPr>
              <w:t>($)(2)(3)</w:t>
            </w:r>
          </w:p>
        </w:tc>
        <w:tc>
          <w:tcPr>
            <w:tcW w:w="1440" w:type="dxa"/>
            <w:vAlign w:val="bottom"/>
            <w:shd w:val="clear" w:color="auto" w:fill="003E64"/>
          </w:tcPr>
          <w:p>
            <w:pPr>
              <w:jc w:val="center"/>
              <w:spacing w:after="0"/>
              <w:rPr>
                <w:sz w:val="20"/>
                <w:szCs w:val="20"/>
                <w:color w:val="auto"/>
              </w:rPr>
            </w:pPr>
            <w:r>
              <w:rPr>
                <w:rFonts w:ascii="Arial" w:cs="Arial" w:eastAsia="Arial" w:hAnsi="Arial"/>
                <w:sz w:val="14"/>
                <w:szCs w:val="14"/>
                <w:b w:val="1"/>
                <w:bCs w:val="1"/>
                <w:color w:val="FFFFFF"/>
              </w:rPr>
              <w:t>($)(1)(4)</w:t>
            </w:r>
          </w:p>
        </w:tc>
        <w:tc>
          <w:tcPr>
            <w:tcW w:w="1040" w:type="dxa"/>
            <w:vAlign w:val="bottom"/>
            <w:shd w:val="clear" w:color="auto" w:fill="003E64"/>
          </w:tcPr>
          <w:p>
            <w:pPr>
              <w:ind w:left="300"/>
              <w:spacing w:after="0"/>
              <w:rPr>
                <w:sz w:val="20"/>
                <w:szCs w:val="20"/>
                <w:color w:val="auto"/>
              </w:rPr>
            </w:pPr>
            <w:r>
              <w:rPr>
                <w:rFonts w:ascii="Arial" w:cs="Arial" w:eastAsia="Arial" w:hAnsi="Arial"/>
                <w:sz w:val="14"/>
                <w:szCs w:val="14"/>
                <w:b w:val="1"/>
                <w:bCs w:val="1"/>
                <w:color w:val="FFFFFF"/>
              </w:rPr>
              <w:t>Total($)</w:t>
            </w:r>
          </w:p>
        </w:tc>
      </w:tr>
      <w:tr>
        <w:trPr>
          <w:trHeight w:val="191"/>
        </w:trPr>
        <w:tc>
          <w:tcPr>
            <w:tcW w:w="4380" w:type="dxa"/>
            <w:vAlign w:val="bottom"/>
          </w:tcPr>
          <w:p>
            <w:pPr>
              <w:spacing w:after="0"/>
              <w:rPr>
                <w:sz w:val="20"/>
                <w:szCs w:val="20"/>
                <w:color w:val="auto"/>
              </w:rPr>
            </w:pPr>
            <w:r>
              <w:rPr>
                <w:rFonts w:ascii="Arial" w:cs="Arial" w:eastAsia="Arial" w:hAnsi="Arial"/>
                <w:sz w:val="14"/>
                <w:szCs w:val="14"/>
                <w:color w:val="4D4D4F"/>
              </w:rPr>
              <w:t>David H. Wang</w:t>
            </w:r>
          </w:p>
        </w:tc>
        <w:tc>
          <w:tcPr>
            <w:tcW w:w="780" w:type="dxa"/>
            <w:vAlign w:val="bottom"/>
          </w:tcPr>
          <w:p>
            <w:pPr>
              <w:ind w:left="280"/>
              <w:spacing w:after="0"/>
              <w:rPr>
                <w:sz w:val="20"/>
                <w:szCs w:val="20"/>
                <w:color w:val="auto"/>
              </w:rPr>
            </w:pPr>
            <w:r>
              <w:rPr>
                <w:rFonts w:ascii="Arial" w:cs="Arial" w:eastAsia="Arial" w:hAnsi="Arial"/>
                <w:sz w:val="14"/>
                <w:szCs w:val="14"/>
                <w:color w:val="4D4D4F"/>
              </w:rPr>
              <w:t>2020</w:t>
            </w:r>
          </w:p>
        </w:tc>
        <w:tc>
          <w:tcPr>
            <w:tcW w:w="1120" w:type="dxa"/>
            <w:vAlign w:val="bottom"/>
          </w:tcPr>
          <w:p>
            <w:pPr>
              <w:jc w:val="center"/>
              <w:spacing w:after="0"/>
              <w:rPr>
                <w:sz w:val="20"/>
                <w:szCs w:val="20"/>
                <w:color w:val="auto"/>
              </w:rPr>
            </w:pPr>
            <w:r>
              <w:rPr>
                <w:rFonts w:ascii="Arial" w:cs="Arial" w:eastAsia="Arial" w:hAnsi="Arial"/>
                <w:sz w:val="14"/>
                <w:szCs w:val="14"/>
                <w:color w:val="4D4D4F"/>
              </w:rPr>
              <w:t>$294,054</w:t>
            </w:r>
          </w:p>
        </w:tc>
        <w:tc>
          <w:tcPr>
            <w:tcW w:w="1160" w:type="dxa"/>
            <w:vAlign w:val="bottom"/>
          </w:tcPr>
          <w:p>
            <w:pPr>
              <w:jc w:val="center"/>
              <w:spacing w:after="0"/>
              <w:rPr>
                <w:sz w:val="20"/>
                <w:szCs w:val="20"/>
                <w:color w:val="auto"/>
              </w:rPr>
            </w:pPr>
            <w:r>
              <w:rPr>
                <w:rFonts w:ascii="Arial" w:cs="Arial" w:eastAsia="Arial" w:hAnsi="Arial"/>
                <w:sz w:val="14"/>
                <w:szCs w:val="14"/>
                <w:color w:val="4D4D4F"/>
              </w:rPr>
              <w:t>$95,700</w:t>
            </w:r>
          </w:p>
        </w:tc>
        <w:tc>
          <w:tcPr>
            <w:tcW w:w="1180" w:type="dxa"/>
            <w:vAlign w:val="bottom"/>
          </w:tcPr>
          <w:p>
            <w:pPr>
              <w:jc w:val="center"/>
              <w:spacing w:after="0"/>
              <w:rPr>
                <w:sz w:val="20"/>
                <w:szCs w:val="20"/>
                <w:color w:val="auto"/>
              </w:rPr>
            </w:pPr>
            <w:r>
              <w:rPr>
                <w:rFonts w:ascii="Arial" w:cs="Arial" w:eastAsia="Arial" w:hAnsi="Arial"/>
                <w:sz w:val="14"/>
                <w:szCs w:val="14"/>
                <w:color w:val="4D4D4F"/>
              </w:rPr>
              <w:t>$4,963,675</w:t>
            </w:r>
          </w:p>
        </w:tc>
        <w:tc>
          <w:tcPr>
            <w:tcW w:w="1440" w:type="dxa"/>
            <w:vAlign w:val="bottom"/>
          </w:tcPr>
          <w:p>
            <w:pPr>
              <w:jc w:val="center"/>
              <w:ind w:left="8"/>
              <w:spacing w:after="0"/>
              <w:rPr>
                <w:sz w:val="20"/>
                <w:szCs w:val="20"/>
                <w:color w:val="auto"/>
              </w:rPr>
            </w:pPr>
            <w:r>
              <w:rPr>
                <w:rFonts w:ascii="Arial" w:cs="Arial" w:eastAsia="Arial" w:hAnsi="Arial"/>
                <w:sz w:val="14"/>
                <w:szCs w:val="14"/>
                <w:color w:val="4D4D4F"/>
              </w:rPr>
              <w:t>$15,660</w:t>
            </w:r>
          </w:p>
        </w:tc>
        <w:tc>
          <w:tcPr>
            <w:tcW w:w="1040" w:type="dxa"/>
            <w:vAlign w:val="bottom"/>
          </w:tcPr>
          <w:p>
            <w:pPr>
              <w:jc w:val="center"/>
              <w:ind w:left="8"/>
              <w:spacing w:after="0"/>
              <w:rPr>
                <w:sz w:val="20"/>
                <w:szCs w:val="20"/>
                <w:color w:val="auto"/>
              </w:rPr>
            </w:pPr>
            <w:r>
              <w:rPr>
                <w:rFonts w:ascii="Arial" w:cs="Arial" w:eastAsia="Arial" w:hAnsi="Arial"/>
                <w:sz w:val="14"/>
                <w:szCs w:val="14"/>
                <w:color w:val="4D4D4F"/>
              </w:rPr>
              <w:t>$5,369,089</w:t>
            </w:r>
          </w:p>
        </w:tc>
      </w:tr>
      <w:tr>
        <w:trPr>
          <w:trHeight w:val="189"/>
        </w:trPr>
        <w:tc>
          <w:tcPr>
            <w:tcW w:w="4380" w:type="dxa"/>
            <w:vAlign w:val="bottom"/>
          </w:tcPr>
          <w:p>
            <w:pPr>
              <w:spacing w:after="0"/>
              <w:rPr>
                <w:sz w:val="20"/>
                <w:szCs w:val="20"/>
                <w:color w:val="auto"/>
              </w:rPr>
            </w:pPr>
            <w:r>
              <w:rPr>
                <w:rFonts w:ascii="Arial" w:cs="Arial" w:eastAsia="Arial" w:hAnsi="Arial"/>
                <w:sz w:val="14"/>
                <w:szCs w:val="14"/>
                <w:i w:val="1"/>
                <w:iCs w:val="1"/>
                <w:color w:val="4D4D4F"/>
              </w:rPr>
              <w:t>Chief Executive Officer and President</w:t>
            </w:r>
          </w:p>
        </w:tc>
        <w:tc>
          <w:tcPr>
            <w:tcW w:w="780" w:type="dxa"/>
            <w:vAlign w:val="bottom"/>
          </w:tcPr>
          <w:p>
            <w:pPr>
              <w:ind w:left="280"/>
              <w:spacing w:after="0"/>
              <w:rPr>
                <w:sz w:val="20"/>
                <w:szCs w:val="20"/>
                <w:color w:val="auto"/>
              </w:rPr>
            </w:pPr>
            <w:r>
              <w:rPr>
                <w:rFonts w:ascii="Arial" w:cs="Arial" w:eastAsia="Arial" w:hAnsi="Arial"/>
                <w:sz w:val="14"/>
                <w:szCs w:val="14"/>
                <w:color w:val="4D4D4F"/>
              </w:rPr>
              <w:t>2019</w:t>
            </w:r>
          </w:p>
        </w:tc>
        <w:tc>
          <w:tcPr>
            <w:tcW w:w="1120" w:type="dxa"/>
            <w:vAlign w:val="bottom"/>
          </w:tcPr>
          <w:p>
            <w:pPr>
              <w:jc w:val="center"/>
              <w:spacing w:after="0"/>
              <w:rPr>
                <w:sz w:val="20"/>
                <w:szCs w:val="20"/>
                <w:color w:val="auto"/>
              </w:rPr>
            </w:pPr>
            <w:r>
              <w:rPr>
                <w:rFonts w:ascii="Arial" w:cs="Arial" w:eastAsia="Arial" w:hAnsi="Arial"/>
                <w:sz w:val="14"/>
                <w:szCs w:val="14"/>
                <w:color w:val="4D4D4F"/>
              </w:rPr>
              <w:t>229,742</w:t>
            </w:r>
          </w:p>
        </w:tc>
        <w:tc>
          <w:tcPr>
            <w:tcW w:w="1160" w:type="dxa"/>
            <w:vAlign w:val="bottom"/>
          </w:tcPr>
          <w:p>
            <w:pPr>
              <w:jc w:val="center"/>
              <w:spacing w:after="0"/>
              <w:rPr>
                <w:sz w:val="20"/>
                <w:szCs w:val="20"/>
                <w:color w:val="auto"/>
              </w:rPr>
            </w:pPr>
            <w:r>
              <w:rPr>
                <w:rFonts w:ascii="Arial" w:cs="Arial" w:eastAsia="Arial" w:hAnsi="Arial"/>
                <w:sz w:val="14"/>
                <w:szCs w:val="14"/>
                <w:color w:val="4D4D4F"/>
              </w:rPr>
              <w:t>19,358</w:t>
            </w:r>
          </w:p>
        </w:tc>
        <w:tc>
          <w:tcPr>
            <w:tcW w:w="1180" w:type="dxa"/>
            <w:vAlign w:val="bottom"/>
          </w:tcPr>
          <w:p>
            <w:pPr>
              <w:jc w:val="center"/>
              <w:spacing w:after="0"/>
              <w:rPr>
                <w:sz w:val="20"/>
                <w:szCs w:val="20"/>
                <w:color w:val="auto"/>
              </w:rPr>
            </w:pPr>
            <w:r>
              <w:rPr>
                <w:rFonts w:ascii="Arial" w:cs="Arial" w:eastAsia="Arial" w:hAnsi="Arial"/>
                <w:sz w:val="14"/>
                <w:szCs w:val="14"/>
                <w:color w:val="4D4D4F"/>
              </w:rPr>
              <w:t>325,000</w:t>
            </w:r>
          </w:p>
        </w:tc>
        <w:tc>
          <w:tcPr>
            <w:tcW w:w="1440" w:type="dxa"/>
            <w:vAlign w:val="bottom"/>
          </w:tcPr>
          <w:p>
            <w:pPr>
              <w:jc w:val="center"/>
              <w:ind w:left="8"/>
              <w:spacing w:after="0"/>
              <w:rPr>
                <w:sz w:val="20"/>
                <w:szCs w:val="20"/>
                <w:color w:val="auto"/>
              </w:rPr>
            </w:pPr>
            <w:r>
              <w:rPr>
                <w:rFonts w:ascii="Arial" w:cs="Arial" w:eastAsia="Arial" w:hAnsi="Arial"/>
                <w:sz w:val="14"/>
                <w:szCs w:val="14"/>
                <w:color w:val="4D4D4F"/>
              </w:rPr>
              <w:t>13,920</w:t>
            </w:r>
          </w:p>
        </w:tc>
        <w:tc>
          <w:tcPr>
            <w:tcW w:w="1040" w:type="dxa"/>
            <w:vAlign w:val="bottom"/>
          </w:tcPr>
          <w:p>
            <w:pPr>
              <w:jc w:val="center"/>
              <w:ind w:left="8"/>
              <w:spacing w:after="0"/>
              <w:rPr>
                <w:sz w:val="20"/>
                <w:szCs w:val="20"/>
                <w:color w:val="auto"/>
              </w:rPr>
            </w:pPr>
            <w:r>
              <w:rPr>
                <w:rFonts w:ascii="Arial" w:cs="Arial" w:eastAsia="Arial" w:hAnsi="Arial"/>
                <w:sz w:val="14"/>
                <w:szCs w:val="14"/>
                <w:color w:val="4D4D4F"/>
              </w:rPr>
              <w:t>588,020</w:t>
            </w:r>
          </w:p>
        </w:tc>
      </w:tr>
      <w:tr>
        <w:trPr>
          <w:trHeight w:val="188"/>
        </w:trPr>
        <w:tc>
          <w:tcPr>
            <w:tcW w:w="4380" w:type="dxa"/>
            <w:vAlign w:val="bottom"/>
          </w:tcPr>
          <w:p>
            <w:pPr>
              <w:spacing w:after="0"/>
              <w:rPr>
                <w:sz w:val="16"/>
                <w:szCs w:val="16"/>
                <w:color w:val="auto"/>
              </w:rPr>
            </w:pPr>
          </w:p>
        </w:tc>
        <w:tc>
          <w:tcPr>
            <w:tcW w:w="780" w:type="dxa"/>
            <w:vAlign w:val="bottom"/>
          </w:tcPr>
          <w:p>
            <w:pPr>
              <w:ind w:left="280"/>
              <w:spacing w:after="0"/>
              <w:rPr>
                <w:sz w:val="20"/>
                <w:szCs w:val="20"/>
                <w:color w:val="auto"/>
              </w:rPr>
            </w:pPr>
            <w:r>
              <w:rPr>
                <w:rFonts w:ascii="Arial" w:cs="Arial" w:eastAsia="Arial" w:hAnsi="Arial"/>
                <w:sz w:val="14"/>
                <w:szCs w:val="14"/>
                <w:color w:val="4D4D4F"/>
              </w:rPr>
              <w:t>2018</w:t>
            </w:r>
          </w:p>
        </w:tc>
        <w:tc>
          <w:tcPr>
            <w:tcW w:w="1120" w:type="dxa"/>
            <w:vAlign w:val="bottom"/>
          </w:tcPr>
          <w:p>
            <w:pPr>
              <w:jc w:val="center"/>
              <w:spacing w:after="0"/>
              <w:rPr>
                <w:sz w:val="20"/>
                <w:szCs w:val="20"/>
                <w:color w:val="auto"/>
              </w:rPr>
            </w:pPr>
            <w:r>
              <w:rPr>
                <w:rFonts w:ascii="Arial" w:cs="Arial" w:eastAsia="Arial" w:hAnsi="Arial"/>
                <w:sz w:val="14"/>
                <w:szCs w:val="14"/>
                <w:color w:val="4D4D4F"/>
              </w:rPr>
              <w:t>189,373</w:t>
            </w:r>
          </w:p>
        </w:tc>
        <w:tc>
          <w:tcPr>
            <w:tcW w:w="1160" w:type="dxa"/>
            <w:vAlign w:val="bottom"/>
          </w:tcPr>
          <w:p>
            <w:pPr>
              <w:jc w:val="center"/>
              <w:spacing w:after="0"/>
              <w:rPr>
                <w:sz w:val="20"/>
                <w:szCs w:val="20"/>
                <w:color w:val="auto"/>
              </w:rPr>
            </w:pPr>
            <w:r>
              <w:rPr>
                <w:rFonts w:ascii="Arial" w:cs="Arial" w:eastAsia="Arial" w:hAnsi="Arial"/>
                <w:sz w:val="14"/>
                <w:szCs w:val="14"/>
                <w:color w:val="4D4D4F"/>
              </w:rPr>
              <w:t>34,519</w:t>
            </w:r>
          </w:p>
        </w:tc>
        <w:tc>
          <w:tcPr>
            <w:tcW w:w="1180" w:type="dxa"/>
            <w:vAlign w:val="bottom"/>
          </w:tcPr>
          <w:p>
            <w:pPr>
              <w:jc w:val="center"/>
              <w:spacing w:after="0"/>
              <w:rPr>
                <w:sz w:val="20"/>
                <w:szCs w:val="20"/>
                <w:color w:val="auto"/>
              </w:rPr>
            </w:pPr>
            <w:r>
              <w:rPr>
                <w:rFonts w:ascii="Arial" w:cs="Arial" w:eastAsia="Arial" w:hAnsi="Arial"/>
                <w:sz w:val="14"/>
                <w:szCs w:val="14"/>
                <w:color w:val="4D4D4F"/>
                <w:w w:val="99"/>
              </w:rPr>
              <w:t>—</w:t>
            </w:r>
          </w:p>
        </w:tc>
        <w:tc>
          <w:tcPr>
            <w:tcW w:w="1440" w:type="dxa"/>
            <w:vAlign w:val="bottom"/>
          </w:tcPr>
          <w:p>
            <w:pPr>
              <w:jc w:val="center"/>
              <w:ind w:left="8"/>
              <w:spacing w:after="0"/>
              <w:rPr>
                <w:sz w:val="20"/>
                <w:szCs w:val="20"/>
                <w:color w:val="auto"/>
              </w:rPr>
            </w:pPr>
            <w:r>
              <w:rPr>
                <w:rFonts w:ascii="Arial" w:cs="Arial" w:eastAsia="Arial" w:hAnsi="Arial"/>
                <w:sz w:val="14"/>
                <w:szCs w:val="14"/>
                <w:color w:val="4D4D4F"/>
              </w:rPr>
              <w:t>10,667</w:t>
            </w:r>
          </w:p>
        </w:tc>
        <w:tc>
          <w:tcPr>
            <w:tcW w:w="1040" w:type="dxa"/>
            <w:vAlign w:val="bottom"/>
          </w:tcPr>
          <w:p>
            <w:pPr>
              <w:jc w:val="center"/>
              <w:ind w:left="8"/>
              <w:spacing w:after="0"/>
              <w:rPr>
                <w:sz w:val="20"/>
                <w:szCs w:val="20"/>
                <w:color w:val="auto"/>
              </w:rPr>
            </w:pPr>
            <w:r>
              <w:rPr>
                <w:rFonts w:ascii="Arial" w:cs="Arial" w:eastAsia="Arial" w:hAnsi="Arial"/>
                <w:sz w:val="14"/>
                <w:szCs w:val="14"/>
                <w:color w:val="4D4D4F"/>
              </w:rPr>
              <w:t>234,559</w:t>
            </w:r>
          </w:p>
        </w:tc>
      </w:tr>
      <w:tr>
        <w:trPr>
          <w:trHeight w:val="189"/>
        </w:trPr>
        <w:tc>
          <w:tcPr>
            <w:tcW w:w="4380" w:type="dxa"/>
            <w:vAlign w:val="bottom"/>
            <w:shd w:val="clear" w:color="auto" w:fill="B7E4FF"/>
          </w:tcPr>
          <w:p>
            <w:pPr>
              <w:spacing w:after="0"/>
              <w:rPr>
                <w:sz w:val="20"/>
                <w:szCs w:val="20"/>
                <w:color w:val="auto"/>
              </w:rPr>
            </w:pPr>
            <w:r>
              <w:rPr>
                <w:rFonts w:ascii="Arial" w:cs="Arial" w:eastAsia="Arial" w:hAnsi="Arial"/>
                <w:sz w:val="14"/>
                <w:szCs w:val="14"/>
                <w:color w:val="4D4D4F"/>
              </w:rPr>
              <w:t>Mark McKechnie</w:t>
            </w:r>
          </w:p>
        </w:tc>
        <w:tc>
          <w:tcPr>
            <w:tcW w:w="780" w:type="dxa"/>
            <w:vAlign w:val="bottom"/>
            <w:shd w:val="clear" w:color="auto" w:fill="B7E4FF"/>
          </w:tcPr>
          <w:p>
            <w:pPr>
              <w:ind w:left="280"/>
              <w:spacing w:after="0"/>
              <w:rPr>
                <w:sz w:val="20"/>
                <w:szCs w:val="20"/>
                <w:color w:val="auto"/>
              </w:rPr>
            </w:pPr>
            <w:r>
              <w:rPr>
                <w:rFonts w:ascii="Arial" w:cs="Arial" w:eastAsia="Arial" w:hAnsi="Arial"/>
                <w:sz w:val="14"/>
                <w:szCs w:val="14"/>
                <w:color w:val="4D4D4F"/>
              </w:rPr>
              <w:t>2020</w:t>
            </w:r>
          </w:p>
        </w:tc>
        <w:tc>
          <w:tcPr>
            <w:tcW w:w="1120" w:type="dxa"/>
            <w:vAlign w:val="bottom"/>
            <w:shd w:val="clear" w:color="auto" w:fill="B7E4FF"/>
          </w:tcPr>
          <w:p>
            <w:pPr>
              <w:jc w:val="center"/>
              <w:spacing w:after="0"/>
              <w:rPr>
                <w:sz w:val="20"/>
                <w:szCs w:val="20"/>
                <w:color w:val="auto"/>
              </w:rPr>
            </w:pPr>
            <w:r>
              <w:rPr>
                <w:rFonts w:ascii="Arial" w:cs="Arial" w:eastAsia="Arial" w:hAnsi="Arial"/>
                <w:sz w:val="14"/>
                <w:szCs w:val="14"/>
                <w:color w:val="4D4D4F"/>
              </w:rPr>
              <w:t>243,906</w:t>
            </w:r>
          </w:p>
        </w:tc>
        <w:tc>
          <w:tcPr>
            <w:tcW w:w="1160" w:type="dxa"/>
            <w:vAlign w:val="bottom"/>
            <w:shd w:val="clear" w:color="auto" w:fill="B7E4FF"/>
          </w:tcPr>
          <w:p>
            <w:pPr>
              <w:jc w:val="center"/>
              <w:spacing w:after="0"/>
              <w:rPr>
                <w:sz w:val="20"/>
                <w:szCs w:val="20"/>
                <w:color w:val="auto"/>
              </w:rPr>
            </w:pPr>
            <w:r>
              <w:rPr>
                <w:rFonts w:ascii="Arial" w:cs="Arial" w:eastAsia="Arial" w:hAnsi="Arial"/>
                <w:sz w:val="14"/>
                <w:szCs w:val="14"/>
                <w:color w:val="4D4D4F"/>
              </w:rPr>
              <w:t>—</w:t>
            </w:r>
          </w:p>
        </w:tc>
        <w:tc>
          <w:tcPr>
            <w:tcW w:w="1180" w:type="dxa"/>
            <w:vAlign w:val="bottom"/>
            <w:shd w:val="clear" w:color="auto" w:fill="B7E4FF"/>
          </w:tcPr>
          <w:p>
            <w:pPr>
              <w:jc w:val="center"/>
              <w:spacing w:after="0"/>
              <w:rPr>
                <w:sz w:val="20"/>
                <w:szCs w:val="20"/>
                <w:color w:val="auto"/>
              </w:rPr>
            </w:pPr>
            <w:r>
              <w:rPr>
                <w:rFonts w:ascii="Arial" w:cs="Arial" w:eastAsia="Arial" w:hAnsi="Arial"/>
                <w:sz w:val="14"/>
                <w:szCs w:val="14"/>
                <w:color w:val="4D4D4F"/>
                <w:w w:val="99"/>
              </w:rPr>
              <w:t>—</w:t>
            </w:r>
          </w:p>
        </w:tc>
        <w:tc>
          <w:tcPr>
            <w:tcW w:w="1440" w:type="dxa"/>
            <w:vAlign w:val="bottom"/>
            <w:shd w:val="clear" w:color="auto" w:fill="B7E4FF"/>
          </w:tcPr>
          <w:p>
            <w:pPr>
              <w:jc w:val="center"/>
              <w:spacing w:after="0"/>
              <w:rPr>
                <w:sz w:val="20"/>
                <w:szCs w:val="20"/>
                <w:color w:val="auto"/>
              </w:rPr>
            </w:pPr>
            <w:r>
              <w:rPr>
                <w:rFonts w:ascii="Arial" w:cs="Arial" w:eastAsia="Arial" w:hAnsi="Arial"/>
                <w:sz w:val="14"/>
                <w:szCs w:val="14"/>
                <w:color w:val="4D4D4F"/>
                <w:w w:val="99"/>
              </w:rPr>
              <w:t>—</w:t>
            </w:r>
          </w:p>
        </w:tc>
        <w:tc>
          <w:tcPr>
            <w:tcW w:w="1040" w:type="dxa"/>
            <w:vAlign w:val="bottom"/>
            <w:shd w:val="clear" w:color="auto" w:fill="B7E4FF"/>
          </w:tcPr>
          <w:p>
            <w:pPr>
              <w:jc w:val="center"/>
              <w:ind w:left="8"/>
              <w:spacing w:after="0"/>
              <w:rPr>
                <w:sz w:val="20"/>
                <w:szCs w:val="20"/>
                <w:color w:val="auto"/>
              </w:rPr>
            </w:pPr>
            <w:r>
              <w:rPr>
                <w:rFonts w:ascii="Arial" w:cs="Arial" w:eastAsia="Arial" w:hAnsi="Arial"/>
                <w:sz w:val="14"/>
                <w:szCs w:val="14"/>
                <w:color w:val="4D4D4F"/>
              </w:rPr>
              <w:t>243,906</w:t>
            </w:r>
          </w:p>
        </w:tc>
      </w:tr>
      <w:tr>
        <w:trPr>
          <w:trHeight w:val="189"/>
        </w:trPr>
        <w:tc>
          <w:tcPr>
            <w:tcW w:w="4380" w:type="dxa"/>
            <w:vAlign w:val="bottom"/>
            <w:shd w:val="clear" w:color="auto" w:fill="B7E4FF"/>
          </w:tcPr>
          <w:p>
            <w:pPr>
              <w:spacing w:after="0"/>
              <w:rPr>
                <w:sz w:val="20"/>
                <w:szCs w:val="20"/>
                <w:color w:val="auto"/>
              </w:rPr>
            </w:pPr>
            <w:r>
              <w:rPr>
                <w:rFonts w:ascii="Arial" w:cs="Arial" w:eastAsia="Arial" w:hAnsi="Arial"/>
                <w:sz w:val="14"/>
                <w:szCs w:val="14"/>
                <w:i w:val="1"/>
                <w:iCs w:val="1"/>
                <w:color w:val="4D4D4F"/>
              </w:rPr>
              <w:t>Chief Financial Officer, Treasurer and Secretary</w:t>
            </w:r>
          </w:p>
        </w:tc>
        <w:tc>
          <w:tcPr>
            <w:tcW w:w="780" w:type="dxa"/>
            <w:vAlign w:val="bottom"/>
            <w:shd w:val="clear" w:color="auto" w:fill="B7E4FF"/>
          </w:tcPr>
          <w:p>
            <w:pPr>
              <w:ind w:left="280"/>
              <w:spacing w:after="0"/>
              <w:rPr>
                <w:sz w:val="20"/>
                <w:szCs w:val="20"/>
                <w:color w:val="auto"/>
              </w:rPr>
            </w:pPr>
            <w:r>
              <w:rPr>
                <w:rFonts w:ascii="Arial" w:cs="Arial" w:eastAsia="Arial" w:hAnsi="Arial"/>
                <w:sz w:val="14"/>
                <w:szCs w:val="14"/>
                <w:color w:val="4D4D4F"/>
              </w:rPr>
              <w:t>2019</w:t>
            </w:r>
          </w:p>
        </w:tc>
        <w:tc>
          <w:tcPr>
            <w:tcW w:w="1120" w:type="dxa"/>
            <w:vAlign w:val="bottom"/>
            <w:shd w:val="clear" w:color="auto" w:fill="B7E4FF"/>
          </w:tcPr>
          <w:p>
            <w:pPr>
              <w:jc w:val="center"/>
              <w:spacing w:after="0"/>
              <w:rPr>
                <w:sz w:val="20"/>
                <w:szCs w:val="20"/>
                <w:color w:val="auto"/>
              </w:rPr>
            </w:pPr>
            <w:r>
              <w:rPr>
                <w:rFonts w:ascii="Arial" w:cs="Arial" w:eastAsia="Arial" w:hAnsi="Arial"/>
                <w:sz w:val="14"/>
                <w:szCs w:val="14"/>
                <w:color w:val="4D4D4F"/>
              </w:rPr>
              <w:t>232,424</w:t>
            </w:r>
          </w:p>
        </w:tc>
        <w:tc>
          <w:tcPr>
            <w:tcW w:w="1160" w:type="dxa"/>
            <w:vAlign w:val="bottom"/>
            <w:shd w:val="clear" w:color="auto" w:fill="B7E4FF"/>
          </w:tcPr>
          <w:p>
            <w:pPr>
              <w:jc w:val="center"/>
              <w:spacing w:after="0"/>
              <w:rPr>
                <w:sz w:val="20"/>
                <w:szCs w:val="20"/>
                <w:color w:val="auto"/>
              </w:rPr>
            </w:pPr>
            <w:r>
              <w:rPr>
                <w:rFonts w:ascii="Arial" w:cs="Arial" w:eastAsia="Arial" w:hAnsi="Arial"/>
                <w:sz w:val="14"/>
                <w:szCs w:val="14"/>
                <w:color w:val="4D4D4F"/>
              </w:rPr>
              <w:t>129,327</w:t>
            </w:r>
          </w:p>
        </w:tc>
        <w:tc>
          <w:tcPr>
            <w:tcW w:w="1180" w:type="dxa"/>
            <w:vAlign w:val="bottom"/>
            <w:shd w:val="clear" w:color="auto" w:fill="B7E4FF"/>
          </w:tcPr>
          <w:p>
            <w:pPr>
              <w:jc w:val="center"/>
              <w:spacing w:after="0"/>
              <w:rPr>
                <w:sz w:val="20"/>
                <w:szCs w:val="20"/>
                <w:color w:val="auto"/>
              </w:rPr>
            </w:pPr>
            <w:r>
              <w:rPr>
                <w:rFonts w:ascii="Arial" w:cs="Arial" w:eastAsia="Arial" w:hAnsi="Arial"/>
                <w:sz w:val="14"/>
                <w:szCs w:val="14"/>
                <w:color w:val="4D4D4F"/>
              </w:rPr>
              <w:t>299,400</w:t>
            </w:r>
          </w:p>
        </w:tc>
        <w:tc>
          <w:tcPr>
            <w:tcW w:w="1440" w:type="dxa"/>
            <w:vAlign w:val="bottom"/>
            <w:shd w:val="clear" w:color="auto" w:fill="B7E4FF"/>
          </w:tcPr>
          <w:p>
            <w:pPr>
              <w:jc w:val="center"/>
              <w:ind w:left="8"/>
              <w:spacing w:after="0"/>
              <w:rPr>
                <w:sz w:val="20"/>
                <w:szCs w:val="20"/>
                <w:color w:val="auto"/>
              </w:rPr>
            </w:pPr>
            <w:r>
              <w:rPr>
                <w:rFonts w:ascii="Arial" w:cs="Arial" w:eastAsia="Arial" w:hAnsi="Arial"/>
                <w:sz w:val="14"/>
                <w:szCs w:val="14"/>
                <w:color w:val="4D4D4F"/>
              </w:rPr>
              <w:t>13,920</w:t>
            </w:r>
          </w:p>
        </w:tc>
        <w:tc>
          <w:tcPr>
            <w:tcW w:w="1040" w:type="dxa"/>
            <w:vAlign w:val="bottom"/>
            <w:shd w:val="clear" w:color="auto" w:fill="B7E4FF"/>
          </w:tcPr>
          <w:p>
            <w:pPr>
              <w:jc w:val="center"/>
              <w:ind w:left="8"/>
              <w:spacing w:after="0"/>
              <w:rPr>
                <w:sz w:val="20"/>
                <w:szCs w:val="20"/>
                <w:color w:val="auto"/>
              </w:rPr>
            </w:pPr>
            <w:r>
              <w:rPr>
                <w:rFonts w:ascii="Arial" w:cs="Arial" w:eastAsia="Arial" w:hAnsi="Arial"/>
                <w:sz w:val="14"/>
                <w:szCs w:val="14"/>
                <w:color w:val="4D4D4F"/>
              </w:rPr>
              <w:t>675,071</w:t>
            </w:r>
          </w:p>
        </w:tc>
      </w:tr>
      <w:tr>
        <w:trPr>
          <w:trHeight w:val="156"/>
        </w:trPr>
        <w:tc>
          <w:tcPr>
            <w:tcW w:w="4380" w:type="dxa"/>
            <w:vAlign w:val="bottom"/>
          </w:tcPr>
          <w:p>
            <w:pPr>
              <w:spacing w:after="0" w:line="157" w:lineRule="exact"/>
              <w:rPr>
                <w:sz w:val="20"/>
                <w:szCs w:val="20"/>
                <w:color w:val="auto"/>
              </w:rPr>
            </w:pPr>
            <w:r>
              <w:rPr>
                <w:rFonts w:ascii="Arial" w:cs="Arial" w:eastAsia="Arial" w:hAnsi="Arial"/>
                <w:sz w:val="14"/>
                <w:szCs w:val="14"/>
                <w:color w:val="4D4D4F"/>
              </w:rPr>
              <w:t>Jian Wang</w:t>
            </w:r>
          </w:p>
        </w:tc>
        <w:tc>
          <w:tcPr>
            <w:tcW w:w="780" w:type="dxa"/>
            <w:vAlign w:val="bottom"/>
          </w:tcPr>
          <w:p>
            <w:pPr>
              <w:ind w:left="280"/>
              <w:spacing w:after="0" w:line="157" w:lineRule="exact"/>
              <w:rPr>
                <w:sz w:val="20"/>
                <w:szCs w:val="20"/>
                <w:color w:val="auto"/>
              </w:rPr>
            </w:pPr>
            <w:r>
              <w:rPr>
                <w:rFonts w:ascii="Arial" w:cs="Arial" w:eastAsia="Arial" w:hAnsi="Arial"/>
                <w:sz w:val="14"/>
                <w:szCs w:val="14"/>
                <w:color w:val="4D4D4F"/>
              </w:rPr>
              <w:t>2020</w:t>
            </w:r>
          </w:p>
        </w:tc>
        <w:tc>
          <w:tcPr>
            <w:tcW w:w="1120" w:type="dxa"/>
            <w:vAlign w:val="bottom"/>
          </w:tcPr>
          <w:p>
            <w:pPr>
              <w:jc w:val="center"/>
              <w:spacing w:after="0" w:line="157" w:lineRule="exact"/>
              <w:rPr>
                <w:sz w:val="20"/>
                <w:szCs w:val="20"/>
                <w:color w:val="auto"/>
              </w:rPr>
            </w:pPr>
            <w:r>
              <w:rPr>
                <w:rFonts w:ascii="Arial" w:cs="Arial" w:eastAsia="Arial" w:hAnsi="Arial"/>
                <w:sz w:val="14"/>
                <w:szCs w:val="14"/>
                <w:color w:val="4D4D4F"/>
              </w:rPr>
              <w:t>162,492</w:t>
            </w:r>
          </w:p>
        </w:tc>
        <w:tc>
          <w:tcPr>
            <w:tcW w:w="1160" w:type="dxa"/>
            <w:vAlign w:val="bottom"/>
          </w:tcPr>
          <w:p>
            <w:pPr>
              <w:jc w:val="center"/>
              <w:spacing w:after="0" w:line="157" w:lineRule="exact"/>
              <w:rPr>
                <w:sz w:val="20"/>
                <w:szCs w:val="20"/>
                <w:color w:val="auto"/>
              </w:rPr>
            </w:pPr>
            <w:r>
              <w:rPr>
                <w:rFonts w:ascii="Arial" w:cs="Arial" w:eastAsia="Arial" w:hAnsi="Arial"/>
                <w:sz w:val="14"/>
                <w:szCs w:val="14"/>
                <w:color w:val="4D4D4F"/>
              </w:rPr>
              <w:t>55,100</w:t>
            </w:r>
          </w:p>
        </w:tc>
        <w:tc>
          <w:tcPr>
            <w:tcW w:w="1180" w:type="dxa"/>
            <w:vAlign w:val="bottom"/>
          </w:tcPr>
          <w:p>
            <w:pPr>
              <w:jc w:val="center"/>
              <w:spacing w:after="0" w:line="157" w:lineRule="exact"/>
              <w:rPr>
                <w:sz w:val="20"/>
                <w:szCs w:val="20"/>
                <w:color w:val="auto"/>
              </w:rPr>
            </w:pPr>
            <w:r>
              <w:rPr>
                <w:rFonts w:ascii="Arial" w:cs="Arial" w:eastAsia="Arial" w:hAnsi="Arial"/>
                <w:sz w:val="14"/>
                <w:szCs w:val="14"/>
                <w:color w:val="4D4D4F"/>
              </w:rPr>
              <w:t>67,728</w:t>
            </w:r>
          </w:p>
        </w:tc>
        <w:tc>
          <w:tcPr>
            <w:tcW w:w="1440" w:type="dxa"/>
            <w:vAlign w:val="bottom"/>
          </w:tcPr>
          <w:p>
            <w:pPr>
              <w:jc w:val="center"/>
              <w:ind w:left="8"/>
              <w:spacing w:after="0" w:line="157" w:lineRule="exact"/>
              <w:rPr>
                <w:sz w:val="20"/>
                <w:szCs w:val="20"/>
                <w:color w:val="auto"/>
              </w:rPr>
            </w:pPr>
            <w:r>
              <w:rPr>
                <w:rFonts w:ascii="Arial" w:cs="Arial" w:eastAsia="Arial" w:hAnsi="Arial"/>
                <w:sz w:val="14"/>
                <w:szCs w:val="14"/>
                <w:color w:val="4D4D4F"/>
              </w:rPr>
              <w:t>15,660</w:t>
            </w:r>
          </w:p>
        </w:tc>
        <w:tc>
          <w:tcPr>
            <w:tcW w:w="1040" w:type="dxa"/>
            <w:vAlign w:val="bottom"/>
          </w:tcPr>
          <w:p>
            <w:pPr>
              <w:jc w:val="center"/>
              <w:ind w:left="8"/>
              <w:spacing w:after="0" w:line="157" w:lineRule="exact"/>
              <w:rPr>
                <w:sz w:val="20"/>
                <w:szCs w:val="20"/>
                <w:color w:val="auto"/>
              </w:rPr>
            </w:pPr>
            <w:r>
              <w:rPr>
                <w:rFonts w:ascii="Arial" w:cs="Arial" w:eastAsia="Arial" w:hAnsi="Arial"/>
                <w:sz w:val="14"/>
                <w:szCs w:val="14"/>
                <w:color w:val="4D4D4F"/>
              </w:rPr>
              <w:t>300,980</w:t>
            </w:r>
          </w:p>
        </w:tc>
      </w:tr>
      <w:tr>
        <w:trPr>
          <w:trHeight w:val="226"/>
        </w:trPr>
        <w:tc>
          <w:tcPr>
            <w:tcW w:w="4380" w:type="dxa"/>
            <w:vAlign w:val="bottom"/>
          </w:tcPr>
          <w:p>
            <w:pPr>
              <w:spacing w:after="0"/>
              <w:rPr>
                <w:sz w:val="20"/>
                <w:szCs w:val="20"/>
                <w:color w:val="auto"/>
              </w:rPr>
            </w:pPr>
            <w:r>
              <w:rPr>
                <w:rFonts w:ascii="Arial" w:cs="Arial" w:eastAsia="Arial" w:hAnsi="Arial"/>
                <w:sz w:val="14"/>
                <w:szCs w:val="14"/>
                <w:i w:val="1"/>
                <w:iCs w:val="1"/>
                <w:color w:val="4D4D4F"/>
              </w:rPr>
              <w:t>Chief Executive Oﬃcer and President,</w:t>
            </w:r>
          </w:p>
        </w:tc>
        <w:tc>
          <w:tcPr>
            <w:tcW w:w="780" w:type="dxa"/>
            <w:vAlign w:val="bottom"/>
          </w:tcPr>
          <w:p>
            <w:pPr>
              <w:ind w:left="280"/>
              <w:spacing w:after="0"/>
              <w:rPr>
                <w:sz w:val="20"/>
                <w:szCs w:val="20"/>
                <w:color w:val="auto"/>
              </w:rPr>
            </w:pPr>
            <w:r>
              <w:rPr>
                <w:rFonts w:ascii="Arial" w:cs="Arial" w:eastAsia="Arial" w:hAnsi="Arial"/>
                <w:sz w:val="14"/>
                <w:szCs w:val="14"/>
                <w:color w:val="4D4D4F"/>
              </w:rPr>
              <w:t>2019</w:t>
            </w:r>
          </w:p>
        </w:tc>
        <w:tc>
          <w:tcPr>
            <w:tcW w:w="1120" w:type="dxa"/>
            <w:vAlign w:val="bottom"/>
          </w:tcPr>
          <w:p>
            <w:pPr>
              <w:jc w:val="center"/>
              <w:spacing w:after="0"/>
              <w:rPr>
                <w:sz w:val="20"/>
                <w:szCs w:val="20"/>
                <w:color w:val="auto"/>
              </w:rPr>
            </w:pPr>
            <w:r>
              <w:rPr>
                <w:rFonts w:ascii="Arial" w:cs="Arial" w:eastAsia="Arial" w:hAnsi="Arial"/>
                <w:sz w:val="14"/>
                <w:szCs w:val="14"/>
                <w:color w:val="4D4D4F"/>
              </w:rPr>
              <w:t>139,241</w:t>
            </w:r>
          </w:p>
        </w:tc>
        <w:tc>
          <w:tcPr>
            <w:tcW w:w="1160" w:type="dxa"/>
            <w:vAlign w:val="bottom"/>
          </w:tcPr>
          <w:p>
            <w:pPr>
              <w:jc w:val="center"/>
              <w:spacing w:after="0"/>
              <w:rPr>
                <w:sz w:val="20"/>
                <w:szCs w:val="20"/>
                <w:color w:val="auto"/>
              </w:rPr>
            </w:pPr>
            <w:r>
              <w:rPr>
                <w:rFonts w:ascii="Arial" w:cs="Arial" w:eastAsia="Arial" w:hAnsi="Arial"/>
                <w:sz w:val="14"/>
                <w:szCs w:val="14"/>
                <w:color w:val="4D4D4F"/>
              </w:rPr>
              <w:t>49,126</w:t>
            </w:r>
          </w:p>
        </w:tc>
        <w:tc>
          <w:tcPr>
            <w:tcW w:w="1180" w:type="dxa"/>
            <w:vAlign w:val="bottom"/>
          </w:tcPr>
          <w:p>
            <w:pPr>
              <w:jc w:val="center"/>
              <w:spacing w:after="0"/>
              <w:rPr>
                <w:sz w:val="20"/>
                <w:szCs w:val="20"/>
                <w:color w:val="auto"/>
              </w:rPr>
            </w:pPr>
            <w:r>
              <w:rPr>
                <w:rFonts w:ascii="Arial" w:cs="Arial" w:eastAsia="Arial" w:hAnsi="Arial"/>
                <w:sz w:val="14"/>
                <w:szCs w:val="14"/>
                <w:color w:val="4D4D4F"/>
              </w:rPr>
              <w:t>183,594</w:t>
            </w:r>
          </w:p>
        </w:tc>
        <w:tc>
          <w:tcPr>
            <w:tcW w:w="1440" w:type="dxa"/>
            <w:vAlign w:val="bottom"/>
          </w:tcPr>
          <w:p>
            <w:pPr>
              <w:jc w:val="center"/>
              <w:ind w:left="8"/>
              <w:spacing w:after="0"/>
              <w:rPr>
                <w:sz w:val="20"/>
                <w:szCs w:val="20"/>
                <w:color w:val="auto"/>
              </w:rPr>
            </w:pPr>
            <w:r>
              <w:rPr>
                <w:rFonts w:ascii="Arial" w:cs="Arial" w:eastAsia="Arial" w:hAnsi="Arial"/>
                <w:sz w:val="14"/>
                <w:szCs w:val="14"/>
                <w:color w:val="4D4D4F"/>
              </w:rPr>
              <w:t>13,920</w:t>
            </w:r>
          </w:p>
        </w:tc>
        <w:tc>
          <w:tcPr>
            <w:tcW w:w="1040" w:type="dxa"/>
            <w:vAlign w:val="bottom"/>
          </w:tcPr>
          <w:p>
            <w:pPr>
              <w:jc w:val="center"/>
              <w:ind w:left="8"/>
              <w:spacing w:after="0"/>
              <w:rPr>
                <w:sz w:val="20"/>
                <w:szCs w:val="20"/>
                <w:color w:val="auto"/>
              </w:rPr>
            </w:pPr>
            <w:r>
              <w:rPr>
                <w:rFonts w:ascii="Arial" w:cs="Arial" w:eastAsia="Arial" w:hAnsi="Arial"/>
                <w:sz w:val="14"/>
                <w:szCs w:val="14"/>
                <w:color w:val="4D4D4F"/>
              </w:rPr>
              <w:t>385,881</w:t>
            </w:r>
          </w:p>
        </w:tc>
      </w:tr>
      <w:tr>
        <w:trPr>
          <w:trHeight w:val="185"/>
        </w:trPr>
        <w:tc>
          <w:tcPr>
            <w:tcW w:w="4380" w:type="dxa"/>
            <w:vAlign w:val="bottom"/>
          </w:tcPr>
          <w:p>
            <w:pPr>
              <w:spacing w:after="0"/>
              <w:rPr>
                <w:sz w:val="20"/>
                <w:szCs w:val="20"/>
                <w:color w:val="auto"/>
              </w:rPr>
            </w:pPr>
            <w:r>
              <w:rPr>
                <w:rFonts w:ascii="Arial" w:cs="Arial" w:eastAsia="Arial" w:hAnsi="Arial"/>
                <w:sz w:val="14"/>
                <w:szCs w:val="14"/>
                <w:i w:val="1"/>
                <w:iCs w:val="1"/>
                <w:color w:val="4D4D4F"/>
              </w:rPr>
              <w:t>ACM Research (Shanghai), Inc.</w:t>
            </w:r>
          </w:p>
        </w:tc>
        <w:tc>
          <w:tcPr>
            <w:tcW w:w="780" w:type="dxa"/>
            <w:vAlign w:val="bottom"/>
          </w:tcPr>
          <w:p>
            <w:pPr>
              <w:ind w:left="280"/>
              <w:spacing w:after="0"/>
              <w:rPr>
                <w:sz w:val="20"/>
                <w:szCs w:val="20"/>
                <w:color w:val="auto"/>
              </w:rPr>
            </w:pPr>
            <w:r>
              <w:rPr>
                <w:rFonts w:ascii="Arial" w:cs="Arial" w:eastAsia="Arial" w:hAnsi="Arial"/>
                <w:sz w:val="14"/>
                <w:szCs w:val="14"/>
                <w:color w:val="4D4D4F"/>
              </w:rPr>
              <w:t>2018</w:t>
            </w:r>
          </w:p>
        </w:tc>
        <w:tc>
          <w:tcPr>
            <w:tcW w:w="1120" w:type="dxa"/>
            <w:vAlign w:val="bottom"/>
          </w:tcPr>
          <w:p>
            <w:pPr>
              <w:jc w:val="center"/>
              <w:spacing w:after="0"/>
              <w:rPr>
                <w:sz w:val="20"/>
                <w:szCs w:val="20"/>
                <w:color w:val="auto"/>
              </w:rPr>
            </w:pPr>
            <w:r>
              <w:rPr>
                <w:rFonts w:ascii="Arial" w:cs="Arial" w:eastAsia="Arial" w:hAnsi="Arial"/>
                <w:sz w:val="14"/>
                <w:szCs w:val="14"/>
                <w:color w:val="4D4D4F"/>
              </w:rPr>
              <w:t>140,059</w:t>
            </w:r>
          </w:p>
        </w:tc>
        <w:tc>
          <w:tcPr>
            <w:tcW w:w="1160" w:type="dxa"/>
            <w:vAlign w:val="bottom"/>
          </w:tcPr>
          <w:p>
            <w:pPr>
              <w:jc w:val="center"/>
              <w:spacing w:after="0"/>
              <w:rPr>
                <w:sz w:val="20"/>
                <w:szCs w:val="20"/>
                <w:color w:val="auto"/>
              </w:rPr>
            </w:pPr>
            <w:r>
              <w:rPr>
                <w:rFonts w:ascii="Arial" w:cs="Arial" w:eastAsia="Arial" w:hAnsi="Arial"/>
                <w:sz w:val="14"/>
                <w:szCs w:val="14"/>
                <w:color w:val="4D4D4F"/>
              </w:rPr>
              <w:t>16,296</w:t>
            </w:r>
          </w:p>
        </w:tc>
        <w:tc>
          <w:tcPr>
            <w:tcW w:w="1180" w:type="dxa"/>
            <w:vAlign w:val="bottom"/>
          </w:tcPr>
          <w:p>
            <w:pPr>
              <w:jc w:val="center"/>
              <w:spacing w:after="0"/>
              <w:rPr>
                <w:sz w:val="20"/>
                <w:szCs w:val="20"/>
                <w:color w:val="auto"/>
              </w:rPr>
            </w:pPr>
            <w:r>
              <w:rPr>
                <w:rFonts w:ascii="Arial" w:cs="Arial" w:eastAsia="Arial" w:hAnsi="Arial"/>
                <w:sz w:val="14"/>
                <w:szCs w:val="14"/>
                <w:color w:val="4D4D4F"/>
              </w:rPr>
              <w:t>257,032</w:t>
            </w:r>
          </w:p>
        </w:tc>
        <w:tc>
          <w:tcPr>
            <w:tcW w:w="1440" w:type="dxa"/>
            <w:vAlign w:val="bottom"/>
          </w:tcPr>
          <w:p>
            <w:pPr>
              <w:jc w:val="center"/>
              <w:ind w:left="8"/>
              <w:spacing w:after="0"/>
              <w:rPr>
                <w:sz w:val="20"/>
                <w:szCs w:val="20"/>
                <w:color w:val="auto"/>
              </w:rPr>
            </w:pPr>
            <w:r>
              <w:rPr>
                <w:rFonts w:ascii="Arial" w:cs="Arial" w:eastAsia="Arial" w:hAnsi="Arial"/>
                <w:sz w:val="14"/>
                <w:szCs w:val="14"/>
                <w:color w:val="4D4D4F"/>
              </w:rPr>
              <w:t>10,667</w:t>
            </w:r>
          </w:p>
        </w:tc>
        <w:tc>
          <w:tcPr>
            <w:tcW w:w="1040" w:type="dxa"/>
            <w:vAlign w:val="bottom"/>
          </w:tcPr>
          <w:p>
            <w:pPr>
              <w:jc w:val="center"/>
              <w:ind w:left="8"/>
              <w:spacing w:after="0"/>
              <w:rPr>
                <w:sz w:val="20"/>
                <w:szCs w:val="20"/>
                <w:color w:val="auto"/>
              </w:rPr>
            </w:pPr>
            <w:r>
              <w:rPr>
                <w:rFonts w:ascii="Arial" w:cs="Arial" w:eastAsia="Arial" w:hAnsi="Arial"/>
                <w:sz w:val="14"/>
                <w:szCs w:val="14"/>
                <w:color w:val="4D4D4F"/>
              </w:rPr>
              <w:t>424,054</w:t>
            </w:r>
          </w:p>
        </w:tc>
      </w:tr>
      <w:tr>
        <w:trPr>
          <w:trHeight w:val="189"/>
        </w:trPr>
        <w:tc>
          <w:tcPr>
            <w:tcW w:w="4380" w:type="dxa"/>
            <w:vAlign w:val="bottom"/>
            <w:shd w:val="clear" w:color="auto" w:fill="B7E4FF"/>
          </w:tcPr>
          <w:p>
            <w:pPr>
              <w:spacing w:after="0"/>
              <w:rPr>
                <w:sz w:val="20"/>
                <w:szCs w:val="20"/>
                <w:color w:val="auto"/>
              </w:rPr>
            </w:pPr>
            <w:r>
              <w:rPr>
                <w:rFonts w:ascii="Arial" w:cs="Arial" w:eastAsia="Arial" w:hAnsi="Arial"/>
                <w:sz w:val="14"/>
                <w:szCs w:val="14"/>
                <w:color w:val="4D4D4F"/>
              </w:rPr>
              <w:t>Lisa Feng</w:t>
            </w:r>
          </w:p>
        </w:tc>
        <w:tc>
          <w:tcPr>
            <w:tcW w:w="780" w:type="dxa"/>
            <w:vAlign w:val="bottom"/>
            <w:shd w:val="clear" w:color="auto" w:fill="B7E4FF"/>
          </w:tcPr>
          <w:p>
            <w:pPr>
              <w:ind w:left="280"/>
              <w:spacing w:after="0"/>
              <w:rPr>
                <w:sz w:val="20"/>
                <w:szCs w:val="20"/>
                <w:color w:val="auto"/>
              </w:rPr>
            </w:pPr>
            <w:r>
              <w:rPr>
                <w:rFonts w:ascii="Arial" w:cs="Arial" w:eastAsia="Arial" w:hAnsi="Arial"/>
                <w:sz w:val="14"/>
                <w:szCs w:val="14"/>
                <w:color w:val="4D4D4F"/>
              </w:rPr>
              <w:t>2020</w:t>
            </w:r>
          </w:p>
        </w:tc>
        <w:tc>
          <w:tcPr>
            <w:tcW w:w="1120" w:type="dxa"/>
            <w:vAlign w:val="bottom"/>
            <w:shd w:val="clear" w:color="auto" w:fill="B7E4FF"/>
          </w:tcPr>
          <w:p>
            <w:pPr>
              <w:jc w:val="center"/>
              <w:spacing w:after="0"/>
              <w:rPr>
                <w:sz w:val="20"/>
                <w:szCs w:val="20"/>
                <w:color w:val="auto"/>
              </w:rPr>
            </w:pPr>
            <w:r>
              <w:rPr>
                <w:rFonts w:ascii="Arial" w:cs="Arial" w:eastAsia="Arial" w:hAnsi="Arial"/>
                <w:sz w:val="14"/>
                <w:szCs w:val="14"/>
                <w:color w:val="4D4D4F"/>
              </w:rPr>
              <w:t>169,172</w:t>
            </w:r>
          </w:p>
        </w:tc>
        <w:tc>
          <w:tcPr>
            <w:tcW w:w="1160" w:type="dxa"/>
            <w:vAlign w:val="bottom"/>
            <w:shd w:val="clear" w:color="auto" w:fill="B7E4FF"/>
          </w:tcPr>
          <w:p>
            <w:pPr>
              <w:jc w:val="center"/>
              <w:spacing w:after="0"/>
              <w:rPr>
                <w:sz w:val="20"/>
                <w:szCs w:val="20"/>
                <w:color w:val="auto"/>
              </w:rPr>
            </w:pPr>
            <w:r>
              <w:rPr>
                <w:rFonts w:ascii="Arial" w:cs="Arial" w:eastAsia="Arial" w:hAnsi="Arial"/>
                <w:sz w:val="14"/>
                <w:szCs w:val="14"/>
                <w:color w:val="4D4D4F"/>
              </w:rPr>
              <w:t>43,500</w:t>
            </w:r>
          </w:p>
        </w:tc>
        <w:tc>
          <w:tcPr>
            <w:tcW w:w="1180" w:type="dxa"/>
            <w:vAlign w:val="bottom"/>
            <w:shd w:val="clear" w:color="auto" w:fill="B7E4FF"/>
          </w:tcPr>
          <w:p>
            <w:pPr>
              <w:jc w:val="center"/>
              <w:spacing w:after="0"/>
              <w:rPr>
                <w:sz w:val="20"/>
                <w:szCs w:val="20"/>
                <w:color w:val="auto"/>
              </w:rPr>
            </w:pPr>
            <w:r>
              <w:rPr>
                <w:rFonts w:ascii="Arial" w:cs="Arial" w:eastAsia="Arial" w:hAnsi="Arial"/>
                <w:sz w:val="14"/>
                <w:szCs w:val="14"/>
                <w:color w:val="4D4D4F"/>
              </w:rPr>
              <w:t>225,809</w:t>
            </w:r>
          </w:p>
        </w:tc>
        <w:tc>
          <w:tcPr>
            <w:tcW w:w="1440" w:type="dxa"/>
            <w:vAlign w:val="bottom"/>
            <w:shd w:val="clear" w:color="auto" w:fill="B7E4FF"/>
          </w:tcPr>
          <w:p>
            <w:pPr>
              <w:jc w:val="center"/>
              <w:ind w:left="8"/>
              <w:spacing w:after="0"/>
              <w:rPr>
                <w:sz w:val="20"/>
                <w:szCs w:val="20"/>
                <w:color w:val="auto"/>
              </w:rPr>
            </w:pPr>
            <w:r>
              <w:rPr>
                <w:rFonts w:ascii="Arial" w:cs="Arial" w:eastAsia="Arial" w:hAnsi="Arial"/>
                <w:sz w:val="14"/>
                <w:szCs w:val="14"/>
                <w:color w:val="4D4D4F"/>
              </w:rPr>
              <w:t>13,616</w:t>
            </w:r>
          </w:p>
        </w:tc>
        <w:tc>
          <w:tcPr>
            <w:tcW w:w="1040" w:type="dxa"/>
            <w:vAlign w:val="bottom"/>
            <w:shd w:val="clear" w:color="auto" w:fill="B7E4FF"/>
          </w:tcPr>
          <w:p>
            <w:pPr>
              <w:jc w:val="center"/>
              <w:ind w:left="8"/>
              <w:spacing w:after="0"/>
              <w:rPr>
                <w:sz w:val="20"/>
                <w:szCs w:val="20"/>
                <w:color w:val="auto"/>
              </w:rPr>
            </w:pPr>
            <w:r>
              <w:rPr>
                <w:rFonts w:ascii="Arial" w:cs="Arial" w:eastAsia="Arial" w:hAnsi="Arial"/>
                <w:sz w:val="14"/>
                <w:szCs w:val="14"/>
                <w:color w:val="4D4D4F"/>
              </w:rPr>
              <w:t>452,097</w:t>
            </w:r>
          </w:p>
        </w:tc>
      </w:tr>
      <w:tr>
        <w:trPr>
          <w:trHeight w:val="189"/>
        </w:trPr>
        <w:tc>
          <w:tcPr>
            <w:tcW w:w="4380" w:type="dxa"/>
            <w:vAlign w:val="bottom"/>
            <w:shd w:val="clear" w:color="auto" w:fill="B7E4FF"/>
          </w:tcPr>
          <w:p>
            <w:pPr>
              <w:spacing w:after="0"/>
              <w:rPr>
                <w:sz w:val="20"/>
                <w:szCs w:val="20"/>
                <w:color w:val="auto"/>
              </w:rPr>
            </w:pPr>
            <w:r>
              <w:rPr>
                <w:rFonts w:ascii="Arial" w:cs="Arial" w:eastAsia="Arial" w:hAnsi="Arial"/>
                <w:sz w:val="14"/>
                <w:szCs w:val="14"/>
                <w:i w:val="1"/>
                <w:iCs w:val="1"/>
                <w:color w:val="4D4D4F"/>
              </w:rPr>
              <w:t>Chief Financial Officer, ACM Research (Shanghai), Inc.</w:t>
            </w:r>
          </w:p>
        </w:tc>
        <w:tc>
          <w:tcPr>
            <w:tcW w:w="780" w:type="dxa"/>
            <w:vAlign w:val="bottom"/>
            <w:shd w:val="clear" w:color="auto" w:fill="B7E4FF"/>
          </w:tcPr>
          <w:p>
            <w:pPr>
              <w:ind w:left="280"/>
              <w:spacing w:after="0"/>
              <w:rPr>
                <w:sz w:val="20"/>
                <w:szCs w:val="20"/>
                <w:color w:val="auto"/>
              </w:rPr>
            </w:pPr>
            <w:r>
              <w:rPr>
                <w:rFonts w:ascii="Arial" w:cs="Arial" w:eastAsia="Arial" w:hAnsi="Arial"/>
                <w:sz w:val="14"/>
                <w:szCs w:val="14"/>
                <w:color w:val="4D4D4F"/>
              </w:rPr>
              <w:t>2019</w:t>
            </w:r>
          </w:p>
        </w:tc>
        <w:tc>
          <w:tcPr>
            <w:tcW w:w="1120" w:type="dxa"/>
            <w:vAlign w:val="bottom"/>
            <w:shd w:val="clear" w:color="auto" w:fill="B7E4FF"/>
          </w:tcPr>
          <w:p>
            <w:pPr>
              <w:jc w:val="center"/>
              <w:spacing w:after="0"/>
              <w:rPr>
                <w:sz w:val="20"/>
                <w:szCs w:val="20"/>
                <w:color w:val="auto"/>
              </w:rPr>
            </w:pPr>
            <w:r>
              <w:rPr>
                <w:rFonts w:ascii="Arial" w:cs="Arial" w:eastAsia="Arial" w:hAnsi="Arial"/>
                <w:sz w:val="14"/>
                <w:szCs w:val="14"/>
                <w:color w:val="4D4D4F"/>
              </w:rPr>
              <w:t>159,673</w:t>
            </w:r>
          </w:p>
        </w:tc>
        <w:tc>
          <w:tcPr>
            <w:tcW w:w="1160" w:type="dxa"/>
            <w:vAlign w:val="bottom"/>
            <w:shd w:val="clear" w:color="auto" w:fill="B7E4FF"/>
          </w:tcPr>
          <w:p>
            <w:pPr>
              <w:jc w:val="center"/>
              <w:spacing w:after="0"/>
              <w:rPr>
                <w:sz w:val="20"/>
                <w:szCs w:val="20"/>
                <w:color w:val="auto"/>
              </w:rPr>
            </w:pPr>
            <w:r>
              <w:rPr>
                <w:rFonts w:ascii="Arial" w:cs="Arial" w:eastAsia="Arial" w:hAnsi="Arial"/>
                <w:sz w:val="14"/>
                <w:szCs w:val="14"/>
                <w:color w:val="4D4D4F"/>
              </w:rPr>
              <w:t>41,354</w:t>
            </w:r>
          </w:p>
        </w:tc>
        <w:tc>
          <w:tcPr>
            <w:tcW w:w="1180" w:type="dxa"/>
            <w:vAlign w:val="bottom"/>
            <w:shd w:val="clear" w:color="auto" w:fill="B7E4FF"/>
          </w:tcPr>
          <w:p>
            <w:pPr>
              <w:jc w:val="center"/>
              <w:spacing w:after="0"/>
              <w:rPr>
                <w:sz w:val="20"/>
                <w:szCs w:val="20"/>
                <w:color w:val="auto"/>
              </w:rPr>
            </w:pPr>
            <w:r>
              <w:rPr>
                <w:rFonts w:ascii="Arial" w:cs="Arial" w:eastAsia="Arial" w:hAnsi="Arial"/>
                <w:sz w:val="14"/>
                <w:szCs w:val="14"/>
                <w:color w:val="4D4D4F"/>
              </w:rPr>
              <w:t>214,700</w:t>
            </w:r>
          </w:p>
        </w:tc>
        <w:tc>
          <w:tcPr>
            <w:tcW w:w="1440" w:type="dxa"/>
            <w:vAlign w:val="bottom"/>
            <w:shd w:val="clear" w:color="auto" w:fill="B7E4FF"/>
          </w:tcPr>
          <w:p>
            <w:pPr>
              <w:jc w:val="center"/>
              <w:ind w:left="8"/>
              <w:spacing w:after="0"/>
              <w:rPr>
                <w:sz w:val="20"/>
                <w:szCs w:val="20"/>
                <w:color w:val="auto"/>
              </w:rPr>
            </w:pPr>
            <w:r>
              <w:rPr>
                <w:rFonts w:ascii="Arial" w:cs="Arial" w:eastAsia="Arial" w:hAnsi="Arial"/>
                <w:sz w:val="14"/>
                <w:szCs w:val="14"/>
                <w:color w:val="4D4D4F"/>
              </w:rPr>
              <w:t>10,133</w:t>
            </w:r>
          </w:p>
        </w:tc>
        <w:tc>
          <w:tcPr>
            <w:tcW w:w="1040" w:type="dxa"/>
            <w:vAlign w:val="bottom"/>
            <w:shd w:val="clear" w:color="auto" w:fill="B7E4FF"/>
          </w:tcPr>
          <w:p>
            <w:pPr>
              <w:jc w:val="center"/>
              <w:ind w:left="8"/>
              <w:spacing w:after="0"/>
              <w:rPr>
                <w:sz w:val="20"/>
                <w:szCs w:val="20"/>
                <w:color w:val="auto"/>
              </w:rPr>
            </w:pPr>
            <w:r>
              <w:rPr>
                <w:rFonts w:ascii="Arial" w:cs="Arial" w:eastAsia="Arial" w:hAnsi="Arial"/>
                <w:sz w:val="14"/>
                <w:szCs w:val="14"/>
                <w:color w:val="4D4D4F"/>
              </w:rPr>
              <w:t>425,860</w:t>
            </w:r>
          </w:p>
        </w:tc>
      </w:tr>
      <w:tr>
        <w:trPr>
          <w:trHeight w:val="191"/>
        </w:trPr>
        <w:tc>
          <w:tcPr>
            <w:tcW w:w="4380" w:type="dxa"/>
            <w:vAlign w:val="bottom"/>
          </w:tcPr>
          <w:p>
            <w:pPr>
              <w:spacing w:after="0"/>
              <w:rPr>
                <w:sz w:val="20"/>
                <w:szCs w:val="20"/>
                <w:color w:val="auto"/>
              </w:rPr>
            </w:pPr>
            <w:r>
              <w:rPr>
                <w:rFonts w:ascii="Arial" w:cs="Arial" w:eastAsia="Arial" w:hAnsi="Arial"/>
                <w:sz w:val="14"/>
                <w:szCs w:val="14"/>
                <w:color w:val="4D4D4F"/>
              </w:rPr>
              <w:t>Fuping Chen</w:t>
            </w:r>
          </w:p>
        </w:tc>
        <w:tc>
          <w:tcPr>
            <w:tcW w:w="780" w:type="dxa"/>
            <w:vAlign w:val="bottom"/>
          </w:tcPr>
          <w:p>
            <w:pPr>
              <w:ind w:left="280"/>
              <w:spacing w:after="0"/>
              <w:rPr>
                <w:sz w:val="20"/>
                <w:szCs w:val="20"/>
                <w:color w:val="auto"/>
              </w:rPr>
            </w:pPr>
            <w:r>
              <w:rPr>
                <w:rFonts w:ascii="Arial" w:cs="Arial" w:eastAsia="Arial" w:hAnsi="Arial"/>
                <w:sz w:val="14"/>
                <w:szCs w:val="14"/>
                <w:color w:val="4D4D4F"/>
              </w:rPr>
              <w:t>2020</w:t>
            </w:r>
          </w:p>
        </w:tc>
        <w:tc>
          <w:tcPr>
            <w:tcW w:w="1120" w:type="dxa"/>
            <w:vAlign w:val="bottom"/>
          </w:tcPr>
          <w:p>
            <w:pPr>
              <w:jc w:val="center"/>
              <w:spacing w:after="0"/>
              <w:rPr>
                <w:sz w:val="20"/>
                <w:szCs w:val="20"/>
                <w:color w:val="auto"/>
              </w:rPr>
            </w:pPr>
            <w:r>
              <w:rPr>
                <w:rFonts w:ascii="Arial" w:cs="Arial" w:eastAsia="Arial" w:hAnsi="Arial"/>
                <w:sz w:val="14"/>
                <w:szCs w:val="14"/>
                <w:color w:val="4D4D4F"/>
              </w:rPr>
              <w:t>103,871</w:t>
            </w:r>
          </w:p>
        </w:tc>
        <w:tc>
          <w:tcPr>
            <w:tcW w:w="1160" w:type="dxa"/>
            <w:vAlign w:val="bottom"/>
          </w:tcPr>
          <w:p>
            <w:pPr>
              <w:jc w:val="center"/>
              <w:spacing w:after="0"/>
              <w:rPr>
                <w:sz w:val="20"/>
                <w:szCs w:val="20"/>
                <w:color w:val="auto"/>
              </w:rPr>
            </w:pPr>
            <w:r>
              <w:rPr>
                <w:rFonts w:ascii="Arial" w:cs="Arial" w:eastAsia="Arial" w:hAnsi="Arial"/>
                <w:sz w:val="14"/>
                <w:szCs w:val="14"/>
                <w:color w:val="4D4D4F"/>
              </w:rPr>
              <w:t>95,700</w:t>
            </w:r>
          </w:p>
        </w:tc>
        <w:tc>
          <w:tcPr>
            <w:tcW w:w="1180" w:type="dxa"/>
            <w:vAlign w:val="bottom"/>
          </w:tcPr>
          <w:p>
            <w:pPr>
              <w:jc w:val="center"/>
              <w:spacing w:after="0"/>
              <w:rPr>
                <w:sz w:val="20"/>
                <w:szCs w:val="20"/>
                <w:color w:val="auto"/>
              </w:rPr>
            </w:pPr>
            <w:r>
              <w:rPr>
                <w:rFonts w:ascii="Arial" w:cs="Arial" w:eastAsia="Arial" w:hAnsi="Arial"/>
                <w:sz w:val="14"/>
                <w:szCs w:val="14"/>
                <w:color w:val="4D4D4F"/>
              </w:rPr>
              <w:t>793,157</w:t>
            </w:r>
          </w:p>
        </w:tc>
        <w:tc>
          <w:tcPr>
            <w:tcW w:w="1440" w:type="dxa"/>
            <w:vAlign w:val="bottom"/>
          </w:tcPr>
          <w:p>
            <w:pPr>
              <w:jc w:val="center"/>
              <w:ind w:left="8"/>
              <w:spacing w:after="0"/>
              <w:rPr>
                <w:sz w:val="20"/>
                <w:szCs w:val="20"/>
                <w:color w:val="auto"/>
              </w:rPr>
            </w:pPr>
            <w:r>
              <w:rPr>
                <w:rFonts w:ascii="Arial" w:cs="Arial" w:eastAsia="Arial" w:hAnsi="Arial"/>
                <w:sz w:val="14"/>
                <w:szCs w:val="14"/>
                <w:color w:val="4D4D4F"/>
              </w:rPr>
              <w:t>15,660</w:t>
            </w:r>
          </w:p>
        </w:tc>
        <w:tc>
          <w:tcPr>
            <w:tcW w:w="1040" w:type="dxa"/>
            <w:vAlign w:val="bottom"/>
          </w:tcPr>
          <w:p>
            <w:pPr>
              <w:jc w:val="center"/>
              <w:ind w:left="8"/>
              <w:spacing w:after="0"/>
              <w:rPr>
                <w:sz w:val="20"/>
                <w:szCs w:val="20"/>
                <w:color w:val="auto"/>
              </w:rPr>
            </w:pPr>
            <w:r>
              <w:rPr>
                <w:rFonts w:ascii="Arial" w:cs="Arial" w:eastAsia="Arial" w:hAnsi="Arial"/>
                <w:sz w:val="14"/>
                <w:szCs w:val="14"/>
                <w:color w:val="4D4D4F"/>
              </w:rPr>
              <w:t>1,008,388</w:t>
            </w:r>
          </w:p>
        </w:tc>
      </w:tr>
      <w:tr>
        <w:trPr>
          <w:trHeight w:val="189"/>
        </w:trPr>
        <w:tc>
          <w:tcPr>
            <w:tcW w:w="4380" w:type="dxa"/>
            <w:vAlign w:val="bottom"/>
          </w:tcPr>
          <w:p>
            <w:pPr>
              <w:spacing w:after="0"/>
              <w:rPr>
                <w:sz w:val="20"/>
                <w:szCs w:val="20"/>
                <w:color w:val="auto"/>
              </w:rPr>
            </w:pPr>
            <w:r>
              <w:rPr>
                <w:rFonts w:ascii="Arial" w:cs="Arial" w:eastAsia="Arial" w:hAnsi="Arial"/>
                <w:sz w:val="14"/>
                <w:szCs w:val="14"/>
                <w:i w:val="1"/>
                <w:iCs w:val="1"/>
                <w:color w:val="4D4D4F"/>
              </w:rPr>
              <w:t>Vice President, Sales—China, ACM Research (Shanghai), Inc.</w:t>
            </w:r>
          </w:p>
        </w:tc>
        <w:tc>
          <w:tcPr>
            <w:tcW w:w="780" w:type="dxa"/>
            <w:vAlign w:val="bottom"/>
          </w:tcPr>
          <w:p>
            <w:pPr>
              <w:ind w:left="280"/>
              <w:spacing w:after="0"/>
              <w:rPr>
                <w:sz w:val="20"/>
                <w:szCs w:val="20"/>
                <w:color w:val="auto"/>
              </w:rPr>
            </w:pPr>
            <w:r>
              <w:rPr>
                <w:rFonts w:ascii="Arial" w:cs="Arial" w:eastAsia="Arial" w:hAnsi="Arial"/>
                <w:sz w:val="14"/>
                <w:szCs w:val="14"/>
                <w:color w:val="4D4D4F"/>
              </w:rPr>
              <w:t>2019</w:t>
            </w:r>
          </w:p>
        </w:tc>
        <w:tc>
          <w:tcPr>
            <w:tcW w:w="1120" w:type="dxa"/>
            <w:vAlign w:val="bottom"/>
          </w:tcPr>
          <w:p>
            <w:pPr>
              <w:jc w:val="center"/>
              <w:spacing w:after="0"/>
              <w:rPr>
                <w:sz w:val="20"/>
                <w:szCs w:val="20"/>
                <w:color w:val="auto"/>
              </w:rPr>
            </w:pPr>
            <w:r>
              <w:rPr>
                <w:rFonts w:ascii="Arial" w:cs="Arial" w:eastAsia="Arial" w:hAnsi="Arial"/>
                <w:sz w:val="14"/>
                <w:szCs w:val="14"/>
                <w:color w:val="4D4D4F"/>
              </w:rPr>
              <w:t>90,603</w:t>
            </w:r>
          </w:p>
        </w:tc>
        <w:tc>
          <w:tcPr>
            <w:tcW w:w="1160" w:type="dxa"/>
            <w:vAlign w:val="bottom"/>
          </w:tcPr>
          <w:p>
            <w:pPr>
              <w:jc w:val="center"/>
              <w:spacing w:after="0"/>
              <w:rPr>
                <w:sz w:val="20"/>
                <w:szCs w:val="20"/>
                <w:color w:val="auto"/>
              </w:rPr>
            </w:pPr>
            <w:r>
              <w:rPr>
                <w:rFonts w:ascii="Arial" w:cs="Arial" w:eastAsia="Arial" w:hAnsi="Arial"/>
                <w:sz w:val="14"/>
                <w:szCs w:val="14"/>
                <w:color w:val="4D4D4F"/>
              </w:rPr>
              <w:t>113,129</w:t>
            </w:r>
          </w:p>
        </w:tc>
        <w:tc>
          <w:tcPr>
            <w:tcW w:w="1180" w:type="dxa"/>
            <w:vAlign w:val="bottom"/>
          </w:tcPr>
          <w:p>
            <w:pPr>
              <w:jc w:val="center"/>
              <w:spacing w:after="0"/>
              <w:rPr>
                <w:sz w:val="20"/>
                <w:szCs w:val="20"/>
                <w:color w:val="auto"/>
              </w:rPr>
            </w:pPr>
            <w:r>
              <w:rPr>
                <w:rFonts w:ascii="Arial" w:cs="Arial" w:eastAsia="Arial" w:hAnsi="Arial"/>
                <w:sz w:val="14"/>
                <w:szCs w:val="14"/>
                <w:color w:val="4D4D4F"/>
              </w:rPr>
              <w:t>61,198</w:t>
            </w:r>
          </w:p>
        </w:tc>
        <w:tc>
          <w:tcPr>
            <w:tcW w:w="1440" w:type="dxa"/>
            <w:vAlign w:val="bottom"/>
          </w:tcPr>
          <w:p>
            <w:pPr>
              <w:jc w:val="center"/>
              <w:ind w:left="8"/>
              <w:spacing w:after="0"/>
              <w:rPr>
                <w:sz w:val="20"/>
                <w:szCs w:val="20"/>
                <w:color w:val="auto"/>
              </w:rPr>
            </w:pPr>
            <w:r>
              <w:rPr>
                <w:rFonts w:ascii="Arial" w:cs="Arial" w:eastAsia="Arial" w:hAnsi="Arial"/>
                <w:sz w:val="14"/>
                <w:szCs w:val="14"/>
                <w:color w:val="4D4D4F"/>
              </w:rPr>
              <w:t>13,920</w:t>
            </w:r>
          </w:p>
        </w:tc>
        <w:tc>
          <w:tcPr>
            <w:tcW w:w="1040" w:type="dxa"/>
            <w:vAlign w:val="bottom"/>
          </w:tcPr>
          <w:p>
            <w:pPr>
              <w:jc w:val="center"/>
              <w:ind w:left="8"/>
              <w:spacing w:after="0"/>
              <w:rPr>
                <w:sz w:val="20"/>
                <w:szCs w:val="20"/>
                <w:color w:val="auto"/>
              </w:rPr>
            </w:pPr>
            <w:r>
              <w:rPr>
                <w:rFonts w:ascii="Arial" w:cs="Arial" w:eastAsia="Arial" w:hAnsi="Arial"/>
                <w:sz w:val="14"/>
                <w:szCs w:val="14"/>
                <w:color w:val="4D4D4F"/>
              </w:rPr>
              <w:t>278,850</w:t>
            </w:r>
          </w:p>
        </w:tc>
      </w:tr>
      <w:tr>
        <w:trPr>
          <w:trHeight w:val="189"/>
        </w:trPr>
        <w:tc>
          <w:tcPr>
            <w:tcW w:w="4380" w:type="dxa"/>
            <w:vAlign w:val="bottom"/>
          </w:tcPr>
          <w:p>
            <w:pPr>
              <w:spacing w:after="0"/>
              <w:rPr>
                <w:sz w:val="16"/>
                <w:szCs w:val="16"/>
                <w:color w:val="auto"/>
              </w:rPr>
            </w:pPr>
          </w:p>
        </w:tc>
        <w:tc>
          <w:tcPr>
            <w:tcW w:w="780" w:type="dxa"/>
            <w:vAlign w:val="bottom"/>
          </w:tcPr>
          <w:p>
            <w:pPr>
              <w:ind w:left="280"/>
              <w:spacing w:after="0"/>
              <w:rPr>
                <w:sz w:val="20"/>
                <w:szCs w:val="20"/>
                <w:color w:val="auto"/>
              </w:rPr>
            </w:pPr>
            <w:r>
              <w:rPr>
                <w:rFonts w:ascii="Arial" w:cs="Arial" w:eastAsia="Arial" w:hAnsi="Arial"/>
                <w:sz w:val="14"/>
                <w:szCs w:val="14"/>
                <w:color w:val="4D4D4F"/>
              </w:rPr>
              <w:t>2018</w:t>
            </w:r>
          </w:p>
        </w:tc>
        <w:tc>
          <w:tcPr>
            <w:tcW w:w="1120" w:type="dxa"/>
            <w:vAlign w:val="bottom"/>
          </w:tcPr>
          <w:p>
            <w:pPr>
              <w:jc w:val="center"/>
              <w:spacing w:after="0"/>
              <w:rPr>
                <w:sz w:val="20"/>
                <w:szCs w:val="20"/>
                <w:color w:val="auto"/>
              </w:rPr>
            </w:pPr>
            <w:r>
              <w:rPr>
                <w:rFonts w:ascii="Arial" w:cs="Arial" w:eastAsia="Arial" w:hAnsi="Arial"/>
                <w:sz w:val="14"/>
                <w:szCs w:val="14"/>
                <w:color w:val="4D4D4F"/>
              </w:rPr>
              <w:t>90,348</w:t>
            </w:r>
          </w:p>
        </w:tc>
        <w:tc>
          <w:tcPr>
            <w:tcW w:w="1160" w:type="dxa"/>
            <w:vAlign w:val="bottom"/>
          </w:tcPr>
          <w:p>
            <w:pPr>
              <w:jc w:val="center"/>
              <w:spacing w:after="0"/>
              <w:rPr>
                <w:sz w:val="20"/>
                <w:szCs w:val="20"/>
                <w:color w:val="auto"/>
              </w:rPr>
            </w:pPr>
            <w:r>
              <w:rPr>
                <w:rFonts w:ascii="Arial" w:cs="Arial" w:eastAsia="Arial" w:hAnsi="Arial"/>
                <w:sz w:val="14"/>
                <w:szCs w:val="14"/>
                <w:color w:val="4D4D4F"/>
              </w:rPr>
              <w:t>35,259</w:t>
            </w:r>
          </w:p>
        </w:tc>
        <w:tc>
          <w:tcPr>
            <w:tcW w:w="1180" w:type="dxa"/>
            <w:vAlign w:val="bottom"/>
          </w:tcPr>
          <w:p>
            <w:pPr>
              <w:jc w:val="center"/>
              <w:spacing w:after="0"/>
              <w:rPr>
                <w:sz w:val="20"/>
                <w:szCs w:val="20"/>
                <w:color w:val="auto"/>
              </w:rPr>
            </w:pPr>
            <w:r>
              <w:rPr>
                <w:rFonts w:ascii="Arial" w:cs="Arial" w:eastAsia="Arial" w:hAnsi="Arial"/>
                <w:sz w:val="14"/>
                <w:szCs w:val="14"/>
                <w:color w:val="4D4D4F"/>
              </w:rPr>
              <w:t>112,995</w:t>
            </w:r>
          </w:p>
        </w:tc>
        <w:tc>
          <w:tcPr>
            <w:tcW w:w="1440" w:type="dxa"/>
            <w:vAlign w:val="bottom"/>
          </w:tcPr>
          <w:p>
            <w:pPr>
              <w:jc w:val="center"/>
              <w:ind w:left="8"/>
              <w:spacing w:after="0"/>
              <w:rPr>
                <w:sz w:val="20"/>
                <w:szCs w:val="20"/>
                <w:color w:val="auto"/>
              </w:rPr>
            </w:pPr>
            <w:r>
              <w:rPr>
                <w:rFonts w:ascii="Arial" w:cs="Arial" w:eastAsia="Arial" w:hAnsi="Arial"/>
                <w:sz w:val="14"/>
                <w:szCs w:val="14"/>
                <w:color w:val="4D4D4F"/>
              </w:rPr>
              <w:t>10,667</w:t>
            </w:r>
          </w:p>
        </w:tc>
        <w:tc>
          <w:tcPr>
            <w:tcW w:w="1040" w:type="dxa"/>
            <w:vAlign w:val="bottom"/>
          </w:tcPr>
          <w:p>
            <w:pPr>
              <w:jc w:val="center"/>
              <w:ind w:left="8"/>
              <w:spacing w:after="0"/>
              <w:rPr>
                <w:sz w:val="20"/>
                <w:szCs w:val="20"/>
                <w:color w:val="auto"/>
              </w:rPr>
            </w:pPr>
            <w:r>
              <w:rPr>
                <w:rFonts w:ascii="Arial" w:cs="Arial" w:eastAsia="Arial" w:hAnsi="Arial"/>
                <w:sz w:val="14"/>
                <w:szCs w:val="14"/>
                <w:color w:val="4D4D4F"/>
              </w:rPr>
              <w:t>249,269</w:t>
            </w:r>
          </w:p>
        </w:tc>
      </w:tr>
    </w:tbl>
    <w:p>
      <w:pPr>
        <w:spacing w:after="0" w:line="57" w:lineRule="exact"/>
        <w:rPr>
          <w:sz w:val="20"/>
          <w:szCs w:val="20"/>
          <w:color w:val="auto"/>
        </w:rPr>
      </w:pPr>
    </w:p>
    <w:p>
      <w:pPr>
        <w:ind w:left="440" w:right="20" w:hanging="324"/>
        <w:spacing w:after="0" w:line="258" w:lineRule="auto"/>
        <w:tabs>
          <w:tab w:leader="none" w:pos="440" w:val="left"/>
        </w:tabs>
        <w:numPr>
          <w:ilvl w:val="0"/>
          <w:numId w:val="8"/>
        </w:numPr>
        <w:rPr>
          <w:rFonts w:ascii="Arial" w:cs="Arial" w:eastAsia="Arial" w:hAnsi="Arial"/>
          <w:sz w:val="14"/>
          <w:szCs w:val="14"/>
          <w:color w:val="4D4D4F"/>
        </w:rPr>
      </w:pPr>
      <w:r>
        <w:rPr>
          <w:rFonts w:ascii="Arial" w:cs="Arial" w:eastAsia="Arial" w:hAnsi="Arial"/>
          <w:sz w:val="14"/>
          <w:szCs w:val="14"/>
          <w:color w:val="4D4D4F"/>
        </w:rPr>
        <w:t>Compensation amounts paid in RMB have been converted, for purposes of the table, to U.S. dollars at the average RMB per U.S. dollar exchange rate for the applicable years.</w:t>
      </w:r>
    </w:p>
    <w:p>
      <w:pPr>
        <w:spacing w:after="0" w:line="31" w:lineRule="exact"/>
        <w:rPr>
          <w:rFonts w:ascii="Arial" w:cs="Arial" w:eastAsia="Arial" w:hAnsi="Arial"/>
          <w:sz w:val="14"/>
          <w:szCs w:val="14"/>
          <w:color w:val="4D4D4F"/>
        </w:rPr>
      </w:pPr>
    </w:p>
    <w:p>
      <w:pPr>
        <w:jc w:val="both"/>
        <w:ind w:left="440" w:right="20" w:hanging="324"/>
        <w:spacing w:after="0" w:line="247" w:lineRule="auto"/>
        <w:tabs>
          <w:tab w:leader="none" w:pos="440" w:val="left"/>
        </w:tabs>
        <w:numPr>
          <w:ilvl w:val="0"/>
          <w:numId w:val="8"/>
        </w:numPr>
        <w:rPr>
          <w:rFonts w:ascii="Arial" w:cs="Arial" w:eastAsia="Arial" w:hAnsi="Arial"/>
          <w:sz w:val="14"/>
          <w:szCs w:val="14"/>
          <w:color w:val="4D4D4F"/>
        </w:rPr>
      </w:pPr>
      <w:r>
        <w:rPr>
          <w:rFonts w:ascii="Arial" w:cs="Arial" w:eastAsia="Arial" w:hAnsi="Arial"/>
          <w:sz w:val="14"/>
          <w:szCs w:val="14"/>
          <w:color w:val="4D4D4F"/>
        </w:rPr>
        <w:t xml:space="preserve">Amounts shown represent the aggregate grant date fair value of stock awards granted in accordance with Financial Accounting Standards Board Accounting Standards Codification Topic 718, </w:t>
      </w:r>
      <w:r>
        <w:rPr>
          <w:rFonts w:ascii="Arial" w:cs="Arial" w:eastAsia="Arial" w:hAnsi="Arial"/>
          <w:sz w:val="14"/>
          <w:szCs w:val="14"/>
          <w:i w:val="1"/>
          <w:iCs w:val="1"/>
          <w:color w:val="4D4D4F"/>
        </w:rPr>
        <w:t>Compensation—Stock Compensation</w:t>
      </w:r>
      <w:r>
        <w:rPr>
          <w:rFonts w:ascii="Arial" w:cs="Arial" w:eastAsia="Arial" w:hAnsi="Arial"/>
          <w:sz w:val="14"/>
          <w:szCs w:val="14"/>
          <w:color w:val="4D4D4F"/>
        </w:rPr>
        <w:t>. These amounts do not necessarily correspond to the actual amounts that will be earned by the NEOs. For assumptions made in valuing these awards and related information, see note 2 to our consolidated financial statements included in our Annual Report on Form 10-K for the fiscal year ended December 31, 2020.</w:t>
      </w:r>
    </w:p>
    <w:p>
      <w:pPr>
        <w:spacing w:after="0" w:line="39" w:lineRule="exact"/>
        <w:rPr>
          <w:rFonts w:ascii="Arial" w:cs="Arial" w:eastAsia="Arial" w:hAnsi="Arial"/>
          <w:sz w:val="14"/>
          <w:szCs w:val="14"/>
          <w:color w:val="4D4D4F"/>
        </w:rPr>
      </w:pPr>
    </w:p>
    <w:p>
      <w:pPr>
        <w:ind w:left="440" w:right="20" w:hanging="324"/>
        <w:spacing w:after="0" w:line="258" w:lineRule="auto"/>
        <w:tabs>
          <w:tab w:leader="none" w:pos="440" w:val="left"/>
        </w:tabs>
        <w:numPr>
          <w:ilvl w:val="0"/>
          <w:numId w:val="8"/>
        </w:numPr>
        <w:rPr>
          <w:rFonts w:ascii="Arial" w:cs="Arial" w:eastAsia="Arial" w:hAnsi="Arial"/>
          <w:sz w:val="14"/>
          <w:szCs w:val="14"/>
          <w:color w:val="4D4D4F"/>
        </w:rPr>
      </w:pPr>
      <w:r>
        <w:rPr>
          <w:rFonts w:ascii="Arial" w:cs="Arial" w:eastAsia="Arial" w:hAnsi="Arial"/>
          <w:sz w:val="14"/>
          <w:szCs w:val="14"/>
          <w:color w:val="4D4D4F"/>
        </w:rPr>
        <w:t>Consists of (a) option awards exercisable for Class A common stock and (b) with respect to Dr. Wang, Mr. Wang, Ms. Feng and Mr. Chen in 2020, option awards exercisable for shares of ACM Research (Shanghai), Inc.</w:t>
      </w:r>
    </w:p>
    <w:p>
      <w:pPr>
        <w:spacing w:after="0" w:line="31" w:lineRule="exact"/>
        <w:rPr>
          <w:rFonts w:ascii="Arial" w:cs="Arial" w:eastAsia="Arial" w:hAnsi="Arial"/>
          <w:sz w:val="14"/>
          <w:szCs w:val="14"/>
          <w:color w:val="4D4D4F"/>
        </w:rPr>
      </w:pPr>
    </w:p>
    <w:p>
      <w:pPr>
        <w:ind w:left="440" w:hanging="324"/>
        <w:spacing w:after="0"/>
        <w:tabs>
          <w:tab w:leader="none" w:pos="440" w:val="left"/>
        </w:tabs>
        <w:numPr>
          <w:ilvl w:val="0"/>
          <w:numId w:val="8"/>
        </w:numPr>
        <w:rPr>
          <w:rFonts w:ascii="Arial" w:cs="Arial" w:eastAsia="Arial" w:hAnsi="Arial"/>
          <w:sz w:val="14"/>
          <w:szCs w:val="14"/>
          <w:color w:val="4D4D4F"/>
        </w:rPr>
      </w:pPr>
      <w:r>
        <w:rPr>
          <w:rFonts w:ascii="Arial" w:cs="Arial" w:eastAsia="Arial" w:hAnsi="Arial"/>
          <w:sz w:val="14"/>
          <w:szCs w:val="14"/>
          <w:color w:val="4D4D4F"/>
        </w:rPr>
        <w:t>The amounts shown consist of a housing subsidy.</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0" w:name="page11"/>
    <w:bookmarkEnd w:id="10"/>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115570</wp:posOffset>
            </wp:positionV>
            <wp:extent cx="7187565" cy="56445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7565" cy="5644515"/>
                    </a:xfrm>
                    <a:prstGeom prst="rect">
                      <a:avLst/>
                    </a:prstGeom>
                    <a:noFill/>
                  </pic:spPr>
                </pic:pic>
              </a:graphicData>
            </a:graphic>
          </wp:anchor>
        </w:drawing>
      </w:r>
    </w:p>
    <w:p>
      <w:pPr>
        <w:spacing w:after="0" w:line="25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79C0"/>
        </w:rPr>
        <w:t>Participation in the Virtual Annual Meeting</w:t>
      </w:r>
    </w:p>
    <w:p>
      <w:pPr>
        <w:spacing w:after="0" w:line="269"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4D4D4F"/>
        </w:rPr>
        <w:t>The board of directors considers the appropriate format of our annual meeting of stockholders on an annual basis. This year the board again chose a virtual meeting format for the Annual Meeting in an effort to facilitate stockholder attendance and participation by enabling stockholders to participate fully, and equally, from any location around the world, at no cost. The virtual meeting format will allow our stockholders to engage with us at the Annual Meeting from any geographic location, using any convenient internet connected devices, including smart phones and tablets, laptop or desktop computers. We will be able to engage with all stockholders as opposed to just those who can afford to travel to an in-person meeting. The virtual meeting format also will allow stockholders to maintain their own personal safety in light of the ongoing public health risks attributable to the COVID-19 (Coronavirus) pandemic. The virtual format allows stockholders to submit questions and comments during the meeting.</w:t>
      </w:r>
    </w:p>
    <w:p>
      <w:pPr>
        <w:spacing w:after="0" w:line="167"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4D4D4F"/>
        </w:rPr>
        <w:t xml:space="preserve">The live audio webcast of the Annual Meeting will be available for listening by the general public, but participation in the Annual Meeting, including voting shares and submitting questions, will be limited to stockholders. To ensure they can participate, stockholders and proxyholders should visit </w:t>
      </w:r>
      <w:r>
        <w:rPr>
          <w:rFonts w:ascii="Arial" w:cs="Arial" w:eastAsia="Arial" w:hAnsi="Arial"/>
          <w:sz w:val="18"/>
          <w:szCs w:val="18"/>
          <w:i w:val="1"/>
          <w:iCs w:val="1"/>
          <w:color w:val="4D4D4F"/>
        </w:rPr>
        <w:t>virtualshareholdermeeting.com/ACMR2021</w:t>
      </w:r>
      <w:r>
        <w:rPr>
          <w:rFonts w:ascii="Arial" w:cs="Arial" w:eastAsia="Arial" w:hAnsi="Arial"/>
          <w:sz w:val="18"/>
          <w:szCs w:val="18"/>
          <w:color w:val="4D4D4F"/>
        </w:rPr>
        <w:t xml:space="preserve"> and enter the 16-digit control number included on their Notice of Internet Availability of Proxy Materials or proxy card. If you wish to participate in the meeting and your shares are held in street name, you must obtain, from the broker, bank or other organization that holds your shares, the information required, including a 16-digit control number, in order for you to be able to participate in, and vote at, the Annual Meeting.</w:t>
      </w:r>
    </w:p>
    <w:p>
      <w:pPr>
        <w:spacing w:after="0" w:line="164"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4D4D4F"/>
        </w:rPr>
        <w:t xml:space="preserve">Stockholders can vote their shares and submit questions via the Internet during the Annual Meeting by accessing the annual meeting website at </w:t>
      </w:r>
      <w:r>
        <w:rPr>
          <w:rFonts w:ascii="Arial" w:cs="Arial" w:eastAsia="Arial" w:hAnsi="Arial"/>
          <w:sz w:val="18"/>
          <w:szCs w:val="18"/>
          <w:i w:val="1"/>
          <w:iCs w:val="1"/>
          <w:color w:val="4D4D4F"/>
        </w:rPr>
        <w:t>virtualshareholdermeeting.com/ACMR2021</w:t>
      </w:r>
      <w:r>
        <w:rPr>
          <w:rFonts w:ascii="Arial" w:cs="Arial" w:eastAsia="Arial" w:hAnsi="Arial"/>
          <w:sz w:val="18"/>
          <w:szCs w:val="18"/>
          <w:color w:val="4D4D4F"/>
        </w:rPr>
        <w:t xml:space="preserve">. We will answer any timely submitted questions on a matter to be voted on at the Annual Meeting before voting is closed on the matter. Following adjournment of the formal business of the Annual Meeting, we will address appropriate general questions from stockholders regarding ACM Research in the order in which the questions are received. Questions relating to stockholder proposals or ACM Research may be submitted in the field provided in the web portal at or before the time the questions are to be discussed. All questions received during the Annual Meeting will be presented as submitted, uncensored and unedited, except that we may omit certain personal details for data protection issues and we may edit profanity or other inappropriate language. If we receive substantially similar questions, we will group those questions together and provide a single response to avoid repetition. Additional information regarding the submission of questions during the Annual Meeting can be found in our 2021 Rules of Conduct and Procedure, a copy of which is attached hereto as </w:t>
      </w:r>
      <w:r>
        <w:rPr>
          <w:rFonts w:ascii="Arial" w:cs="Arial" w:eastAsia="Arial" w:hAnsi="Arial"/>
          <w:sz w:val="18"/>
          <w:szCs w:val="18"/>
          <w:i w:val="1"/>
          <w:iCs w:val="1"/>
          <w:color w:val="4D4D4F"/>
        </w:rPr>
        <w:t>Appendix B.</w:t>
      </w:r>
      <w:r>
        <w:rPr>
          <w:rFonts w:ascii="Arial" w:cs="Arial" w:eastAsia="Arial" w:hAnsi="Arial"/>
          <w:sz w:val="18"/>
          <w:szCs w:val="18"/>
          <w:color w:val="4D4D4F"/>
        </w:rPr>
        <w:t xml:space="preserve"> Any material changes or updates to the 2021 Rules of Conduct and Procedure will be posted on our website and disclosed in a periodic report to the SEC on Form 8-K.</w:t>
      </w:r>
    </w:p>
    <w:p>
      <w:pPr>
        <w:spacing w:after="0" w:line="178"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4D4D4F"/>
        </w:rPr>
        <w:t xml:space="preserve">Online check-in to the Annual Meeting webcast will begin at 6:45 a.m., Pacific time, and you should allow ample time to log in to the meeting webcast and test your computer audio system. During online check-in and continuing through the length of the Annual Meeting, we will have technicians standing by to assist you with any technical difficulties you may have accessing the virtual meeting. If you encounter any difficulties accessing the Annual Meeting during the check-in or at meeting time, you should call the technical support number available at </w:t>
      </w:r>
      <w:r>
        <w:rPr>
          <w:rFonts w:ascii="Arial" w:cs="Arial" w:eastAsia="Arial" w:hAnsi="Arial"/>
          <w:sz w:val="18"/>
          <w:szCs w:val="18"/>
          <w:i w:val="1"/>
          <w:iCs w:val="1"/>
          <w:color w:val="4D4D4F"/>
        </w:rPr>
        <w:t>virtualshareholdermeeting.com/ACMR2021</w:t>
      </w:r>
      <w:r>
        <w:rPr>
          <w:rFonts w:ascii="Arial" w:cs="Arial" w:eastAsia="Arial" w:hAnsi="Arial"/>
          <w:sz w:val="18"/>
          <w:szCs w:val="18"/>
          <w:color w:val="4D4D4F"/>
        </w:rPr>
        <w:t>.</w:t>
      </w:r>
    </w:p>
    <w:p>
      <w:pPr>
        <w:spacing w:after="0" w:line="162"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4D4D4F"/>
        </w:rPr>
        <w:t xml:space="preserve">We have designed our virtual format to enhance, rather than constrain, stockholder access, participation and communication. For example, stockholders will be able to communicate with us during the Annual Meeting so they can ask questions. An audio replay of the Annual Meeting will be made publicly available at </w:t>
      </w:r>
      <w:r>
        <w:rPr>
          <w:rFonts w:ascii="Arial" w:cs="Arial" w:eastAsia="Arial" w:hAnsi="Arial"/>
          <w:sz w:val="18"/>
          <w:szCs w:val="18"/>
          <w:i w:val="1"/>
          <w:iCs w:val="1"/>
          <w:color w:val="4D4D4F"/>
        </w:rPr>
        <w:t>ir.acmrcsh.com/presentations</w:t>
      </w:r>
      <w:r>
        <w:rPr>
          <w:rFonts w:ascii="Arial" w:cs="Arial" w:eastAsia="Arial" w:hAnsi="Arial"/>
          <w:sz w:val="18"/>
          <w:szCs w:val="18"/>
          <w:color w:val="4D4D4F"/>
        </w:rPr>
        <w:t xml:space="preserve"> until our 2022 annual meeting of stockholders.</w:t>
      </w:r>
    </w:p>
    <w:p>
      <w:pPr>
        <w:spacing w:after="0" w:line="162"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4D4D4F"/>
        </w:rPr>
        <w:t>This audio replay will include each stockholder question addressed during the Annual Meeting. We are utilizing technology from Broadridge Financial Solutions, Inc., or Broadridge. The Broadridge platform is expected to accommodate most, if not all, stockholders. Both we and Broadridge will test the platform technology before going “live” for the Annual Meeting.</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1" w:name="page12"/>
    <w:bookmarkEnd w:id="11"/>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42" w:lineRule="exact"/>
        <w:rPr>
          <w:sz w:val="20"/>
          <w:szCs w:val="20"/>
          <w:color w:val="auto"/>
        </w:rPr>
      </w:pPr>
    </w:p>
    <w:p>
      <w:pPr>
        <w:ind w:left="2600"/>
        <w:spacing w:after="0"/>
        <w:rPr>
          <w:sz w:val="20"/>
          <w:szCs w:val="20"/>
          <w:color w:val="auto"/>
        </w:rPr>
      </w:pPr>
      <w:r>
        <w:rPr>
          <w:rFonts w:ascii="Arial" w:cs="Arial" w:eastAsia="Arial" w:hAnsi="Arial"/>
          <w:sz w:val="25"/>
          <w:szCs w:val="25"/>
          <w:b w:val="1"/>
          <w:bCs w:val="1"/>
          <w:color w:val="003E64"/>
        </w:rPr>
        <w:t>Questions and Answers About the Annual Meeting</w:t>
      </w: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b w:val="1"/>
          <w:bCs w:val="1"/>
          <w:color w:val="0079C0"/>
        </w:rPr>
        <w:t>Q: When and where will the Annual Meeting be held?</w:t>
      </w:r>
    </w:p>
    <w:p>
      <w:pPr>
        <w:spacing w:after="0" w:line="217" w:lineRule="exact"/>
        <w:rPr>
          <w:sz w:val="20"/>
          <w:szCs w:val="20"/>
          <w:color w:val="auto"/>
        </w:rPr>
      </w:pPr>
    </w:p>
    <w:p>
      <w:pPr>
        <w:ind w:left="340" w:hanging="332"/>
        <w:spacing w:after="0" w:line="246" w:lineRule="auto"/>
        <w:tabs>
          <w:tab w:leader="none" w:pos="340" w:val="left"/>
        </w:tabs>
        <w:numPr>
          <w:ilvl w:val="0"/>
          <w:numId w:val="9"/>
        </w:numPr>
        <w:rPr>
          <w:rFonts w:ascii="Arial" w:cs="Arial" w:eastAsia="Arial" w:hAnsi="Arial"/>
          <w:sz w:val="18"/>
          <w:szCs w:val="18"/>
          <w:b w:val="1"/>
          <w:bCs w:val="1"/>
          <w:color w:val="4D4D4F"/>
        </w:rPr>
      </w:pPr>
      <w:r>
        <w:rPr>
          <w:rFonts w:ascii="Arial" w:cs="Arial" w:eastAsia="Arial" w:hAnsi="Arial"/>
          <w:sz w:val="18"/>
          <w:szCs w:val="18"/>
          <w:color w:val="4D4D4F"/>
        </w:rPr>
        <w:t xml:space="preserve">This year the Annual Meeting of Stockholders of ACM Research, Inc., which we refer to as the Annual Meeting, will again be held exclusively by webcast at </w:t>
      </w:r>
      <w:r>
        <w:rPr>
          <w:rFonts w:ascii="Arial" w:cs="Arial" w:eastAsia="Arial" w:hAnsi="Arial"/>
          <w:sz w:val="18"/>
          <w:szCs w:val="18"/>
          <w:i w:val="1"/>
          <w:iCs w:val="1"/>
          <w:color w:val="4D4D4F"/>
        </w:rPr>
        <w:t>virtualshareholdermeeting.com/ACMR2021,</w:t>
      </w:r>
      <w:r>
        <w:rPr>
          <w:rFonts w:ascii="Arial" w:cs="Arial" w:eastAsia="Arial" w:hAnsi="Arial"/>
          <w:sz w:val="18"/>
          <w:szCs w:val="18"/>
          <w:color w:val="4D4D4F"/>
        </w:rPr>
        <w:t xml:space="preserve"> beginning at 7 a.m., Pacific time, on June 2, 2021.</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0079C0"/>
        </w:rPr>
        <w:t>Q: Who may join the Annual Meeting?</w:t>
      </w:r>
    </w:p>
    <w:p>
      <w:pPr>
        <w:spacing w:after="0" w:line="202" w:lineRule="exact"/>
        <w:rPr>
          <w:sz w:val="20"/>
          <w:szCs w:val="20"/>
          <w:color w:val="auto"/>
        </w:rPr>
      </w:pPr>
    </w:p>
    <w:p>
      <w:pPr>
        <w:jc w:val="both"/>
        <w:ind w:left="340" w:hanging="332"/>
        <w:spacing w:after="0" w:line="238" w:lineRule="auto"/>
        <w:tabs>
          <w:tab w:leader="none" w:pos="340" w:val="left"/>
        </w:tabs>
        <w:numPr>
          <w:ilvl w:val="0"/>
          <w:numId w:val="10"/>
        </w:numPr>
        <w:rPr>
          <w:rFonts w:ascii="Arial" w:cs="Arial" w:eastAsia="Arial" w:hAnsi="Arial"/>
          <w:sz w:val="18"/>
          <w:szCs w:val="18"/>
          <w:b w:val="1"/>
          <w:bCs w:val="1"/>
          <w:color w:val="4D4D4F"/>
        </w:rPr>
      </w:pPr>
      <w:r>
        <w:rPr>
          <w:rFonts w:ascii="Arial" w:cs="Arial" w:eastAsia="Arial" w:hAnsi="Arial"/>
          <w:sz w:val="18"/>
          <w:szCs w:val="18"/>
          <w:color w:val="4D4D4F"/>
        </w:rPr>
        <w:t xml:space="preserve">The live audio webcast of the Annual Meeting will be available for listening by the general public, but participation in the Annual Meeting, including voting shares and submitting questions, will be limited to stockholders. To ensure they can participate, stockholders and proxyholders should visit </w:t>
      </w:r>
      <w:r>
        <w:rPr>
          <w:rFonts w:ascii="Arial" w:cs="Arial" w:eastAsia="Arial" w:hAnsi="Arial"/>
          <w:sz w:val="18"/>
          <w:szCs w:val="18"/>
          <w:i w:val="1"/>
          <w:iCs w:val="1"/>
          <w:color w:val="4D4D4F"/>
        </w:rPr>
        <w:t>virtualshareholdermeeting.com/ACMR2021</w:t>
      </w:r>
      <w:r>
        <w:rPr>
          <w:rFonts w:ascii="Arial" w:cs="Arial" w:eastAsia="Arial" w:hAnsi="Arial"/>
          <w:sz w:val="18"/>
          <w:szCs w:val="18"/>
          <w:color w:val="4D4D4F"/>
        </w:rPr>
        <w:t xml:space="preserve"> and enter the 16-digit control number included on their Notice of Internet Availability of Proxy Materials or proxy card.</w:t>
      </w:r>
    </w:p>
    <w:p>
      <w:pPr>
        <w:spacing w:after="0" w:line="69" w:lineRule="exact"/>
        <w:rPr>
          <w:rFonts w:ascii="Arial" w:cs="Arial" w:eastAsia="Arial" w:hAnsi="Arial"/>
          <w:sz w:val="18"/>
          <w:szCs w:val="18"/>
          <w:b w:val="1"/>
          <w:bCs w:val="1"/>
          <w:color w:val="4D4D4F"/>
        </w:rPr>
      </w:pPr>
    </w:p>
    <w:p>
      <w:pPr>
        <w:ind w:left="340"/>
        <w:spacing w:after="0" w:line="246" w:lineRule="auto"/>
        <w:rPr>
          <w:rFonts w:ascii="Arial" w:cs="Arial" w:eastAsia="Arial" w:hAnsi="Arial"/>
          <w:sz w:val="18"/>
          <w:szCs w:val="18"/>
          <w:b w:val="1"/>
          <w:bCs w:val="1"/>
          <w:color w:val="4D4D4F"/>
        </w:rPr>
      </w:pPr>
      <w:r>
        <w:rPr>
          <w:rFonts w:ascii="Arial" w:cs="Arial" w:eastAsia="Arial" w:hAnsi="Arial"/>
          <w:sz w:val="18"/>
          <w:szCs w:val="18"/>
          <w:color w:val="4D4D4F"/>
        </w:rPr>
        <w:t>Online check-in to the Annual Meeting webcast will begin at 6:45 a.m., Pacific time. We encourage you to allow ample time to log in to the meeting webcast and test your computer audio system.</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0079C0"/>
        </w:rPr>
        <w:t>Q: What materials have been prepared for stockholders in connection with the Annual Meeting?</w:t>
      </w:r>
    </w:p>
    <w:p>
      <w:pPr>
        <w:spacing w:after="0" w:line="202"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b w:val="1"/>
          <w:bCs w:val="1"/>
          <w:color w:val="4D4D4F"/>
        </w:rPr>
      </w:pPr>
      <w:r>
        <w:rPr>
          <w:rFonts w:ascii="Arial" w:cs="Arial" w:eastAsia="Arial" w:hAnsi="Arial"/>
          <w:sz w:val="18"/>
          <w:szCs w:val="18"/>
          <w:color w:val="4D4D4F"/>
        </w:rPr>
        <w:t>We are furnishing you and other stockholders of record with the following proxy materials:</w:t>
      </w:r>
    </w:p>
    <w:p>
      <w:pPr>
        <w:spacing w:after="0" w:line="76" w:lineRule="exact"/>
        <w:rPr>
          <w:rFonts w:ascii="Arial" w:cs="Arial" w:eastAsia="Arial" w:hAnsi="Arial"/>
          <w:sz w:val="18"/>
          <w:szCs w:val="18"/>
          <w:b w:val="1"/>
          <w:bCs w:val="1"/>
          <w:color w:val="4D4D4F"/>
        </w:rPr>
      </w:pPr>
    </w:p>
    <w:p>
      <w:pPr>
        <w:jc w:val="both"/>
        <w:ind w:left="660" w:right="20" w:hanging="328"/>
        <w:spacing w:after="0" w:line="210" w:lineRule="exact"/>
        <w:tabs>
          <w:tab w:leader="none" w:pos="660" w:val="left"/>
        </w:tabs>
        <w:numPr>
          <w:ilvl w:val="1"/>
          <w:numId w:val="11"/>
        </w:numPr>
        <w:rPr>
          <w:rFonts w:ascii="Arial" w:cs="Arial" w:eastAsia="Arial" w:hAnsi="Arial"/>
          <w:sz w:val="18"/>
          <w:szCs w:val="18"/>
          <w:color w:val="4D4D4F"/>
        </w:rPr>
      </w:pPr>
      <w:r>
        <w:rPr>
          <w:rFonts w:ascii="Arial" w:cs="Arial" w:eastAsia="Arial" w:hAnsi="Arial"/>
          <w:sz w:val="18"/>
          <w:szCs w:val="18"/>
          <w:color w:val="4D4D4F"/>
        </w:rPr>
        <w:t>our 2020 Annual Report to Stockholders, which we refer to as the 2020 Annual Report and which includes our Annual Report on Form 10</w:t>
      </w:r>
      <w:r>
        <w:rPr>
          <w:rFonts w:ascii="MS PGothic" w:cs="MS PGothic" w:eastAsia="MS PGothic" w:hAnsi="MS PGothic"/>
          <w:sz w:val="18"/>
          <w:szCs w:val="18"/>
          <w:color w:val="4D4D4F"/>
        </w:rPr>
        <w:t>‑</w:t>
      </w:r>
      <w:r>
        <w:rPr>
          <w:rFonts w:ascii="Arial" w:cs="Arial" w:eastAsia="Arial" w:hAnsi="Arial"/>
          <w:sz w:val="18"/>
          <w:szCs w:val="18"/>
          <w:color w:val="4D4D4F"/>
        </w:rPr>
        <w:t>K for the fiscal year ended December 31, 2020 (including our audited consolidated financial statements for 2020 and 2019);</w:t>
      </w:r>
    </w:p>
    <w:p>
      <w:pPr>
        <w:spacing w:after="0" w:line="80" w:lineRule="exact"/>
        <w:rPr>
          <w:rFonts w:ascii="Arial" w:cs="Arial" w:eastAsia="Arial" w:hAnsi="Arial"/>
          <w:sz w:val="18"/>
          <w:szCs w:val="18"/>
          <w:color w:val="4D4D4F"/>
        </w:rPr>
      </w:pPr>
    </w:p>
    <w:p>
      <w:pPr>
        <w:ind w:left="660" w:hanging="328"/>
        <w:spacing w:after="0" w:line="246" w:lineRule="auto"/>
        <w:tabs>
          <w:tab w:leader="none" w:pos="660" w:val="left"/>
        </w:tabs>
        <w:numPr>
          <w:ilvl w:val="1"/>
          <w:numId w:val="11"/>
        </w:numPr>
        <w:rPr>
          <w:rFonts w:ascii="Arial" w:cs="Arial" w:eastAsia="Arial" w:hAnsi="Arial"/>
          <w:sz w:val="18"/>
          <w:szCs w:val="18"/>
          <w:color w:val="4D4D4F"/>
        </w:rPr>
      </w:pPr>
      <w:r>
        <w:rPr>
          <w:rFonts w:ascii="Arial" w:cs="Arial" w:eastAsia="Arial" w:hAnsi="Arial"/>
          <w:sz w:val="18"/>
          <w:szCs w:val="18"/>
          <w:color w:val="4D4D4F"/>
        </w:rPr>
        <w:t>this Proxy Statement for the 2021 Annual Meeting, which we refer to as this Proxy Statement and which also includes a letter from our Chief Executive Officer and President to stockholders, and a Notice of 2021 Annual Meeting of Stockholders; and</w:t>
      </w:r>
    </w:p>
    <w:p>
      <w:pPr>
        <w:spacing w:after="0" w:line="75" w:lineRule="exact"/>
        <w:rPr>
          <w:rFonts w:ascii="Arial" w:cs="Arial" w:eastAsia="Arial" w:hAnsi="Arial"/>
          <w:sz w:val="18"/>
          <w:szCs w:val="18"/>
          <w:color w:val="4D4D4F"/>
        </w:rPr>
      </w:pPr>
    </w:p>
    <w:p>
      <w:pPr>
        <w:ind w:left="660" w:right="20" w:hanging="328"/>
        <w:spacing w:after="0" w:line="246" w:lineRule="auto"/>
        <w:tabs>
          <w:tab w:leader="none" w:pos="660" w:val="left"/>
        </w:tabs>
        <w:numPr>
          <w:ilvl w:val="1"/>
          <w:numId w:val="11"/>
        </w:numPr>
        <w:rPr>
          <w:rFonts w:ascii="Arial" w:cs="Arial" w:eastAsia="Arial" w:hAnsi="Arial"/>
          <w:sz w:val="18"/>
          <w:szCs w:val="18"/>
          <w:color w:val="4D4D4F"/>
        </w:rPr>
      </w:pPr>
      <w:r>
        <w:rPr>
          <w:rFonts w:ascii="Arial" w:cs="Arial" w:eastAsia="Arial" w:hAnsi="Arial"/>
          <w:sz w:val="18"/>
          <w:szCs w:val="18"/>
          <w:color w:val="4D4D4F"/>
        </w:rPr>
        <w:t>a Notice of Internet Availability of Proxy Materials, which we refer to as the Notice of Internet Availability, which includes a control number for use in submitting proxies and accessing the Annual Meeting webcast.</w:t>
      </w:r>
    </w:p>
    <w:p>
      <w:pPr>
        <w:spacing w:after="0" w:line="16" w:lineRule="exact"/>
        <w:rPr>
          <w:sz w:val="20"/>
          <w:szCs w:val="20"/>
          <w:color w:val="auto"/>
        </w:rPr>
      </w:pPr>
    </w:p>
    <w:p>
      <w:pPr>
        <w:ind w:left="340"/>
        <w:spacing w:after="0"/>
        <w:tabs>
          <w:tab w:leader="none" w:pos="8180" w:val="left"/>
        </w:tabs>
        <w:rPr>
          <w:sz w:val="20"/>
          <w:szCs w:val="20"/>
          <w:color w:val="auto"/>
        </w:rPr>
      </w:pPr>
      <w:r>
        <w:rPr>
          <w:rFonts w:ascii="Arial" w:cs="Arial" w:eastAsia="Arial" w:hAnsi="Arial"/>
          <w:sz w:val="18"/>
          <w:szCs w:val="18"/>
          <w:color w:val="4D4D4F"/>
        </w:rPr>
        <w:t>These materials were first mailed or made available to stockholders on or about April</w:t>
        <w:tab/>
        <w:t>, 2021.</w:t>
      </w:r>
    </w:p>
    <w:p>
      <w:pPr>
        <w:spacing w:after="0" w:line="136" w:lineRule="exact"/>
        <w:rPr>
          <w:sz w:val="20"/>
          <w:szCs w:val="20"/>
          <w:color w:val="auto"/>
        </w:rPr>
      </w:pPr>
    </w:p>
    <w:p>
      <w:pPr>
        <w:jc w:val="both"/>
        <w:ind w:left="340"/>
        <w:spacing w:after="0" w:line="237" w:lineRule="auto"/>
        <w:rPr>
          <w:sz w:val="20"/>
          <w:szCs w:val="20"/>
          <w:color w:val="auto"/>
        </w:rPr>
      </w:pPr>
      <w:r>
        <w:rPr>
          <w:rFonts w:ascii="Arial" w:cs="Arial" w:eastAsia="Arial" w:hAnsi="Arial"/>
          <w:sz w:val="18"/>
          <w:szCs w:val="18"/>
          <w:color w:val="4D4D4F"/>
        </w:rPr>
        <w:t>If you request, in accordance with the instructions provided in the Notice of Internet Availability, a printed set of proxy materials, you will receive by mail, at no charge, printed copies of the 2020 Annual Report, this Proxy Statement, a proxy card for the Annual Meeting and a postage-paid, pre-addressed envelope to be used to return the completed proxy card. Your proxy card will include a control number for use in accessing the Annual Meeting webcast. If, in accordance with the instructions provided in the Notice of Internet Availability, you request that a set of proxy materials be emailed to you, you will receive by email, at no charge, electronic copies of the 2020 Annual Report and this Proxy Statement.</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0079C0"/>
        </w:rPr>
        <w:t>Q: Why was I mailed a Notice of Internet Availability, rather than a printed set of proxy materials?</w:t>
      </w:r>
    </w:p>
    <w:p>
      <w:pPr>
        <w:spacing w:after="0" w:line="188" w:lineRule="exact"/>
        <w:rPr>
          <w:sz w:val="20"/>
          <w:szCs w:val="20"/>
          <w:color w:val="auto"/>
        </w:rPr>
      </w:pPr>
    </w:p>
    <w:p>
      <w:pPr>
        <w:ind w:left="340" w:right="60" w:hanging="332"/>
        <w:spacing w:after="0" w:line="238" w:lineRule="auto"/>
        <w:tabs>
          <w:tab w:leader="none" w:pos="340" w:val="left"/>
        </w:tabs>
        <w:numPr>
          <w:ilvl w:val="0"/>
          <w:numId w:val="12"/>
        </w:numPr>
        <w:rPr>
          <w:rFonts w:ascii="Arial" w:cs="Arial" w:eastAsia="Arial" w:hAnsi="Arial"/>
          <w:sz w:val="18"/>
          <w:szCs w:val="18"/>
          <w:b w:val="1"/>
          <w:bCs w:val="1"/>
          <w:color w:val="4D4D4F"/>
        </w:rPr>
      </w:pPr>
      <w:r>
        <w:rPr>
          <w:rFonts w:ascii="Arial" w:cs="Arial" w:eastAsia="Arial" w:hAnsi="Arial"/>
          <w:sz w:val="18"/>
          <w:szCs w:val="18"/>
          <w:color w:val="4D4D4F"/>
        </w:rPr>
        <w:t>In accordance with rules adopted by the SEC, we are furnishing the proxy materials to stockholders by providing access via the Internet, instead of mailing printed copies. This process expedites the delivery of proxy materials to our stockholders, lowers our costs and reduces the environmental impact of the Annual Meeting. The Notice of Internet Availability tells you how to access and review the proxy materials on the Internet and how to vote on the Internet. It also provides instructions you may follow to request paper or emailed copies of the proxy materials.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2" w:name="page13"/>
    <w:bookmarkEnd w:id="12"/>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0079C0"/>
        </w:rPr>
        <w:t>Q: Are the proxy materials available via the Internet?</w:t>
      </w:r>
    </w:p>
    <w:p>
      <w:pPr>
        <w:spacing w:after="0" w:line="170" w:lineRule="exact"/>
        <w:rPr>
          <w:sz w:val="20"/>
          <w:szCs w:val="20"/>
          <w:color w:val="auto"/>
        </w:rPr>
      </w:pPr>
    </w:p>
    <w:p>
      <w:pPr>
        <w:jc w:val="both"/>
        <w:ind w:left="340" w:hanging="332"/>
        <w:spacing w:after="0" w:line="245" w:lineRule="auto"/>
        <w:tabs>
          <w:tab w:leader="none" w:pos="340" w:val="left"/>
        </w:tabs>
        <w:numPr>
          <w:ilvl w:val="0"/>
          <w:numId w:val="13"/>
        </w:numPr>
        <w:rPr>
          <w:rFonts w:ascii="Arial" w:cs="Arial" w:eastAsia="Arial" w:hAnsi="Arial"/>
          <w:sz w:val="18"/>
          <w:szCs w:val="18"/>
          <w:b w:val="1"/>
          <w:bCs w:val="1"/>
          <w:color w:val="4D4D4F"/>
        </w:rPr>
      </w:pPr>
      <w:r>
        <w:rPr>
          <w:rFonts w:ascii="Arial" w:cs="Arial" w:eastAsia="Arial" w:hAnsi="Arial"/>
          <w:sz w:val="18"/>
          <w:szCs w:val="18"/>
          <w:color w:val="4D4D4F"/>
        </w:rPr>
        <w:t xml:space="preserve">You can access and review the proxy materials for the Annual Meeting at </w:t>
      </w:r>
      <w:r>
        <w:rPr>
          <w:rFonts w:ascii="Arial" w:cs="Arial" w:eastAsia="Arial" w:hAnsi="Arial"/>
          <w:sz w:val="18"/>
          <w:szCs w:val="18"/>
          <w:i w:val="1"/>
          <w:iCs w:val="1"/>
          <w:color w:val="4D4D4F"/>
        </w:rPr>
        <w:t>ir.acmrcsh.com/corporate-governance/highlights</w:t>
      </w:r>
      <w:r>
        <w:rPr>
          <w:rFonts w:ascii="Arial" w:cs="Arial" w:eastAsia="Arial" w:hAnsi="Arial"/>
          <w:sz w:val="18"/>
          <w:szCs w:val="18"/>
          <w:color w:val="4D4D4F"/>
        </w:rPr>
        <w:t xml:space="preserve"> or </w:t>
      </w:r>
      <w:r>
        <w:rPr>
          <w:rFonts w:ascii="Arial" w:cs="Arial" w:eastAsia="Arial" w:hAnsi="Arial"/>
          <w:sz w:val="18"/>
          <w:szCs w:val="18"/>
          <w:i w:val="1"/>
          <w:iCs w:val="1"/>
          <w:color w:val="4D4D4F"/>
        </w:rPr>
        <w:t>proxyvote.com</w:t>
      </w:r>
      <w:r>
        <w:rPr>
          <w:rFonts w:ascii="Arial" w:cs="Arial" w:eastAsia="Arial" w:hAnsi="Arial"/>
          <w:sz w:val="18"/>
          <w:szCs w:val="18"/>
          <w:color w:val="4D4D4F"/>
        </w:rPr>
        <w:t>. In order to submit your proxies or access the Annual Meeting webcast, however, you will need to refer to the Notice of</w:t>
      </w:r>
      <w:r>
        <w:rPr>
          <w:rFonts w:ascii="Arial" w:cs="Arial" w:eastAsia="Arial" w:hAnsi="Arial"/>
          <w:sz w:val="18"/>
          <w:szCs w:val="18"/>
          <w:i w:val="1"/>
          <w:iCs w:val="1"/>
          <w:color w:val="4D4D4F"/>
        </w:rPr>
        <w:t xml:space="preserve"> </w:t>
      </w:r>
      <w:r>
        <w:rPr>
          <w:rFonts w:ascii="Arial" w:cs="Arial" w:eastAsia="Arial" w:hAnsi="Arial"/>
          <w:sz w:val="18"/>
          <w:szCs w:val="18"/>
          <w:color w:val="4D4D4F"/>
        </w:rPr>
        <w:t>Internet Availability or proxy card to obtain your 16-digit control number and other personal information needed to vote by proxy or virtually.</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0079C0"/>
        </w:rPr>
        <w:t>Q: What is a proxy?</w:t>
      </w:r>
    </w:p>
    <w:p>
      <w:pPr>
        <w:spacing w:after="0" w:line="202" w:lineRule="exact"/>
        <w:rPr>
          <w:sz w:val="20"/>
          <w:szCs w:val="20"/>
          <w:color w:val="auto"/>
        </w:rPr>
      </w:pPr>
    </w:p>
    <w:p>
      <w:pPr>
        <w:ind w:left="340" w:right="20" w:hanging="332"/>
        <w:spacing w:after="0" w:line="246" w:lineRule="auto"/>
        <w:tabs>
          <w:tab w:leader="none" w:pos="340" w:val="left"/>
        </w:tabs>
        <w:numPr>
          <w:ilvl w:val="0"/>
          <w:numId w:val="14"/>
        </w:numPr>
        <w:rPr>
          <w:rFonts w:ascii="Arial" w:cs="Arial" w:eastAsia="Arial" w:hAnsi="Arial"/>
          <w:sz w:val="18"/>
          <w:szCs w:val="18"/>
          <w:b w:val="1"/>
          <w:bCs w:val="1"/>
          <w:color w:val="4D4D4F"/>
        </w:rPr>
      </w:pPr>
      <w:r>
        <w:rPr>
          <w:rFonts w:ascii="Arial" w:cs="Arial" w:eastAsia="Arial" w:hAnsi="Arial"/>
          <w:sz w:val="18"/>
          <w:szCs w:val="18"/>
          <w:color w:val="4D4D4F"/>
        </w:rPr>
        <w:t>The term “proxy,” when used with respect to stockholder, refers to either a person or persons legally authorized to act on the stockholder’s behalf or a format that allows the stockholder to vote without being physically present at the Annual Meeting.</w:t>
      </w:r>
    </w:p>
    <w:p>
      <w:pPr>
        <w:spacing w:after="0" w:line="61" w:lineRule="exact"/>
        <w:rPr>
          <w:rFonts w:ascii="Arial" w:cs="Arial" w:eastAsia="Arial" w:hAnsi="Arial"/>
          <w:sz w:val="18"/>
          <w:szCs w:val="18"/>
          <w:b w:val="1"/>
          <w:bCs w:val="1"/>
          <w:color w:val="4D4D4F"/>
        </w:rPr>
      </w:pPr>
    </w:p>
    <w:p>
      <w:pPr>
        <w:jc w:val="both"/>
        <w:ind w:left="340"/>
        <w:spacing w:after="0" w:line="238" w:lineRule="auto"/>
        <w:rPr>
          <w:rFonts w:ascii="Arial" w:cs="Arial" w:eastAsia="Arial" w:hAnsi="Arial"/>
          <w:sz w:val="18"/>
          <w:szCs w:val="18"/>
          <w:b w:val="1"/>
          <w:bCs w:val="1"/>
          <w:color w:val="4D4D4F"/>
        </w:rPr>
      </w:pPr>
      <w:r>
        <w:rPr>
          <w:rFonts w:ascii="Arial" w:cs="Arial" w:eastAsia="Arial" w:hAnsi="Arial"/>
          <w:sz w:val="18"/>
          <w:szCs w:val="18"/>
          <w:color w:val="4D4D4F"/>
        </w:rPr>
        <w:t>Because it is important that as many stockholders as possible be represented at the Annual Meeting, the board of directors is asking that you review this Proxy Statement carefully and then vote by following the instructions set forth on the Notice of Internet Availability or proxy card. In voting prior to the Annual Meeting, you will deliver your proxy to the proxy holders, which means you will authorize the proxy holders to vote your shares at the Annual Meeting in the way you instruct. The proxy holders consist of David Wang, Mark McKechnie and Tracy Liu. All shares represented by valid proxies will be voted in accordance with the stockholder’s specific instructions.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0079C0"/>
        </w:rPr>
        <w:t>Q: What matters will the stockholders vote on at the Annual Meeting?</w:t>
      </w:r>
    </w:p>
    <w:p>
      <w:pPr>
        <w:sectPr>
          <w:pgSz w:w="11900" w:h="16838" w:orient="portrait"/>
          <w:cols w:equalWidth="0" w:num="1">
            <w:col w:w="11240"/>
          </w:cols>
          <w:pgMar w:left="320" w:top="130" w:right="339" w:bottom="1440" w:gutter="0" w:footer="0" w:header="0"/>
        </w:sectPr>
      </w:pP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4D4D4F"/>
        </w:rPr>
        <w:t xml:space="preserve">A: </w:t>
      </w:r>
      <w:r>
        <w:rPr>
          <w:rFonts w:ascii="Arial" w:cs="Arial" w:eastAsia="Arial" w:hAnsi="Arial"/>
          <w:sz w:val="18"/>
          <w:szCs w:val="18"/>
          <w:color w:val="4D4D4F"/>
        </w:rPr>
        <w:t xml:space="preserve">Proposal </w:t>
      </w:r>
      <w:r>
        <w:rPr>
          <w:sz w:val="1"/>
          <w:szCs w:val="1"/>
          <w:color w:val="auto"/>
        </w:rPr>
        <w:drawing>
          <wp:inline distT="0" distB="0" distL="0" distR="0">
            <wp:extent cx="162560" cy="16319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62560" cy="163195"/>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4D4D4F"/>
        </w:rPr>
        <w:t>Election of the following five director nominees:</w:t>
      </w:r>
    </w:p>
    <w:p>
      <w:pPr>
        <w:spacing w:after="0" w:line="143" w:lineRule="exact"/>
        <w:rPr>
          <w:sz w:val="20"/>
          <w:szCs w:val="20"/>
          <w:color w:val="auto"/>
        </w:rPr>
      </w:pPr>
    </w:p>
    <w:p>
      <w:pPr>
        <w:sectPr>
          <w:pgSz w:w="11900" w:h="16838" w:orient="portrait"/>
          <w:cols w:equalWidth="0" w:num="2">
            <w:col w:w="1300" w:space="180"/>
            <w:col w:w="9760"/>
          </w:cols>
          <w:pgMar w:left="320" w:top="130" w:right="339" w:bottom="1440" w:gutter="0" w:footer="0" w:header="0"/>
          <w:type w:val="continuous"/>
        </w:sectPr>
      </w:pPr>
    </w:p>
    <w:p>
      <w:pPr>
        <w:ind w:left="1480"/>
        <w:spacing w:after="0"/>
        <w:rPr>
          <w:sz w:val="20"/>
          <w:szCs w:val="20"/>
          <w:color w:val="auto"/>
        </w:rPr>
      </w:pPr>
      <w:r>
        <w:rPr>
          <w:rFonts w:ascii="Arial" w:cs="Arial" w:eastAsia="Arial" w:hAnsi="Arial"/>
          <w:sz w:val="17"/>
          <w:szCs w:val="17"/>
          <w:color w:val="4D4D4F"/>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4D4D4F"/>
        </w:rPr>
        <w:t>Chenming C. Hu</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4D4D4F"/>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4D4D4F"/>
        </w:rPr>
        <w:t>Haiping Dun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4D4D4F"/>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4D4D4F"/>
        </w:rPr>
        <w:t>Tracy Liu</w:t>
      </w:r>
    </w:p>
    <w:p>
      <w:pPr>
        <w:spacing w:after="0" w:line="102" w:lineRule="exact"/>
        <w:rPr>
          <w:sz w:val="20"/>
          <w:szCs w:val="20"/>
          <w:color w:val="auto"/>
        </w:rPr>
      </w:pPr>
    </w:p>
    <w:p>
      <w:pPr>
        <w:sectPr>
          <w:pgSz w:w="11900" w:h="16838" w:orient="portrait"/>
          <w:cols w:equalWidth="0" w:num="6">
            <w:col w:w="1540" w:space="280"/>
            <w:col w:w="2100" w:space="720"/>
            <w:col w:w="60" w:space="280"/>
            <w:col w:w="1760" w:space="720"/>
            <w:col w:w="60" w:space="260"/>
            <w:col w:w="3460"/>
          </w:cols>
          <w:pgMar w:left="320" w:top="130" w:right="339" w:bottom="1440" w:gutter="0" w:footer="0" w:header="0"/>
          <w:type w:val="continuous"/>
        </w:sectPr>
      </w:pPr>
    </w:p>
    <w:p>
      <w:pPr>
        <w:ind w:left="1480"/>
        <w:spacing w:after="0"/>
        <w:rPr>
          <w:sz w:val="20"/>
          <w:szCs w:val="20"/>
          <w:color w:val="auto"/>
        </w:rPr>
      </w:pPr>
      <w:r>
        <w:rPr>
          <w:rFonts w:ascii="Arial" w:cs="Arial" w:eastAsia="Arial" w:hAnsi="Arial"/>
          <w:sz w:val="17"/>
          <w:szCs w:val="17"/>
          <w:color w:val="4D4D4F"/>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4D4D4F"/>
        </w:rPr>
        <w:t>David H. Wang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4D4D4F"/>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4D4D4F"/>
        </w:rPr>
        <w:t>Yinan Xiang</w:t>
      </w:r>
    </w:p>
    <w:p>
      <w:pPr>
        <w:spacing w:after="0" w:line="21" w:lineRule="exact"/>
        <w:rPr>
          <w:sz w:val="20"/>
          <w:szCs w:val="20"/>
          <w:color w:val="auto"/>
        </w:rPr>
      </w:pPr>
    </w:p>
    <w:p>
      <w:pPr>
        <w:sectPr>
          <w:pgSz w:w="11900" w:h="16838" w:orient="portrait"/>
          <w:cols w:equalWidth="0" w:num="4">
            <w:col w:w="1540" w:space="280"/>
            <w:col w:w="2100" w:space="720"/>
            <w:col w:w="60" w:space="280"/>
            <w:col w:w="6260"/>
          </w:cols>
          <w:pgMar w:left="320" w:top="130" w:right="339" w:bottom="1440" w:gutter="0" w:footer="0" w:header="0"/>
          <w:type w:val="continuous"/>
        </w:sectPr>
      </w:pPr>
    </w:p>
    <w:p>
      <w:pPr>
        <w:ind w:left="340"/>
        <w:spacing w:after="0"/>
        <w:rPr>
          <w:sz w:val="20"/>
          <w:szCs w:val="20"/>
          <w:color w:val="auto"/>
        </w:rPr>
      </w:pPr>
      <w:r>
        <w:rPr>
          <w:rFonts w:ascii="Arial" w:cs="Arial" w:eastAsia="Arial" w:hAnsi="Arial"/>
          <w:sz w:val="35"/>
          <w:szCs w:val="35"/>
          <w:color w:val="4D4D4F"/>
          <w:vertAlign w:val="subscript"/>
        </w:rPr>
        <w:t xml:space="preserve">Proposal </w:t>
      </w:r>
      <w:r>
        <w:rPr>
          <w:sz w:val="1"/>
          <w:szCs w:val="1"/>
          <w:color w:val="auto"/>
        </w:rPr>
        <w:drawing>
          <wp:inline distT="0" distB="0" distL="0" distR="0">
            <wp:extent cx="162560" cy="16319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62560" cy="163195"/>
                    </a:xfrm>
                    <a:prstGeom prst="rect">
                      <a:avLst/>
                    </a:prstGeom>
                    <a:noFill/>
                    <a:ln>
                      <a:noFill/>
                    </a:ln>
                  </pic:spPr>
                </pic:pic>
              </a:graphicData>
            </a:graphic>
          </wp:inline>
        </w:drawing>
      </w:r>
      <w:r>
        <w:rPr>
          <w:rFonts w:ascii="Arial" w:cs="Arial" w:eastAsia="Arial" w:hAnsi="Arial"/>
          <w:sz w:val="18"/>
          <w:szCs w:val="18"/>
          <w:color w:val="4D4D4F"/>
        </w:rPr>
        <w:t xml:space="preserve"> Amendment to our Certificate of Incorporation to increase the number of authorized shares of common stock.</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35"/>
          <w:szCs w:val="35"/>
          <w:color w:val="4D4D4F"/>
          <w:vertAlign w:val="subscript"/>
        </w:rPr>
        <w:t xml:space="preserve">Proposal </w:t>
      </w:r>
      <w:r>
        <w:rPr>
          <w:sz w:val="1"/>
          <w:szCs w:val="1"/>
          <w:color w:val="auto"/>
        </w:rPr>
        <w:drawing>
          <wp:inline distT="0" distB="0" distL="0" distR="0">
            <wp:extent cx="154305" cy="16319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54305" cy="163195"/>
                    </a:xfrm>
                    <a:prstGeom prst="rect">
                      <a:avLst/>
                    </a:prstGeom>
                    <a:noFill/>
                    <a:ln>
                      <a:noFill/>
                    </a:ln>
                  </pic:spPr>
                </pic:pic>
              </a:graphicData>
            </a:graphic>
          </wp:inline>
        </w:drawing>
      </w:r>
      <w:r>
        <w:rPr>
          <w:rFonts w:ascii="Arial" w:cs="Arial" w:eastAsia="Arial" w:hAnsi="Arial"/>
          <w:sz w:val="18"/>
          <w:szCs w:val="18"/>
          <w:color w:val="4D4D4F"/>
        </w:rPr>
        <w:t xml:space="preserve"> Ratification of appointment of our independent auditor for 2021.</w:t>
      </w:r>
    </w:p>
    <w:p>
      <w:pPr>
        <w:spacing w:after="0" w:line="84" w:lineRule="exact"/>
        <w:rPr>
          <w:sz w:val="20"/>
          <w:szCs w:val="20"/>
          <w:color w:val="auto"/>
        </w:rPr>
      </w:pPr>
    </w:p>
    <w:p>
      <w:pPr>
        <w:ind w:left="340"/>
        <w:spacing w:after="0"/>
        <w:rPr>
          <w:sz w:val="20"/>
          <w:szCs w:val="20"/>
          <w:color w:val="auto"/>
        </w:rPr>
      </w:pPr>
      <w:r>
        <w:rPr>
          <w:rFonts w:ascii="Arial" w:cs="Arial" w:eastAsia="Arial" w:hAnsi="Arial"/>
          <w:sz w:val="35"/>
          <w:szCs w:val="35"/>
          <w:color w:val="4D4D4F"/>
          <w:vertAlign w:val="subscript"/>
        </w:rPr>
        <w:t xml:space="preserve">Proposal </w:t>
      </w:r>
      <w:r>
        <w:rPr>
          <w:sz w:val="1"/>
          <w:szCs w:val="1"/>
          <w:color w:val="auto"/>
        </w:rPr>
        <w:drawing>
          <wp:inline distT="0" distB="0" distL="0" distR="0">
            <wp:extent cx="145415" cy="163195"/>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45415" cy="163195"/>
                    </a:xfrm>
                    <a:prstGeom prst="rect">
                      <a:avLst/>
                    </a:prstGeom>
                    <a:noFill/>
                    <a:ln>
                      <a:noFill/>
                    </a:ln>
                  </pic:spPr>
                </pic:pic>
              </a:graphicData>
            </a:graphic>
          </wp:inline>
        </w:drawing>
      </w:r>
      <w:r>
        <w:rPr>
          <w:rFonts w:ascii="Arial" w:cs="Arial" w:eastAsia="Arial" w:hAnsi="Arial"/>
          <w:sz w:val="18"/>
          <w:szCs w:val="18"/>
          <w:color w:val="4D4D4F"/>
        </w:rPr>
        <w:t xml:space="preserve"> Advisory vote on 2020 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color w:val="0079C0"/>
        </w:rPr>
        <w:t>Q: Who can vote at the Annual Meeting?</w:t>
      </w:r>
    </w:p>
    <w:p>
      <w:pPr>
        <w:spacing w:after="0" w:line="188" w:lineRule="exact"/>
        <w:rPr>
          <w:sz w:val="20"/>
          <w:szCs w:val="20"/>
          <w:color w:val="auto"/>
        </w:rPr>
      </w:pPr>
    </w:p>
    <w:p>
      <w:pPr>
        <w:jc w:val="both"/>
        <w:ind w:left="340" w:hanging="332"/>
        <w:spacing w:after="0" w:line="238" w:lineRule="auto"/>
        <w:tabs>
          <w:tab w:leader="none" w:pos="340" w:val="left"/>
        </w:tabs>
        <w:numPr>
          <w:ilvl w:val="0"/>
          <w:numId w:val="15"/>
        </w:numPr>
        <w:rPr>
          <w:rFonts w:ascii="Arial" w:cs="Arial" w:eastAsia="Arial" w:hAnsi="Arial"/>
          <w:sz w:val="18"/>
          <w:szCs w:val="18"/>
          <w:b w:val="1"/>
          <w:bCs w:val="1"/>
          <w:color w:val="4D4D4F"/>
        </w:rPr>
      </w:pPr>
      <w:r>
        <w:rPr>
          <w:rFonts w:ascii="Arial" w:cs="Arial" w:eastAsia="Arial" w:hAnsi="Arial"/>
          <w:sz w:val="18"/>
          <w:szCs w:val="18"/>
          <w:color w:val="4D4D4F"/>
        </w:rPr>
        <w:t>Stockholders of record of Class A and Class B common stock at 5 p.m. Eastern time on April 8, 2021 the record date, will be entitled to vote at the Annual Meeting. As of the record date, there were outstanding a total of 17,263,562 shares of Class A common stock, each of which will be entitled to one vote on each proposal, and 1,769,272 shares of Class B common stock, each of which will be entitled to twenty votes on each proposal. As a result, up to a total of 52,649,002 votes can be cast on each proposal.</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0079C0"/>
        </w:rPr>
        <w:t>Q: What is a stockholder of record?</w:t>
      </w:r>
    </w:p>
    <w:p>
      <w:pPr>
        <w:spacing w:after="0" w:line="202" w:lineRule="exact"/>
        <w:rPr>
          <w:sz w:val="20"/>
          <w:szCs w:val="20"/>
          <w:color w:val="auto"/>
        </w:rPr>
      </w:pPr>
    </w:p>
    <w:p>
      <w:pPr>
        <w:ind w:left="340" w:right="460" w:hanging="332"/>
        <w:spacing w:after="0" w:line="246" w:lineRule="auto"/>
        <w:tabs>
          <w:tab w:leader="none" w:pos="340" w:val="left"/>
        </w:tabs>
        <w:numPr>
          <w:ilvl w:val="0"/>
          <w:numId w:val="16"/>
        </w:numPr>
        <w:rPr>
          <w:rFonts w:ascii="Arial" w:cs="Arial" w:eastAsia="Arial" w:hAnsi="Arial"/>
          <w:sz w:val="18"/>
          <w:szCs w:val="18"/>
          <w:b w:val="1"/>
          <w:bCs w:val="1"/>
          <w:color w:val="4D4D4F"/>
        </w:rPr>
      </w:pPr>
      <w:r>
        <w:rPr>
          <w:rFonts w:ascii="Arial" w:cs="Arial" w:eastAsia="Arial" w:hAnsi="Arial"/>
          <w:sz w:val="18"/>
          <w:szCs w:val="18"/>
          <w:color w:val="4D4D4F"/>
        </w:rPr>
        <w:t>A stockholder of record is a stockholder whose ownership of our common stock is reflected directly on the books and records of our transfer agent, Computershare Trust Company, N.A.</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3" w:name="page14"/>
    <w:bookmarkEnd w:id="13"/>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0079C0"/>
        </w:rPr>
        <w:t>Q: What does it mean for a broker or other nominee to hold shares in “street name”?</w:t>
      </w:r>
    </w:p>
    <w:p>
      <w:pPr>
        <w:spacing w:after="0" w:line="188" w:lineRule="exact"/>
        <w:rPr>
          <w:sz w:val="20"/>
          <w:szCs w:val="20"/>
          <w:color w:val="auto"/>
        </w:rPr>
      </w:pPr>
    </w:p>
    <w:p>
      <w:pPr>
        <w:jc w:val="both"/>
        <w:ind w:left="340" w:hanging="332"/>
        <w:spacing w:after="0" w:line="238" w:lineRule="auto"/>
        <w:tabs>
          <w:tab w:leader="none" w:pos="340" w:val="left"/>
        </w:tabs>
        <w:numPr>
          <w:ilvl w:val="0"/>
          <w:numId w:val="17"/>
        </w:numPr>
        <w:rPr>
          <w:rFonts w:ascii="Arial" w:cs="Arial" w:eastAsia="Arial" w:hAnsi="Arial"/>
          <w:sz w:val="18"/>
          <w:szCs w:val="18"/>
          <w:b w:val="1"/>
          <w:bCs w:val="1"/>
          <w:color w:val="4D4D4F"/>
        </w:rPr>
      </w:pPr>
      <w:r>
        <w:rPr>
          <w:rFonts w:ascii="Arial" w:cs="Arial" w:eastAsia="Arial" w:hAnsi="Arial"/>
          <w:sz w:val="18"/>
          <w:szCs w:val="18"/>
          <w:color w:val="4D4D4F"/>
        </w:rPr>
        <w:t>If you beneficially own shares held in an account with a broker, bank or similar organization, that organization is the stockholder of record and is considered to hold those shares in “street name.” An organization that holds your beneficially owned shares in street name will vote in accordance with the instructions you provide. If you do not provide the organization with specific voting instructions with respect to a proposal, the organization’s authority to vote your shares will, under the rules of the Nasdaq Global Market or NASDAQ, depend upon whether the proposal is considered a “routine” or a non-routine matter.</w:t>
      </w:r>
    </w:p>
    <w:p>
      <w:pPr>
        <w:spacing w:after="0" w:line="80" w:lineRule="exact"/>
        <w:rPr>
          <w:rFonts w:ascii="Arial" w:cs="Arial" w:eastAsia="Arial" w:hAnsi="Arial"/>
          <w:sz w:val="18"/>
          <w:szCs w:val="18"/>
          <w:b w:val="1"/>
          <w:bCs w:val="1"/>
          <w:color w:val="4D4D4F"/>
        </w:rPr>
      </w:pPr>
    </w:p>
    <w:p>
      <w:pPr>
        <w:jc w:val="both"/>
        <w:ind w:left="660" w:hanging="328"/>
        <w:spacing w:after="0"/>
        <w:tabs>
          <w:tab w:leader="none" w:pos="660" w:val="left"/>
        </w:tabs>
        <w:numPr>
          <w:ilvl w:val="1"/>
          <w:numId w:val="17"/>
        </w:numPr>
        <w:rPr>
          <w:rFonts w:ascii="Arial" w:cs="Arial" w:eastAsia="Arial" w:hAnsi="Arial"/>
          <w:sz w:val="18"/>
          <w:szCs w:val="18"/>
          <w:color w:val="4D4D4F"/>
        </w:rPr>
      </w:pPr>
      <w:r>
        <w:rPr>
          <w:rFonts w:ascii="Arial" w:cs="Arial" w:eastAsia="Arial" w:hAnsi="Arial"/>
          <w:sz w:val="18"/>
          <w:szCs w:val="18"/>
          <w:color w:val="4D4D4F"/>
        </w:rPr>
        <w:t>The organization generally may vote your beneficially owned shares on routine items for which you have not provided voting instructions to the organization. The only routine matter expected to be voted on at the Annual Meeting is the ratification of the appointment of our independent auditor for 2021 (Proposal 2).</w:t>
      </w:r>
    </w:p>
    <w:p>
      <w:pPr>
        <w:spacing w:after="0" w:line="81" w:lineRule="exact"/>
        <w:rPr>
          <w:rFonts w:ascii="Arial" w:cs="Arial" w:eastAsia="Arial" w:hAnsi="Arial"/>
          <w:sz w:val="18"/>
          <w:szCs w:val="18"/>
          <w:color w:val="4D4D4F"/>
        </w:rPr>
      </w:pPr>
    </w:p>
    <w:p>
      <w:pPr>
        <w:ind w:left="660" w:hanging="328"/>
        <w:spacing w:after="0" w:line="246" w:lineRule="auto"/>
        <w:tabs>
          <w:tab w:leader="none" w:pos="660" w:val="left"/>
        </w:tabs>
        <w:numPr>
          <w:ilvl w:val="1"/>
          <w:numId w:val="17"/>
        </w:numPr>
        <w:rPr>
          <w:rFonts w:ascii="Arial" w:cs="Arial" w:eastAsia="Arial" w:hAnsi="Arial"/>
          <w:sz w:val="18"/>
          <w:szCs w:val="18"/>
          <w:color w:val="4D4D4F"/>
        </w:rPr>
      </w:pPr>
      <w:r>
        <w:rPr>
          <w:rFonts w:ascii="Arial" w:cs="Arial" w:eastAsia="Arial" w:hAnsi="Arial"/>
          <w:sz w:val="18"/>
          <w:szCs w:val="18"/>
          <w:color w:val="4D4D4F"/>
        </w:rPr>
        <w:t>The organization generally may not vote on non-routine matters, including Proposals 1, 2, and 4. Instead, it will inform the inspector of election that it does not have the authority to vote on those matters. This is referred to as a “broker non-vote.”</w:t>
      </w:r>
    </w:p>
    <w:p>
      <w:pPr>
        <w:spacing w:after="0" w:line="62" w:lineRule="exact"/>
        <w:rPr>
          <w:sz w:val="20"/>
          <w:szCs w:val="20"/>
          <w:color w:val="auto"/>
        </w:rPr>
      </w:pPr>
    </w:p>
    <w:p>
      <w:pPr>
        <w:ind w:left="340" w:right="20"/>
        <w:spacing w:after="0" w:line="246" w:lineRule="auto"/>
        <w:rPr>
          <w:sz w:val="20"/>
          <w:szCs w:val="20"/>
          <w:color w:val="auto"/>
        </w:rPr>
      </w:pPr>
      <w:r>
        <w:rPr>
          <w:rFonts w:ascii="Arial" w:cs="Arial" w:eastAsia="Arial" w:hAnsi="Arial"/>
          <w:sz w:val="18"/>
          <w:szCs w:val="18"/>
          <w:color w:val="4D4D4F"/>
        </w:rPr>
        <w:t>For the purpose of determining a quorum, we will treat as present at the Annual Meeting any proxies that are voted on any of the four proposals to be acted upon by the stockholders, including abstentions or proxies containing broker non-votes.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0079C0"/>
        </w:rPr>
        <w:t>Q: How do I vote my shares if I do not attend the Annual Meeting?</w:t>
      </w:r>
    </w:p>
    <w:p>
      <w:pPr>
        <w:spacing w:after="0" w:line="180"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b w:val="1"/>
          <w:bCs w:val="1"/>
          <w:color w:val="4D4D4F"/>
        </w:rPr>
      </w:pPr>
      <w:r>
        <w:rPr>
          <w:rFonts w:ascii="Arial" w:cs="Arial" w:eastAsia="Arial" w:hAnsi="Arial"/>
          <w:sz w:val="18"/>
          <w:szCs w:val="18"/>
          <w:b w:val="1"/>
          <w:bCs w:val="1"/>
          <w:color w:val="4D4D4F"/>
        </w:rPr>
        <w:t xml:space="preserve">If you are a stockholder of record, </w:t>
      </w:r>
      <w:r>
        <w:rPr>
          <w:rFonts w:ascii="Arial" w:cs="Arial" w:eastAsia="Arial" w:hAnsi="Arial"/>
          <w:sz w:val="18"/>
          <w:szCs w:val="18"/>
          <w:color w:val="4D4D4F"/>
        </w:rPr>
        <w:t>you may vote prior to the Annual Meeting as follows:</w:t>
      </w:r>
    </w:p>
    <w:p>
      <w:pPr>
        <w:spacing w:after="0" w:line="80" w:lineRule="exact"/>
        <w:rPr>
          <w:rFonts w:ascii="Arial" w:cs="Arial" w:eastAsia="Arial" w:hAnsi="Arial"/>
          <w:sz w:val="18"/>
          <w:szCs w:val="18"/>
          <w:b w:val="1"/>
          <w:bCs w:val="1"/>
          <w:color w:val="4D4D4F"/>
        </w:rPr>
      </w:pPr>
    </w:p>
    <w:p>
      <w:pPr>
        <w:ind w:left="2360" w:hanging="2082"/>
        <w:spacing w:after="0" w:line="245" w:lineRule="auto"/>
        <w:tabs>
          <w:tab w:leader="none" w:pos="686" w:val="left"/>
        </w:tabs>
        <w:numPr>
          <w:ilvl w:val="1"/>
          <w:numId w:val="18"/>
        </w:numPr>
        <w:rPr>
          <w:rFonts w:ascii="Arial" w:cs="Arial" w:eastAsia="Arial" w:hAnsi="Arial"/>
          <w:sz w:val="18"/>
          <w:szCs w:val="18"/>
          <w:color w:val="4D4D4F"/>
        </w:rPr>
      </w:pPr>
      <w:r>
        <w:rPr>
          <w:rFonts w:ascii="Arial" w:cs="Arial" w:eastAsia="Arial" w:hAnsi="Arial"/>
          <w:sz w:val="18"/>
          <w:szCs w:val="18"/>
          <w:i w:val="1"/>
          <w:iCs w:val="1"/>
          <w:color w:val="4D4D4F"/>
        </w:rPr>
        <w:t>Via the Internet:</w:t>
      </w:r>
      <w:r>
        <w:rPr>
          <w:rFonts w:ascii="Arial" w:cs="Arial" w:eastAsia="Arial" w:hAnsi="Arial"/>
          <w:sz w:val="18"/>
          <w:szCs w:val="18"/>
          <w:color w:val="4D4D4F"/>
        </w:rPr>
        <w:t xml:space="preserve">You may vote via the Internet by going to </w:t>
      </w:r>
      <w:r>
        <w:rPr>
          <w:rFonts w:ascii="Arial" w:cs="Arial" w:eastAsia="Arial" w:hAnsi="Arial"/>
          <w:sz w:val="18"/>
          <w:szCs w:val="18"/>
          <w:i w:val="1"/>
          <w:iCs w:val="1"/>
          <w:color w:val="000000"/>
        </w:rPr>
        <w:t>proxyvote.com</w:t>
      </w:r>
      <w:r>
        <w:rPr>
          <w:rFonts w:ascii="Arial" w:cs="Arial" w:eastAsia="Arial" w:hAnsi="Arial"/>
          <w:sz w:val="18"/>
          <w:szCs w:val="18"/>
          <w:color w:val="4D4D4F"/>
        </w:rPr>
        <w:t>, in accordance with the voting instructions on the Notice of Internet Availability or proxy card. Internet voting is available 24 hours a day until 11:59 p.m., Eastern time, on June 1, 2021. You will be given the opportunity to confirm that your instructions have been recorded properly.</w:t>
      </w:r>
    </w:p>
    <w:p>
      <w:pPr>
        <w:spacing w:after="0" w:line="59" w:lineRule="exact"/>
        <w:rPr>
          <w:rFonts w:ascii="Arial" w:cs="Arial" w:eastAsia="Arial" w:hAnsi="Arial"/>
          <w:sz w:val="18"/>
          <w:szCs w:val="18"/>
          <w:color w:val="4D4D4F"/>
        </w:rPr>
      </w:pPr>
    </w:p>
    <w:p>
      <w:pPr>
        <w:ind w:left="2360" w:hanging="2082"/>
        <w:spacing w:after="0" w:line="238" w:lineRule="auto"/>
        <w:tabs>
          <w:tab w:leader="none" w:pos="686" w:val="left"/>
        </w:tabs>
        <w:numPr>
          <w:ilvl w:val="1"/>
          <w:numId w:val="18"/>
        </w:numPr>
        <w:rPr>
          <w:rFonts w:ascii="Arial" w:cs="Arial" w:eastAsia="Arial" w:hAnsi="Arial"/>
          <w:sz w:val="18"/>
          <w:szCs w:val="18"/>
          <w:color w:val="4D4D4F"/>
        </w:rPr>
      </w:pPr>
      <w:r>
        <w:rPr>
          <w:rFonts w:ascii="Arial" w:cs="Arial" w:eastAsia="Arial" w:hAnsi="Arial"/>
          <w:sz w:val="18"/>
          <w:szCs w:val="18"/>
          <w:i w:val="1"/>
          <w:iCs w:val="1"/>
          <w:color w:val="4D4D4F"/>
        </w:rPr>
        <w:t>By Telephone</w:t>
      </w:r>
      <w:r>
        <w:rPr>
          <w:rFonts w:ascii="Arial" w:cs="Arial" w:eastAsia="Arial" w:hAnsi="Arial"/>
          <w:sz w:val="18"/>
          <w:szCs w:val="18"/>
          <w:color w:val="4D4D4F"/>
        </w:rPr>
        <w:t>:You may vote by calling +1.800.690.6903 and following the instructions provided on the telephone line. Telephone voting is available 24 hours a day until 11:59 p.m., Eastern time, on June 1, 2021. Easy-to-follow voice prompts will allow you to vote your shares and confirm that your instructions have been recorded properly.</w:t>
      </w:r>
    </w:p>
    <w:p>
      <w:pPr>
        <w:spacing w:after="0" w:line="83" w:lineRule="exact"/>
        <w:rPr>
          <w:rFonts w:ascii="Arial" w:cs="Arial" w:eastAsia="Arial" w:hAnsi="Arial"/>
          <w:sz w:val="18"/>
          <w:szCs w:val="18"/>
          <w:color w:val="4D4D4F"/>
        </w:rPr>
      </w:pPr>
    </w:p>
    <w:p>
      <w:pPr>
        <w:ind w:left="2360" w:hanging="2082"/>
        <w:spacing w:after="0" w:line="246" w:lineRule="auto"/>
        <w:tabs>
          <w:tab w:leader="none" w:pos="686" w:val="left"/>
        </w:tabs>
        <w:numPr>
          <w:ilvl w:val="1"/>
          <w:numId w:val="18"/>
        </w:numPr>
        <w:rPr>
          <w:rFonts w:ascii="Arial" w:cs="Arial" w:eastAsia="Arial" w:hAnsi="Arial"/>
          <w:sz w:val="18"/>
          <w:szCs w:val="18"/>
          <w:color w:val="4D4D4F"/>
        </w:rPr>
      </w:pPr>
      <w:r>
        <w:rPr>
          <w:rFonts w:ascii="Arial" w:cs="Arial" w:eastAsia="Arial" w:hAnsi="Arial"/>
          <w:sz w:val="18"/>
          <w:szCs w:val="18"/>
          <w:i w:val="1"/>
          <w:iCs w:val="1"/>
          <w:color w:val="4D4D4F"/>
        </w:rPr>
        <w:t>By Mail</w:t>
      </w:r>
      <w:r>
        <w:rPr>
          <w:rFonts w:ascii="Arial" w:cs="Arial" w:eastAsia="Arial" w:hAnsi="Arial"/>
          <w:sz w:val="18"/>
          <w:szCs w:val="18"/>
          <w:color w:val="4D4D4F"/>
        </w:rPr>
        <w:t>:If you obtain a proxy card by mail, you may vote by returning the completed and signed proxy card in a postage-paid return envelope that will be provided with the proxy card.</w:t>
      </w:r>
    </w:p>
    <w:p>
      <w:pPr>
        <w:spacing w:after="0" w:line="71" w:lineRule="exact"/>
        <w:rPr>
          <w:sz w:val="20"/>
          <w:szCs w:val="20"/>
          <w:color w:val="auto"/>
        </w:rPr>
      </w:pPr>
    </w:p>
    <w:p>
      <w:pPr>
        <w:ind w:left="340"/>
        <w:spacing w:after="0" w:line="271" w:lineRule="auto"/>
        <w:rPr>
          <w:sz w:val="20"/>
          <w:szCs w:val="20"/>
          <w:color w:val="auto"/>
        </w:rPr>
      </w:pPr>
      <w:r>
        <w:rPr>
          <w:rFonts w:ascii="Arial" w:cs="Arial" w:eastAsia="Arial" w:hAnsi="Arial"/>
          <w:sz w:val="18"/>
          <w:szCs w:val="18"/>
          <w:b w:val="1"/>
          <w:bCs w:val="1"/>
          <w:color w:val="4D4D4F"/>
        </w:rPr>
        <w:t xml:space="preserve">If you hold shares in street name, </w:t>
      </w:r>
      <w:r>
        <w:rPr>
          <w:rFonts w:ascii="Arial" w:cs="Arial" w:eastAsia="Arial" w:hAnsi="Arial"/>
          <w:sz w:val="18"/>
          <w:szCs w:val="18"/>
          <w:color w:val="4D4D4F"/>
        </w:rPr>
        <w:t>you may vote by following the voting instructions provided by your bank, broker or other nominee. In</w:t>
      </w:r>
      <w:r>
        <w:rPr>
          <w:rFonts w:ascii="Arial" w:cs="Arial" w:eastAsia="Arial" w:hAnsi="Arial"/>
          <w:sz w:val="18"/>
          <w:szCs w:val="18"/>
          <w:b w:val="1"/>
          <w:bCs w:val="1"/>
          <w:color w:val="4D4D4F"/>
        </w:rPr>
        <w:t xml:space="preserve"> </w:t>
      </w:r>
      <w:r>
        <w:rPr>
          <w:rFonts w:ascii="Arial" w:cs="Arial" w:eastAsia="Arial" w:hAnsi="Arial"/>
          <w:sz w:val="18"/>
          <w:szCs w:val="18"/>
          <w:color w:val="4D4D4F"/>
        </w:rPr>
        <w:t>general, you may vote prior to the Annual Meeting as follows:</w:t>
      </w:r>
    </w:p>
    <w:p>
      <w:pPr>
        <w:spacing w:after="0" w:line="36" w:lineRule="exact"/>
        <w:rPr>
          <w:sz w:val="20"/>
          <w:szCs w:val="20"/>
          <w:color w:val="auto"/>
        </w:rPr>
      </w:pPr>
    </w:p>
    <w:p>
      <w:pPr>
        <w:ind w:left="2360" w:hanging="2082"/>
        <w:spacing w:after="0" w:line="245" w:lineRule="auto"/>
        <w:tabs>
          <w:tab w:leader="none" w:pos="686" w:val="left"/>
        </w:tabs>
        <w:numPr>
          <w:ilvl w:val="0"/>
          <w:numId w:val="19"/>
        </w:numPr>
        <w:rPr>
          <w:rFonts w:ascii="Arial" w:cs="Arial" w:eastAsia="Arial" w:hAnsi="Arial"/>
          <w:sz w:val="18"/>
          <w:szCs w:val="18"/>
          <w:color w:val="4D4D4F"/>
        </w:rPr>
      </w:pPr>
      <w:r>
        <w:rPr>
          <w:rFonts w:ascii="Arial" w:cs="Arial" w:eastAsia="Arial" w:hAnsi="Arial"/>
          <w:sz w:val="18"/>
          <w:szCs w:val="18"/>
          <w:i w:val="1"/>
          <w:iCs w:val="1"/>
          <w:color w:val="4D4D4F"/>
        </w:rPr>
        <w:t>Via the Internet:</w:t>
      </w:r>
      <w:r>
        <w:rPr>
          <w:rFonts w:ascii="Arial" w:cs="Arial" w:eastAsia="Arial" w:hAnsi="Arial"/>
          <w:sz w:val="18"/>
          <w:szCs w:val="18"/>
          <w:color w:val="4D4D4F"/>
        </w:rPr>
        <w:t xml:space="preserve">You may vote via the Internet by going to </w:t>
      </w:r>
      <w:r>
        <w:rPr>
          <w:rFonts w:ascii="Arial" w:cs="Arial" w:eastAsia="Arial" w:hAnsi="Arial"/>
          <w:sz w:val="18"/>
          <w:szCs w:val="18"/>
          <w:i w:val="1"/>
          <w:iCs w:val="1"/>
          <w:color w:val="000000"/>
        </w:rPr>
        <w:t>proxyvote.com</w:t>
      </w:r>
      <w:r>
        <w:rPr>
          <w:rFonts w:ascii="Arial" w:cs="Arial" w:eastAsia="Arial" w:hAnsi="Arial"/>
          <w:sz w:val="18"/>
          <w:szCs w:val="18"/>
          <w:color w:val="4D4D4F"/>
        </w:rPr>
        <w:t>, in accordance with the voting instructions on the Notice of Internet Availability or proxy card. Internet voting is available 24 hours a day until 11:59 p.m., Eastern time, on June 1, 2021. You will be given the opportunity to confirm that your instructions have been recorded properly.</w:t>
      </w:r>
    </w:p>
    <w:p>
      <w:pPr>
        <w:spacing w:after="0" w:line="59" w:lineRule="exact"/>
        <w:rPr>
          <w:rFonts w:ascii="Arial" w:cs="Arial" w:eastAsia="Arial" w:hAnsi="Arial"/>
          <w:sz w:val="18"/>
          <w:szCs w:val="18"/>
          <w:color w:val="4D4D4F"/>
        </w:rPr>
      </w:pPr>
    </w:p>
    <w:p>
      <w:pPr>
        <w:ind w:left="2360" w:hanging="2082"/>
        <w:spacing w:after="0"/>
        <w:tabs>
          <w:tab w:leader="none" w:pos="686" w:val="left"/>
        </w:tabs>
        <w:numPr>
          <w:ilvl w:val="0"/>
          <w:numId w:val="19"/>
        </w:numPr>
        <w:rPr>
          <w:rFonts w:ascii="Arial" w:cs="Arial" w:eastAsia="Arial" w:hAnsi="Arial"/>
          <w:sz w:val="18"/>
          <w:szCs w:val="18"/>
          <w:color w:val="4D4D4F"/>
        </w:rPr>
      </w:pPr>
      <w:r>
        <w:rPr>
          <w:rFonts w:ascii="Arial" w:cs="Arial" w:eastAsia="Arial" w:hAnsi="Arial"/>
          <w:sz w:val="18"/>
          <w:szCs w:val="18"/>
          <w:i w:val="1"/>
          <w:iCs w:val="1"/>
          <w:color w:val="4D4D4F"/>
        </w:rPr>
        <w:t>By Telephone:</w:t>
      </w:r>
      <w:r>
        <w:rPr>
          <w:rFonts w:ascii="Arial" w:cs="Arial" w:eastAsia="Arial" w:hAnsi="Arial"/>
          <w:sz w:val="18"/>
          <w:szCs w:val="18"/>
          <w:color w:val="4D4D4F"/>
        </w:rPr>
        <w:t>You may vote by calling +1.800.690.6903 and following the instructions provided on the telephone line. Telephone voting is available 24 hours a day until 11:59 p.m., Eastern time, on June 1, 2021. Easy-to-follow voice prompts allow you to vote your shares and confirm that your instructions have been recorded properly.</w:t>
      </w:r>
    </w:p>
    <w:p>
      <w:pPr>
        <w:spacing w:after="0" w:line="194" w:lineRule="exact"/>
        <w:rPr>
          <w:sz w:val="20"/>
          <w:szCs w:val="20"/>
          <w:color w:val="auto"/>
        </w:rPr>
      </w:pPr>
    </w:p>
    <w:p>
      <w:pPr>
        <w:ind w:left="340"/>
        <w:spacing w:after="0" w:line="246" w:lineRule="auto"/>
        <w:rPr>
          <w:sz w:val="20"/>
          <w:szCs w:val="20"/>
          <w:color w:val="auto"/>
        </w:rPr>
      </w:pPr>
      <w:r>
        <w:rPr>
          <w:rFonts w:ascii="Arial" w:cs="Arial" w:eastAsia="Arial" w:hAnsi="Arial"/>
          <w:sz w:val="18"/>
          <w:szCs w:val="18"/>
          <w:color w:val="4D4D4F"/>
        </w:rPr>
        <w:t>For your information, voting via the Internet is the least expensive to ACM, followed by telephone voting, with voting by mail being the most expensive.</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4" w:name="page15"/>
    <w:bookmarkEnd w:id="14"/>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0079C0"/>
        </w:rPr>
        <w:t>Q: Can I vote at the Annual Meeting?</w:t>
      </w:r>
    </w:p>
    <w:p>
      <w:pPr>
        <w:spacing w:after="0" w:line="188" w:lineRule="exact"/>
        <w:rPr>
          <w:sz w:val="20"/>
          <w:szCs w:val="20"/>
          <w:color w:val="auto"/>
        </w:rPr>
      </w:pPr>
    </w:p>
    <w:p>
      <w:pPr>
        <w:jc w:val="both"/>
        <w:ind w:left="340" w:hanging="332"/>
        <w:spacing w:after="0"/>
        <w:tabs>
          <w:tab w:leader="none" w:pos="340" w:val="left"/>
        </w:tabs>
        <w:numPr>
          <w:ilvl w:val="0"/>
          <w:numId w:val="20"/>
        </w:numPr>
        <w:rPr>
          <w:rFonts w:ascii="Arial" w:cs="Arial" w:eastAsia="Arial" w:hAnsi="Arial"/>
          <w:sz w:val="18"/>
          <w:szCs w:val="18"/>
          <w:b w:val="1"/>
          <w:bCs w:val="1"/>
          <w:color w:val="4D4D4F"/>
        </w:rPr>
      </w:pPr>
      <w:r>
        <w:rPr>
          <w:rFonts w:ascii="Arial" w:cs="Arial" w:eastAsia="Arial" w:hAnsi="Arial"/>
          <w:sz w:val="18"/>
          <w:szCs w:val="18"/>
          <w:color w:val="4D4D4F"/>
        </w:rPr>
        <w:t>If you are a stockholder of record, you may vote virtually at the Annual Meeting, whether or not you previously voted. If your shares are held in street name, you must obtain a written proxy, executed in your favor, from the stockholder of record to be able to vote at the Annual Meeting.</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0079C0"/>
        </w:rPr>
        <w:t>Q: Can I ask questions at the Annual Meeting?</w:t>
      </w:r>
    </w:p>
    <w:p>
      <w:pPr>
        <w:spacing w:after="0" w:line="202" w:lineRule="exact"/>
        <w:rPr>
          <w:sz w:val="20"/>
          <w:szCs w:val="20"/>
          <w:color w:val="auto"/>
        </w:rPr>
      </w:pPr>
    </w:p>
    <w:p>
      <w:pPr>
        <w:jc w:val="both"/>
        <w:ind w:left="340" w:hanging="332"/>
        <w:spacing w:after="0" w:line="236" w:lineRule="auto"/>
        <w:tabs>
          <w:tab w:leader="none" w:pos="340" w:val="left"/>
        </w:tabs>
        <w:numPr>
          <w:ilvl w:val="0"/>
          <w:numId w:val="21"/>
        </w:numPr>
        <w:rPr>
          <w:rFonts w:ascii="Arial" w:cs="Arial" w:eastAsia="Arial" w:hAnsi="Arial"/>
          <w:sz w:val="18"/>
          <w:szCs w:val="18"/>
          <w:b w:val="1"/>
          <w:bCs w:val="1"/>
          <w:color w:val="4D4D4F"/>
        </w:rPr>
      </w:pPr>
      <w:r>
        <w:rPr>
          <w:rFonts w:ascii="Arial" w:cs="Arial" w:eastAsia="Arial" w:hAnsi="Arial"/>
          <w:sz w:val="18"/>
          <w:szCs w:val="18"/>
          <w:color w:val="4D4D4F"/>
        </w:rPr>
        <w:t xml:space="preserve">You may submit questions via the Internet during the Annual Meeting by participating in the webcast at </w:t>
      </w:r>
      <w:r>
        <w:rPr>
          <w:rFonts w:ascii="Arial" w:cs="Arial" w:eastAsia="Arial" w:hAnsi="Arial"/>
          <w:sz w:val="18"/>
          <w:szCs w:val="18"/>
          <w:i w:val="1"/>
          <w:iCs w:val="1"/>
          <w:color w:val="4D4D4F"/>
        </w:rPr>
        <w:t>virtualshareholdermeeting.com/ACMR2021</w:t>
      </w:r>
      <w:r>
        <w:rPr>
          <w:rFonts w:ascii="Arial" w:cs="Arial" w:eastAsia="Arial" w:hAnsi="Arial"/>
          <w:sz w:val="18"/>
          <w:szCs w:val="18"/>
          <w:color w:val="4D4D4F"/>
        </w:rPr>
        <w:t>. We will answer any timely submitted questions on a matter to be voted on at the Annual</w:t>
      </w:r>
      <w:r>
        <w:rPr>
          <w:rFonts w:ascii="Arial" w:cs="Arial" w:eastAsia="Arial" w:hAnsi="Arial"/>
          <w:sz w:val="18"/>
          <w:szCs w:val="18"/>
          <w:i w:val="1"/>
          <w:iCs w:val="1"/>
          <w:color w:val="4D4D4F"/>
        </w:rPr>
        <w:t xml:space="preserve"> </w:t>
      </w:r>
      <w:r>
        <w:rPr>
          <w:rFonts w:ascii="Arial" w:cs="Arial" w:eastAsia="Arial" w:hAnsi="Arial"/>
          <w:sz w:val="18"/>
          <w:szCs w:val="18"/>
          <w:color w:val="4D4D4F"/>
        </w:rPr>
        <w:t xml:space="preserve">Meeting before voting is closed on the matter. Following adjournment of the formal business of the Annual Meeting, we will address appropriate general questions from stockholders regarding ACM in the order in which the questions are received. Questions relating to the stockholder proposals or ACM may be submitted in the field provided in the web portal at or before the time the questions are to be discussed. All questions received during the Annual Meeting will be presented as submitted, uncensored and unedited, except that we may omit certain personal details for data protection issues and we may edit profanity or other inappropriate language. If we receive substantially similar questions, we will group those questions together and provide a single response to avoid repetition. Additional information regarding the submission of questions during the Annual Meeting can be found in our 2021 Rules of Conduct and Procedure, a copy of which is attached as </w:t>
      </w:r>
      <w:r>
        <w:rPr>
          <w:rFonts w:ascii="Arial" w:cs="Arial" w:eastAsia="Arial" w:hAnsi="Arial"/>
          <w:sz w:val="18"/>
          <w:szCs w:val="18"/>
          <w:i w:val="1"/>
          <w:iCs w:val="1"/>
          <w:color w:val="4D4D4F"/>
        </w:rPr>
        <w:t>Appendix B</w:t>
      </w:r>
      <w:r>
        <w:rPr>
          <w:rFonts w:ascii="Arial" w:cs="Arial" w:eastAsia="Arial" w:hAnsi="Arial"/>
          <w:sz w:val="18"/>
          <w:szCs w:val="18"/>
          <w:color w:val="4D4D4F"/>
        </w:rPr>
        <w:t xml:space="preserve"> to this Proxy Statement</w:t>
      </w:r>
      <w:r>
        <w:rPr>
          <w:rFonts w:ascii="Arial" w:cs="Arial" w:eastAsia="Arial" w:hAnsi="Arial"/>
          <w:sz w:val="18"/>
          <w:szCs w:val="18"/>
          <w:i w:val="1"/>
          <w:iCs w:val="1"/>
          <w:color w:val="4D4D4F"/>
        </w:rPr>
        <w:t>.</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0079C0"/>
        </w:rPr>
        <w:t>Q: Why is the Annual Meeting being conducted as a virtual meeting?</w:t>
      </w:r>
    </w:p>
    <w:p>
      <w:pPr>
        <w:spacing w:after="0" w:line="188" w:lineRule="exact"/>
        <w:rPr>
          <w:sz w:val="20"/>
          <w:szCs w:val="20"/>
          <w:color w:val="auto"/>
        </w:rPr>
      </w:pPr>
    </w:p>
    <w:p>
      <w:pPr>
        <w:jc w:val="both"/>
        <w:ind w:left="340" w:hanging="332"/>
        <w:spacing w:after="0" w:line="237" w:lineRule="auto"/>
        <w:tabs>
          <w:tab w:leader="none" w:pos="340" w:val="left"/>
        </w:tabs>
        <w:numPr>
          <w:ilvl w:val="0"/>
          <w:numId w:val="22"/>
        </w:numPr>
        <w:rPr>
          <w:rFonts w:ascii="Arial" w:cs="Arial" w:eastAsia="Arial" w:hAnsi="Arial"/>
          <w:sz w:val="18"/>
          <w:szCs w:val="18"/>
          <w:b w:val="1"/>
          <w:bCs w:val="1"/>
          <w:color w:val="4D4D4F"/>
        </w:rPr>
      </w:pPr>
      <w:r>
        <w:rPr>
          <w:rFonts w:ascii="Arial" w:cs="Arial" w:eastAsia="Arial" w:hAnsi="Arial"/>
          <w:sz w:val="18"/>
          <w:szCs w:val="18"/>
          <w:color w:val="4D4D4F"/>
        </w:rPr>
        <w:t>The board considers the appropriate format of our annual meeting of stockholders on an annual basis. This year the board again chose a virtual meeting format for the Annual Meeting in an effort to facilitate stockholder attendance and participation by enabling stockholders to participate fully, and equally, from any location around the world, at no cost. The virtual meeting format will allow our stockholders to engage with us at the Annual Meeting from any geographic location, using any convenient internet-connected devices, including smart phones and tablet, laptop or desktop computers. The virtual meeting format also will allow stockholders to maintain their own personal safety in light of the ongoing public health risks attributable to the COVID-19 (Coronavirus) pandemic.</w:t>
      </w:r>
    </w:p>
    <w:p>
      <w:pPr>
        <w:spacing w:after="0" w:line="83" w:lineRule="exact"/>
        <w:rPr>
          <w:rFonts w:ascii="Arial" w:cs="Arial" w:eastAsia="Arial" w:hAnsi="Arial"/>
          <w:sz w:val="18"/>
          <w:szCs w:val="18"/>
          <w:b w:val="1"/>
          <w:bCs w:val="1"/>
          <w:color w:val="4D4D4F"/>
        </w:rPr>
      </w:pPr>
    </w:p>
    <w:p>
      <w:pPr>
        <w:jc w:val="both"/>
        <w:ind w:left="340"/>
        <w:spacing w:after="0" w:line="238" w:lineRule="auto"/>
        <w:rPr>
          <w:rFonts w:ascii="Arial" w:cs="Arial" w:eastAsia="Arial" w:hAnsi="Arial"/>
          <w:sz w:val="18"/>
          <w:szCs w:val="18"/>
          <w:b w:val="1"/>
          <w:bCs w:val="1"/>
          <w:color w:val="4D4D4F"/>
        </w:rPr>
      </w:pPr>
      <w:r>
        <w:rPr>
          <w:rFonts w:ascii="Arial" w:cs="Arial" w:eastAsia="Arial" w:hAnsi="Arial"/>
          <w:sz w:val="18"/>
          <w:szCs w:val="18"/>
          <w:color w:val="4D4D4F"/>
        </w:rPr>
        <w:t>We will be able to engage with all stockholders as opposed to just those who can afford to travel to an in-person meeting. The virtual format allows stockholders to submit questions and comments during the meeting. We are utilizing technology from Broadridge, a leading virtual meeting solution. The Broadridge platform is expected to accommodate most, if not all, stockholders. Both we and Broadridge will test the platform technology before going “live” for the Annual Meeting.</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0079C0"/>
        </w:rPr>
        <w:t>Q: If I am unable to participate in the live audio webcast of the Annual Meeting, may I listen at a later date?</w:t>
      </w:r>
    </w:p>
    <w:p>
      <w:pPr>
        <w:spacing w:after="0" w:line="170" w:lineRule="exact"/>
        <w:rPr>
          <w:sz w:val="20"/>
          <w:szCs w:val="20"/>
          <w:color w:val="auto"/>
        </w:rPr>
      </w:pPr>
    </w:p>
    <w:p>
      <w:pPr>
        <w:ind w:left="340" w:right="20" w:hanging="332"/>
        <w:spacing w:after="0" w:line="250" w:lineRule="auto"/>
        <w:tabs>
          <w:tab w:leader="none" w:pos="340" w:val="left"/>
        </w:tabs>
        <w:numPr>
          <w:ilvl w:val="0"/>
          <w:numId w:val="23"/>
        </w:numPr>
        <w:rPr>
          <w:rFonts w:ascii="Arial" w:cs="Arial" w:eastAsia="Arial" w:hAnsi="Arial"/>
          <w:sz w:val="18"/>
          <w:szCs w:val="18"/>
          <w:b w:val="1"/>
          <w:bCs w:val="1"/>
          <w:color w:val="4D4D4F"/>
        </w:rPr>
      </w:pPr>
      <w:r>
        <w:rPr>
          <w:rFonts w:ascii="Arial" w:cs="Arial" w:eastAsia="Arial" w:hAnsi="Arial"/>
          <w:sz w:val="18"/>
          <w:szCs w:val="18"/>
          <w:color w:val="4D4D4F"/>
        </w:rPr>
        <w:t xml:space="preserve">An audio replay of the Annual Meeting will be posted and publicly available at </w:t>
      </w:r>
      <w:r>
        <w:rPr>
          <w:rFonts w:ascii="Arial" w:cs="Arial" w:eastAsia="Arial" w:hAnsi="Arial"/>
          <w:sz w:val="18"/>
          <w:szCs w:val="18"/>
          <w:i w:val="1"/>
          <w:iCs w:val="1"/>
          <w:color w:val="4D4D4F"/>
        </w:rPr>
        <w:t>ir.acmrcsh.com/presentations</w:t>
      </w:r>
      <w:r>
        <w:rPr>
          <w:rFonts w:ascii="Arial" w:cs="Arial" w:eastAsia="Arial" w:hAnsi="Arial"/>
          <w:sz w:val="18"/>
          <w:szCs w:val="18"/>
          <w:color w:val="4D4D4F"/>
        </w:rPr>
        <w:t xml:space="preserve"> following the Annual Meeting and will remain publicly available until our next annual meeting of stockholders in 2022. This audio replay will cover the entire Annual Meeting, including each stockholder question addressed during the Annual Meeting.</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5" w:name="page16"/>
    <w:bookmarkEnd w:id="15"/>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0079C0"/>
        </w:rPr>
        <w:t>Q: May I change my vote or revoke my proxy?</w:t>
      </w:r>
    </w:p>
    <w:p>
      <w:pPr>
        <w:spacing w:after="0" w:line="188" w:lineRule="exact"/>
        <w:rPr>
          <w:sz w:val="20"/>
          <w:szCs w:val="20"/>
          <w:color w:val="auto"/>
        </w:rPr>
      </w:pPr>
    </w:p>
    <w:p>
      <w:pPr>
        <w:ind w:left="340" w:right="20" w:hanging="332"/>
        <w:spacing w:after="0" w:line="246" w:lineRule="auto"/>
        <w:tabs>
          <w:tab w:leader="none" w:pos="340" w:val="left"/>
        </w:tabs>
        <w:numPr>
          <w:ilvl w:val="0"/>
          <w:numId w:val="24"/>
        </w:numPr>
        <w:rPr>
          <w:rFonts w:ascii="Arial" w:cs="Arial" w:eastAsia="Arial" w:hAnsi="Arial"/>
          <w:sz w:val="18"/>
          <w:szCs w:val="18"/>
          <w:b w:val="1"/>
          <w:bCs w:val="1"/>
          <w:color w:val="4D4D4F"/>
        </w:rPr>
      </w:pPr>
      <w:r>
        <w:rPr>
          <w:rFonts w:ascii="Arial" w:cs="Arial" w:eastAsia="Arial" w:hAnsi="Arial"/>
          <w:sz w:val="18"/>
          <w:szCs w:val="18"/>
          <w:color w:val="4D4D4F"/>
        </w:rPr>
        <w:t>If you are a stockholder of record and previously delivered a proxy, you may subsequently change or revoke your proxy at any time before it is exercised by:</w:t>
      </w:r>
    </w:p>
    <w:p>
      <w:pPr>
        <w:spacing w:after="0" w:line="34" w:lineRule="exact"/>
        <w:rPr>
          <w:rFonts w:ascii="Arial" w:cs="Arial" w:eastAsia="Arial" w:hAnsi="Arial"/>
          <w:sz w:val="18"/>
          <w:szCs w:val="18"/>
          <w:b w:val="1"/>
          <w:bCs w:val="1"/>
          <w:color w:val="4D4D4F"/>
        </w:rPr>
      </w:pPr>
    </w:p>
    <w:p>
      <w:pPr>
        <w:ind w:left="660" w:hanging="328"/>
        <w:spacing w:after="0"/>
        <w:tabs>
          <w:tab w:leader="none" w:pos="660" w:val="left"/>
        </w:tabs>
        <w:numPr>
          <w:ilvl w:val="1"/>
          <w:numId w:val="24"/>
        </w:numPr>
        <w:rPr>
          <w:rFonts w:ascii="Arial" w:cs="Arial" w:eastAsia="Arial" w:hAnsi="Arial"/>
          <w:sz w:val="18"/>
          <w:szCs w:val="18"/>
          <w:color w:val="4D4D4F"/>
        </w:rPr>
      </w:pPr>
      <w:r>
        <w:rPr>
          <w:rFonts w:ascii="Arial" w:cs="Arial" w:eastAsia="Arial" w:hAnsi="Arial"/>
          <w:sz w:val="18"/>
          <w:szCs w:val="18"/>
          <w:color w:val="4D4D4F"/>
        </w:rPr>
        <w:t>voting via the Internet or telephone at a later time;</w:t>
      </w:r>
    </w:p>
    <w:p>
      <w:pPr>
        <w:spacing w:after="0" w:line="49" w:lineRule="exact"/>
        <w:rPr>
          <w:rFonts w:ascii="Arial" w:cs="Arial" w:eastAsia="Arial" w:hAnsi="Arial"/>
          <w:sz w:val="18"/>
          <w:szCs w:val="18"/>
          <w:color w:val="4D4D4F"/>
        </w:rPr>
      </w:pPr>
    </w:p>
    <w:p>
      <w:pPr>
        <w:ind w:left="660" w:hanging="328"/>
        <w:spacing w:after="0"/>
        <w:tabs>
          <w:tab w:leader="none" w:pos="660" w:val="left"/>
        </w:tabs>
        <w:numPr>
          <w:ilvl w:val="1"/>
          <w:numId w:val="24"/>
        </w:numPr>
        <w:rPr>
          <w:rFonts w:ascii="Arial" w:cs="Arial" w:eastAsia="Arial" w:hAnsi="Arial"/>
          <w:sz w:val="18"/>
          <w:szCs w:val="18"/>
          <w:color w:val="4D4D4F"/>
        </w:rPr>
      </w:pPr>
      <w:r>
        <w:rPr>
          <w:rFonts w:ascii="Arial" w:cs="Arial" w:eastAsia="Arial" w:hAnsi="Arial"/>
          <w:sz w:val="18"/>
          <w:szCs w:val="18"/>
          <w:color w:val="4D4D4F"/>
        </w:rPr>
        <w:t>submitting a completed and signed proxy card with a later date; or</w:t>
      </w:r>
    </w:p>
    <w:p>
      <w:pPr>
        <w:spacing w:after="0" w:line="49" w:lineRule="exact"/>
        <w:rPr>
          <w:rFonts w:ascii="Arial" w:cs="Arial" w:eastAsia="Arial" w:hAnsi="Arial"/>
          <w:sz w:val="18"/>
          <w:szCs w:val="18"/>
          <w:color w:val="4D4D4F"/>
        </w:rPr>
      </w:pPr>
    </w:p>
    <w:p>
      <w:pPr>
        <w:ind w:left="660" w:hanging="328"/>
        <w:spacing w:after="0"/>
        <w:tabs>
          <w:tab w:leader="none" w:pos="660" w:val="left"/>
        </w:tabs>
        <w:numPr>
          <w:ilvl w:val="1"/>
          <w:numId w:val="24"/>
        </w:numPr>
        <w:rPr>
          <w:rFonts w:ascii="Arial" w:cs="Arial" w:eastAsia="Arial" w:hAnsi="Arial"/>
          <w:sz w:val="18"/>
          <w:szCs w:val="18"/>
          <w:color w:val="4D4D4F"/>
        </w:rPr>
      </w:pPr>
      <w:r>
        <w:rPr>
          <w:rFonts w:ascii="Arial" w:cs="Arial" w:eastAsia="Arial" w:hAnsi="Arial"/>
          <w:sz w:val="18"/>
          <w:szCs w:val="18"/>
          <w:color w:val="4D4D4F"/>
        </w:rPr>
        <w:t>voting via the Internet at the Annual Meeting.</w:t>
      </w:r>
    </w:p>
    <w:p>
      <w:pPr>
        <w:spacing w:after="0" w:line="50" w:lineRule="exact"/>
        <w:rPr>
          <w:sz w:val="20"/>
          <w:szCs w:val="20"/>
          <w:color w:val="auto"/>
        </w:rPr>
      </w:pPr>
    </w:p>
    <w:p>
      <w:pPr>
        <w:ind w:left="340"/>
        <w:spacing w:after="0" w:line="246" w:lineRule="auto"/>
        <w:rPr>
          <w:sz w:val="20"/>
          <w:szCs w:val="20"/>
          <w:color w:val="auto"/>
        </w:rPr>
      </w:pPr>
      <w:r>
        <w:rPr>
          <w:rFonts w:ascii="Arial" w:cs="Arial" w:eastAsia="Arial" w:hAnsi="Arial"/>
          <w:sz w:val="18"/>
          <w:szCs w:val="18"/>
          <w:color w:val="4D4D4F"/>
        </w:rPr>
        <w:t>If you are a beneficial owner of shares held in street name, you should contact your bank, broker or other nominee for instructions as to whether, and how, you can change or revoke your proxy.</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0079C0"/>
        </w:rPr>
        <w:t>Q: What happens if I do not give specific voting instructions?</w:t>
      </w:r>
    </w:p>
    <w:p>
      <w:pPr>
        <w:spacing w:after="0" w:line="202" w:lineRule="exact"/>
        <w:rPr>
          <w:sz w:val="20"/>
          <w:szCs w:val="20"/>
          <w:color w:val="auto"/>
        </w:rPr>
      </w:pPr>
    </w:p>
    <w:p>
      <w:pPr>
        <w:jc w:val="both"/>
        <w:ind w:left="340" w:hanging="332"/>
        <w:spacing w:after="0"/>
        <w:tabs>
          <w:tab w:leader="none" w:pos="340" w:val="left"/>
        </w:tabs>
        <w:numPr>
          <w:ilvl w:val="0"/>
          <w:numId w:val="25"/>
        </w:numPr>
        <w:rPr>
          <w:rFonts w:ascii="Arial" w:cs="Arial" w:eastAsia="Arial" w:hAnsi="Arial"/>
          <w:sz w:val="18"/>
          <w:szCs w:val="18"/>
          <w:b w:val="1"/>
          <w:bCs w:val="1"/>
          <w:color w:val="4D4D4F"/>
        </w:rPr>
      </w:pPr>
      <w:r>
        <w:rPr>
          <w:rFonts w:ascii="Arial" w:cs="Arial" w:eastAsia="Arial" w:hAnsi="Arial"/>
          <w:sz w:val="18"/>
          <w:szCs w:val="18"/>
          <w:color w:val="4D4D4F"/>
        </w:rPr>
        <w:t>If you are a stockholder of record and you return a proxy card without giving specific voting instructions, the proxy holders will vote your shares in the manner recommended by the board on each of the proposals presented in this Proxy Statement and as the proxy holders may determine in their discretion on any other matters properly presented for a vote at the Annual Meeting.</w:t>
      </w:r>
    </w:p>
    <w:p>
      <w:pPr>
        <w:spacing w:after="0" w:line="67" w:lineRule="exact"/>
        <w:rPr>
          <w:rFonts w:ascii="Arial" w:cs="Arial" w:eastAsia="Arial" w:hAnsi="Arial"/>
          <w:sz w:val="18"/>
          <w:szCs w:val="18"/>
          <w:b w:val="1"/>
          <w:bCs w:val="1"/>
          <w:color w:val="4D4D4F"/>
        </w:rPr>
      </w:pPr>
    </w:p>
    <w:p>
      <w:pPr>
        <w:jc w:val="both"/>
        <w:ind w:left="340"/>
        <w:spacing w:after="0" w:line="237" w:lineRule="auto"/>
        <w:rPr>
          <w:rFonts w:ascii="Arial" w:cs="Arial" w:eastAsia="Arial" w:hAnsi="Arial"/>
          <w:sz w:val="18"/>
          <w:szCs w:val="18"/>
          <w:b w:val="1"/>
          <w:bCs w:val="1"/>
          <w:color w:val="4D4D4F"/>
        </w:rPr>
      </w:pPr>
      <w:r>
        <w:rPr>
          <w:rFonts w:ascii="Arial" w:cs="Arial" w:eastAsia="Arial" w:hAnsi="Arial"/>
          <w:sz w:val="18"/>
          <w:szCs w:val="18"/>
          <w:color w:val="4D4D4F"/>
        </w:rPr>
        <w:t>If you are a beneficial owner of shares held in street name and do not provide specific voting instructions to the broker, bank or other organization that is the stockholder of record of your shares, the organization generally may vote on routine, but not non-routine, matters. The only routine matter expected to be voted on at the Annual Meeting is the ratification of the appointment of our independent auditor for 2021 (Proposal 2). If the organization does not receive instructions from you on how to vote your shares on Proposals 1, 3, or 4, your shares will be subject to a broker non-vote and no vote will be cast on those matters. See “</w:t>
      </w:r>
      <w:r>
        <w:rPr>
          <w:rFonts w:ascii="Arial" w:cs="Arial" w:eastAsia="Arial" w:hAnsi="Arial"/>
          <w:sz w:val="18"/>
          <w:szCs w:val="18"/>
          <w:i w:val="1"/>
          <w:iCs w:val="1"/>
          <w:color w:val="0079C0"/>
        </w:rPr>
        <w:t>Q. What does it mean for a broker or other</w:t>
      </w:r>
      <w:r>
        <w:rPr>
          <w:rFonts w:ascii="Arial" w:cs="Arial" w:eastAsia="Arial" w:hAnsi="Arial"/>
          <w:sz w:val="18"/>
          <w:szCs w:val="18"/>
          <w:color w:val="4D4D4F"/>
        </w:rPr>
        <w:t xml:space="preserve"> </w:t>
      </w:r>
      <w:r>
        <w:rPr>
          <w:rFonts w:ascii="Arial" w:cs="Arial" w:eastAsia="Arial" w:hAnsi="Arial"/>
          <w:sz w:val="18"/>
          <w:szCs w:val="18"/>
          <w:i w:val="1"/>
          <w:iCs w:val="1"/>
          <w:color w:val="0079C0"/>
        </w:rPr>
        <w:t>nominee to hold shares in ‘street name’?</w:t>
      </w:r>
      <w:r>
        <w:rPr>
          <w:rFonts w:ascii="Arial" w:cs="Arial" w:eastAsia="Arial" w:hAnsi="Arial"/>
          <w:sz w:val="18"/>
          <w:szCs w:val="18"/>
          <w:color w:val="4D4D4F"/>
        </w:rPr>
        <w:t>” above.”</w:t>
      </w:r>
    </w:p>
    <w:p>
      <w:pPr>
        <w:spacing w:after="0" w:line="178" w:lineRule="exact"/>
        <w:rPr>
          <w:sz w:val="20"/>
          <w:szCs w:val="20"/>
          <w:color w:val="auto"/>
        </w:rPr>
      </w:pPr>
    </w:p>
    <w:p>
      <w:pPr>
        <w:ind w:left="340" w:hanging="332"/>
        <w:spacing w:after="0" w:line="257" w:lineRule="auto"/>
        <w:tabs>
          <w:tab w:leader="none" w:pos="340" w:val="left"/>
        </w:tabs>
        <w:numPr>
          <w:ilvl w:val="0"/>
          <w:numId w:val="26"/>
        </w:numPr>
        <w:rPr>
          <w:rFonts w:ascii="Arial" w:cs="Arial" w:eastAsia="Arial" w:hAnsi="Arial"/>
          <w:sz w:val="20"/>
          <w:szCs w:val="20"/>
          <w:b w:val="1"/>
          <w:bCs w:val="1"/>
          <w:color w:val="0079C0"/>
        </w:rPr>
      </w:pPr>
      <w:r>
        <w:rPr>
          <w:rFonts w:ascii="Arial" w:cs="Arial" w:eastAsia="Arial" w:hAnsi="Arial"/>
          <w:sz w:val="20"/>
          <w:szCs w:val="20"/>
          <w:b w:val="1"/>
          <w:bCs w:val="1"/>
          <w:color w:val="0079C0"/>
        </w:rPr>
        <w:t>What should I do if, during check-in or the meeting, I have technical difficulties or trouble accessing the virtual meeting website?</w:t>
      </w:r>
    </w:p>
    <w:p>
      <w:pPr>
        <w:spacing w:after="0" w:line="155" w:lineRule="exact"/>
        <w:rPr>
          <w:sz w:val="20"/>
          <w:szCs w:val="20"/>
          <w:color w:val="auto"/>
        </w:rPr>
      </w:pPr>
    </w:p>
    <w:p>
      <w:pPr>
        <w:jc w:val="both"/>
        <w:ind w:left="340" w:hanging="332"/>
        <w:spacing w:after="0" w:line="238" w:lineRule="auto"/>
        <w:tabs>
          <w:tab w:leader="none" w:pos="340" w:val="left"/>
        </w:tabs>
        <w:numPr>
          <w:ilvl w:val="0"/>
          <w:numId w:val="27"/>
        </w:numPr>
        <w:rPr>
          <w:rFonts w:ascii="Arial" w:cs="Arial" w:eastAsia="Arial" w:hAnsi="Arial"/>
          <w:sz w:val="18"/>
          <w:szCs w:val="18"/>
          <w:b w:val="1"/>
          <w:bCs w:val="1"/>
          <w:color w:val="4D4D4F"/>
        </w:rPr>
      </w:pPr>
      <w:r>
        <w:rPr>
          <w:rFonts w:ascii="Arial" w:cs="Arial" w:eastAsia="Arial" w:hAnsi="Arial"/>
          <w:sz w:val="18"/>
          <w:szCs w:val="18"/>
          <w:color w:val="4D4D4F"/>
        </w:rPr>
        <w:t xml:space="preserve">Online check-in to the Annual Meeting webcast will begin at 6:45 a.m., Pacific time. You should allow ample time to log in to the meeting webcast and test your computer audio system. During online check-in and continuing through the length of the Annual Meeting, we will have technicians standing by to assist you with any technical difficulties you may have accessing the Annual Meeting. If you encounter any difficulties accessing the Annual Meeting during the check-in or at meeting time, you should call the technical support number available at </w:t>
      </w:r>
      <w:r>
        <w:rPr>
          <w:rFonts w:ascii="Arial" w:cs="Arial" w:eastAsia="Arial" w:hAnsi="Arial"/>
          <w:sz w:val="18"/>
          <w:szCs w:val="18"/>
          <w:i w:val="1"/>
          <w:iCs w:val="1"/>
          <w:color w:val="4D4D4F"/>
        </w:rPr>
        <w:t>proxyvote.com</w:t>
      </w:r>
      <w:r>
        <w:rPr>
          <w:rFonts w:ascii="Arial" w:cs="Arial" w:eastAsia="Arial" w:hAnsi="Arial"/>
          <w:sz w:val="18"/>
          <w:szCs w:val="18"/>
          <w:color w:val="4D4D4F"/>
        </w:rPr>
        <w:t>.</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0079C0"/>
        </w:rPr>
        <w:t>Q: What if other matters are presented at the Annual Meeting?</w:t>
      </w:r>
    </w:p>
    <w:p>
      <w:pPr>
        <w:spacing w:after="0" w:line="188" w:lineRule="exact"/>
        <w:rPr>
          <w:sz w:val="20"/>
          <w:szCs w:val="20"/>
          <w:color w:val="auto"/>
        </w:rPr>
      </w:pPr>
    </w:p>
    <w:p>
      <w:pPr>
        <w:jc w:val="both"/>
        <w:ind w:left="340" w:hanging="332"/>
        <w:spacing w:after="0" w:line="238" w:lineRule="auto"/>
        <w:tabs>
          <w:tab w:leader="none" w:pos="340" w:val="left"/>
        </w:tabs>
        <w:numPr>
          <w:ilvl w:val="0"/>
          <w:numId w:val="28"/>
        </w:numPr>
        <w:rPr>
          <w:rFonts w:ascii="Arial" w:cs="Arial" w:eastAsia="Arial" w:hAnsi="Arial"/>
          <w:sz w:val="18"/>
          <w:szCs w:val="18"/>
          <w:b w:val="1"/>
          <w:bCs w:val="1"/>
          <w:color w:val="4D4D4F"/>
        </w:rPr>
      </w:pPr>
      <w:r>
        <w:rPr>
          <w:rFonts w:ascii="Arial" w:cs="Arial" w:eastAsia="Arial" w:hAnsi="Arial"/>
          <w:sz w:val="18"/>
          <w:szCs w:val="18"/>
          <w:color w:val="4D4D4F"/>
        </w:rPr>
        <w:t>If a stockholder of record provides a proxy by voting in any manner described in this Proxy Statement, the proxy holders will have the discretion to vote on any matters, other than the four proposals presented in this Proxy Statement, that are properly presented for consideration at the Annual Meeting. We are not currently aware of any other matters to be presented for consideration at the Annual Meeting.</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6" w:name="page17"/>
    <w:bookmarkEnd w:id="16"/>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3E64"/>
        </w:rPr>
        <w:t>Vote Required for Election or Approval</w:t>
      </w:r>
    </w:p>
    <w:p>
      <w:pPr>
        <w:spacing w:after="0" w:line="278" w:lineRule="exact"/>
        <w:rPr>
          <w:sz w:val="20"/>
          <w:szCs w:val="20"/>
          <w:color w:val="auto"/>
        </w:rPr>
      </w:pPr>
    </w:p>
    <w:p>
      <w:pPr>
        <w:spacing w:after="0"/>
        <w:rPr>
          <w:sz w:val="20"/>
          <w:szCs w:val="20"/>
          <w:color w:val="auto"/>
        </w:rPr>
      </w:pPr>
      <w:r>
        <w:rPr>
          <w:rFonts w:ascii="Arial" w:cs="Arial" w:eastAsia="Arial" w:hAnsi="Arial"/>
          <w:sz w:val="22"/>
          <w:szCs w:val="22"/>
          <w:b w:val="1"/>
          <w:bCs w:val="1"/>
          <w:color w:val="0079C0"/>
        </w:rPr>
        <w:t>Introduction</w:t>
      </w:r>
    </w:p>
    <w:p>
      <w:pPr>
        <w:spacing w:after="0" w:line="23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4D4D4F"/>
        </w:rPr>
        <w:t>ACM’s only voting securities are the outstanding shares of Class A and Class B common stock, which we refer to collectively as common stock. As of the record date, which is 5 p.m., Eastern time, on April 8, 2021, there were outstanding 17,263,562 shares of Class A common stock, each of which will be entitled to one vote on each proposal, and 1,769,272 shares of Class B common stock, each of which will be entitled to twenty votes on each proposal. Based on the number of votes for each share of Class A and Class B common stock, up to a total of 52,649,002 votes can be cast on each proposal.</w:t>
      </w:r>
    </w:p>
    <w:p>
      <w:pPr>
        <w:spacing w:after="0" w:line="20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4D4D4F"/>
        </w:rPr>
        <w:t>Only stockholders of record as of the record date will be entitled to notice of, and to vote at, the Annual Meeting. A majority of the votes attributable to outstanding shares of common stock present virtually or represented by proxy and entitled to vote on any matters to be considered at the Annual Meeting will constitute a quorum for the transaction of business at the Annual Meeting. For the purpose of determining a quorum, we will treat as present at the Annual Meeting any proxies that are voted on any matter to be acted upon by the stockholders, as well as abstentions or any proxies containing broker non-votes.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308610" cy="3168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08610" cy="31686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680"/>
        <w:spacing w:after="0"/>
        <w:rPr>
          <w:sz w:val="20"/>
          <w:szCs w:val="20"/>
          <w:color w:val="auto"/>
        </w:rPr>
      </w:pPr>
      <w:r>
        <w:rPr>
          <w:rFonts w:ascii="Arial" w:cs="Arial" w:eastAsia="Arial" w:hAnsi="Arial"/>
          <w:sz w:val="22"/>
          <w:szCs w:val="22"/>
          <w:b w:val="1"/>
          <w:bCs w:val="1"/>
          <w:color w:val="0079C0"/>
        </w:rPr>
        <w:t>Election of Directors</w:t>
      </w:r>
    </w:p>
    <w:p>
      <w:pPr>
        <w:spacing w:after="0" w:line="200" w:lineRule="exact"/>
        <w:rPr>
          <w:sz w:val="20"/>
          <w:szCs w:val="20"/>
          <w:color w:val="auto"/>
        </w:rPr>
      </w:pPr>
    </w:p>
    <w:p>
      <w:pPr>
        <w:spacing w:after="0" w:line="24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4D4D4F"/>
        </w:rPr>
        <w:t>Each director will be elected by plurality of the votes present in person or represented by proxy at the Annual Meeting and entitled to vote in the election of directors. Broker non-votes will not have any effect on the outcome of the election of directors, since broker non-votes are not counted as “votes cast.” Votes to “withhold” will have an effect on the outcome of the proposal only in that under our Director Resignation Policy, approved by the board of directors in October 2017, if a director receives more votes to “withhold” than “for,” such director shall promptly offer his resignation for consideration to the nominating and governance committee, which will make a recommendation to the board whether to accept or reject the resignation, or whether other action should be taken. The board will consider and act on the recommendation of the nominating and governance committee and will promptly, if required, publicly disclose its decision and the rationale behind it. The director who offers his or her resignation will not participate in the decision of the nominating and governance committee or the board. If the board accepts such resignation, then the board may fill the vacancy resulting from that resignation or may reduce the number of directors that constitutes the entire board so that no vacancy exists.</w:t>
      </w:r>
    </w:p>
    <w:p>
      <w:pPr>
        <w:spacing w:after="0" w:line="165" w:lineRule="exact"/>
        <w:rPr>
          <w:sz w:val="20"/>
          <w:szCs w:val="20"/>
          <w:color w:val="auto"/>
        </w:rPr>
      </w:pPr>
    </w:p>
    <w:p>
      <w:pPr>
        <w:jc w:val="both"/>
        <w:spacing w:after="0"/>
        <w:rPr>
          <w:sz w:val="20"/>
          <w:szCs w:val="20"/>
          <w:color w:val="auto"/>
        </w:rPr>
      </w:pPr>
      <w:r>
        <w:rPr>
          <w:rFonts w:ascii="Arial" w:cs="Arial" w:eastAsia="Arial" w:hAnsi="Arial"/>
          <w:sz w:val="18"/>
          <w:szCs w:val="18"/>
          <w:color w:val="4D4D4F"/>
        </w:rPr>
        <w:t>Under our certificate of incorporation, our bylaws and the Delaware General Corporation Law, a director holds office until a successor is elected and qualified or until his or her earlier resignation or removal. Each of the nominees currently serves as one of our directors. If any of the nominees is not elected at the Annual Meeting, then the Bylaws provide that the director shall offer to resign from the board of directors.</w:t>
      </w:r>
    </w:p>
    <w:p>
      <w:pPr>
        <w:spacing w:after="0" w:line="369" w:lineRule="exact"/>
        <w:rPr>
          <w:sz w:val="20"/>
          <w:szCs w:val="20"/>
          <w:color w:val="auto"/>
        </w:rPr>
      </w:pPr>
    </w:p>
    <w:p>
      <w:pPr>
        <w:ind w:left="680"/>
        <w:spacing w:after="0"/>
        <w:rPr>
          <w:sz w:val="20"/>
          <w:szCs w:val="20"/>
          <w:color w:val="auto"/>
        </w:rPr>
      </w:pPr>
      <w:r>
        <w:rPr>
          <w:rFonts w:ascii="Arial" w:cs="Arial" w:eastAsia="Arial" w:hAnsi="Arial"/>
          <w:sz w:val="22"/>
          <w:szCs w:val="22"/>
          <w:b w:val="1"/>
          <w:bCs w:val="1"/>
          <w:color w:val="0079C0"/>
        </w:rPr>
        <w:t>Am</w:t>
      </w:r>
      <w:r>
        <w:rPr>
          <w:rFonts w:ascii="Arial" w:cs="Arial" w:eastAsia="Arial" w:hAnsi="Arial"/>
          <w:sz w:val="22"/>
          <w:szCs w:val="22"/>
          <w:b w:val="1"/>
          <w:bCs w:val="1"/>
          <w:color w:val="0070C0"/>
        </w:rPr>
        <w:t>endment to Cert</w:t>
      </w:r>
      <w:r>
        <w:rPr>
          <w:rFonts w:ascii="Arial" w:cs="Arial" w:eastAsia="Arial" w:hAnsi="Arial"/>
          <w:sz w:val="22"/>
          <w:szCs w:val="22"/>
          <w:b w:val="1"/>
          <w:bCs w:val="1"/>
          <w:color w:val="0079C0"/>
        </w:rPr>
        <w:t>ificate of Incorporation</w:t>
      </w:r>
    </w:p>
    <w:p>
      <w:pPr>
        <w:spacing w:after="0" w:line="200" w:lineRule="exact"/>
        <w:rPr>
          <w:sz w:val="20"/>
          <w:szCs w:val="20"/>
          <w:color w:val="auto"/>
        </w:rPr>
      </w:pPr>
    </w:p>
    <w:p>
      <w:pPr>
        <w:spacing w:after="0" w:line="23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4D4D4F"/>
        </w:rPr>
        <w:t>The amendment to our certificate of incorporation to effect an increase in the authorized number of shares of common stock must be approved by the affirmative vote of the stockholders representing a majority of the voting power of the outstanding capital stock, voting together as a single class on an as-converted basis. Abstentions will count as votes against this proposal, since an absolute percentage of affirmative votes is required for approval, and an abstention is not an affirmative vote. Similarly, broker non-votes will have the same effect as a vote “against” the proposal because approval requires an absolute parentage of affirmative votes.</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7" w:name="page18"/>
    <w:bookmarkEnd w:id="17"/>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291465" cy="3257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91465" cy="325755"/>
                    </a:xfrm>
                    <a:prstGeom prst="rect">
                      <a:avLst/>
                    </a:prstGeom>
                    <a:noFill/>
                  </pic:spPr>
                </pic:pic>
              </a:graphicData>
            </a:graphic>
          </wp:anchor>
        </w:drawing>
      </w:r>
    </w:p>
    <w:p>
      <w:pPr>
        <w:spacing w:after="0" w:line="224" w:lineRule="exact"/>
        <w:rPr>
          <w:sz w:val="20"/>
          <w:szCs w:val="20"/>
          <w:color w:val="auto"/>
        </w:rPr>
      </w:pPr>
    </w:p>
    <w:p>
      <w:pPr>
        <w:ind w:left="680"/>
        <w:spacing w:after="0"/>
        <w:rPr>
          <w:sz w:val="20"/>
          <w:szCs w:val="20"/>
          <w:color w:val="auto"/>
        </w:rPr>
      </w:pPr>
      <w:r>
        <w:rPr>
          <w:rFonts w:ascii="Arial" w:cs="Arial" w:eastAsia="Arial" w:hAnsi="Arial"/>
          <w:sz w:val="22"/>
          <w:szCs w:val="22"/>
          <w:b w:val="1"/>
          <w:bCs w:val="1"/>
          <w:color w:val="0070C0"/>
        </w:rPr>
        <w:t>Ratification of Appointment of Independent Auditor for 2021</w:t>
      </w:r>
    </w:p>
    <w:p>
      <w:pPr>
        <w:spacing w:after="0" w:line="200" w:lineRule="exact"/>
        <w:rPr>
          <w:sz w:val="20"/>
          <w:szCs w:val="20"/>
          <w:color w:val="auto"/>
        </w:rPr>
      </w:pPr>
    </w:p>
    <w:p>
      <w:pPr>
        <w:spacing w:after="0" w:line="25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4D4D4F"/>
        </w:rPr>
        <w:t>The ratification of BDO China Shu Lun Pan Certified Public Accountants LLP as our independent auditor for the year ending December 31, 2021 must be approved by affirmative votes constituting a majority of the votes entitled to be voted and present virtually or represented by proxy at the Annual Meeting. Abstentions will count as votes against this proposal, since shares with respect to which the stockholder abstains will be deemed present and entitled to vote. Because this proposal is considered a routine matter, discretionary votes by brokers will be counted.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308610" cy="3086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08610" cy="30861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680"/>
        <w:spacing w:after="0"/>
        <w:rPr>
          <w:sz w:val="20"/>
          <w:szCs w:val="20"/>
          <w:color w:val="auto"/>
        </w:rPr>
      </w:pPr>
      <w:r>
        <w:rPr>
          <w:rFonts w:ascii="Arial" w:cs="Arial" w:eastAsia="Arial" w:hAnsi="Arial"/>
          <w:sz w:val="22"/>
          <w:szCs w:val="22"/>
          <w:b w:val="1"/>
          <w:bCs w:val="1"/>
          <w:color w:val="0079C0"/>
        </w:rPr>
        <w:t>Advisory Vote on 2020 Executive Compensation</w:t>
      </w:r>
    </w:p>
    <w:p>
      <w:pPr>
        <w:spacing w:after="0" w:line="38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4D4D4F"/>
        </w:rPr>
        <w:t>The advisory vote to approve our 2020 executive compensation must be approved by affirmative votes constituting a majority of the votes entitled to be voted and present virtually or represented by proxy at the Annual Meeting. Abstentions will count as votes against this proposal, since shares with respect to which the stockholder abstains will be deemed present and entitled to vote. Broker non-votes will have no effect on the outcome of this proposal, since broker non-votes are not considered “entitled to vote” on the matter.</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8" w:name="page19"/>
    <w:bookmarkEnd w:id="18"/>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3E64"/>
        </w:rPr>
        <w:t>Corporate Governance</w:t>
      </w:r>
    </w:p>
    <w:p>
      <w:pPr>
        <w:spacing w:after="0" w:line="278" w:lineRule="exact"/>
        <w:rPr>
          <w:sz w:val="20"/>
          <w:szCs w:val="20"/>
          <w:color w:val="auto"/>
        </w:rPr>
      </w:pPr>
    </w:p>
    <w:p>
      <w:pPr>
        <w:spacing w:after="0"/>
        <w:rPr>
          <w:sz w:val="20"/>
          <w:szCs w:val="20"/>
          <w:color w:val="auto"/>
        </w:rPr>
      </w:pPr>
      <w:r>
        <w:rPr>
          <w:rFonts w:ascii="Arial" w:cs="Arial" w:eastAsia="Arial" w:hAnsi="Arial"/>
          <w:sz w:val="22"/>
          <w:szCs w:val="22"/>
          <w:b w:val="1"/>
          <w:bCs w:val="1"/>
          <w:color w:val="0079C0"/>
        </w:rPr>
        <w:t>Board of Directors Overview</w:t>
      </w:r>
    </w:p>
    <w:p>
      <w:pPr>
        <w:spacing w:after="0" w:line="23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4D4D4F"/>
        </w:rPr>
        <w:t>Under our bylaws and the Delaware General Corporation Law, our business and affairs are managed by or under the direction of the board of directors, which selectively delegates responsibilities to its standing committees.</w:t>
      </w:r>
    </w:p>
    <w:p>
      <w:pPr>
        <w:spacing w:after="0" w:line="15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4D4D4F"/>
        </w:rPr>
        <w:t xml:space="preserve">The board has adopted and operates under Governance Guidelines that reflect our current governance practices in accordance with applicable statutory and regulatory requirements, including those of the SEC and Nasdaq. The Governance Guidelines are available on our website at </w:t>
      </w:r>
      <w:r>
        <w:rPr>
          <w:rFonts w:ascii="Arial" w:cs="Arial" w:eastAsia="Arial" w:hAnsi="Arial"/>
          <w:sz w:val="18"/>
          <w:szCs w:val="18"/>
          <w:i w:val="1"/>
          <w:iCs w:val="1"/>
          <w:color w:val="4D4D4F"/>
        </w:rPr>
        <w:t>ir.acmrcsh.com/static-files/3446be5b-f608-4932-86c9-d9eff14ca2ac</w:t>
      </w:r>
      <w:r>
        <w:rPr>
          <w:rFonts w:ascii="Arial" w:cs="Arial" w:eastAsia="Arial" w:hAnsi="Arial"/>
          <w:sz w:val="18"/>
          <w:szCs w:val="18"/>
          <w:color w:val="4D4D4F"/>
        </w:rPr>
        <w:t>. Under the Governance Guidelines, we expect directors to regularly attend meetings of the board and of all committees on which they serve and to review the materials sent to them in advance of those meetings. We expect nominees for election at each annual meeting of stockholders to participate in the Annual Meeting.</w:t>
      </w:r>
    </w:p>
    <w:p>
      <w:pPr>
        <w:spacing w:after="0" w:line="17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4D4D4F"/>
        </w:rPr>
        <w:t>The board generally expects to hold four regular meetings per year and to meet on other occasions when circumstances require. Directors spend additional time preparing for board and committee meetings, and we may call upon directors for advice between meetings. We encourage our directors to attend director education programs. The board held six meetings in 2020. Two directors, Zhengfan Yang and Yinan Xiang, attended 67% of the board meetings during in 2020, and our other four directors attended all of the board meetings. Mr. Yang has determined not to stand for re-election at the Annual Meeting.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4D4D4F"/>
        </w:rPr>
        <w:t>The Governance Guidelines provide that the board will meet in executive session at least twice a year without management in attendance.</w:t>
      </w:r>
    </w:p>
    <w:p>
      <w:pPr>
        <w:spacing w:after="0"/>
        <w:rPr>
          <w:sz w:val="20"/>
          <w:szCs w:val="20"/>
          <w:color w:val="auto"/>
        </w:rPr>
      </w:pPr>
      <w:r>
        <w:rPr>
          <w:rFonts w:ascii="Arial" w:cs="Arial" w:eastAsia="Arial" w:hAnsi="Arial"/>
          <w:sz w:val="18"/>
          <w:szCs w:val="18"/>
          <w:color w:val="4D4D4F"/>
        </w:rPr>
        <w:t>The Lead Director presides at each executive session.</w:t>
      </w:r>
    </w:p>
    <w:p>
      <w:pPr>
        <w:spacing w:after="0" w:line="171" w:lineRule="exact"/>
        <w:rPr>
          <w:sz w:val="20"/>
          <w:szCs w:val="20"/>
          <w:color w:val="auto"/>
        </w:rPr>
      </w:pPr>
    </w:p>
    <w:p>
      <w:pPr>
        <w:jc w:val="both"/>
        <w:spacing w:after="0"/>
        <w:rPr>
          <w:sz w:val="20"/>
          <w:szCs w:val="20"/>
          <w:color w:val="auto"/>
        </w:rPr>
      </w:pPr>
      <w:r>
        <w:rPr>
          <w:rFonts w:ascii="Arial" w:cs="Arial" w:eastAsia="Arial" w:hAnsi="Arial"/>
          <w:sz w:val="18"/>
          <w:szCs w:val="18"/>
          <w:color w:val="4D4D4F"/>
        </w:rPr>
        <w:t>The board maintains an audit committee, a compensation committee and a nominating and governance committee. The board has adopted charters for each of the committees, and those charters are to be reviewed annually by the committees and the board. Our website provides access to:</w:t>
      </w:r>
    </w:p>
    <w:p>
      <w:pPr>
        <w:spacing w:after="0" w:line="81"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color w:val="4D4D4F"/>
        </w:rPr>
      </w:pPr>
      <w:r>
        <w:rPr>
          <w:rFonts w:ascii="Arial" w:cs="Arial" w:eastAsia="Arial" w:hAnsi="Arial"/>
          <w:sz w:val="18"/>
          <w:szCs w:val="18"/>
          <w:color w:val="4D4D4F"/>
        </w:rPr>
        <w:t>the audit committee charter at:</w:t>
      </w:r>
    </w:p>
    <w:p>
      <w:pPr>
        <w:spacing w:after="0" w:line="72" w:lineRule="exact"/>
        <w:rPr>
          <w:rFonts w:ascii="Arial" w:cs="Arial" w:eastAsia="Arial" w:hAnsi="Arial"/>
          <w:sz w:val="18"/>
          <w:szCs w:val="18"/>
          <w:color w:val="4D4D4F"/>
        </w:rPr>
      </w:pPr>
    </w:p>
    <w:p>
      <w:pPr>
        <w:ind w:left="340" w:hanging="332"/>
        <w:spacing w:after="0"/>
        <w:tabs>
          <w:tab w:leader="none" w:pos="340" w:val="left"/>
        </w:tabs>
        <w:numPr>
          <w:ilvl w:val="0"/>
          <w:numId w:val="29"/>
        </w:numPr>
        <w:rPr>
          <w:rFonts w:ascii="Arial" w:cs="Arial" w:eastAsia="Arial" w:hAnsi="Arial"/>
          <w:sz w:val="18"/>
          <w:szCs w:val="18"/>
          <w:color w:val="4D4D4F"/>
        </w:rPr>
      </w:pPr>
      <w:r>
        <w:rPr>
          <w:rFonts w:ascii="Arial" w:cs="Arial" w:eastAsia="Arial" w:hAnsi="Arial"/>
          <w:sz w:val="18"/>
          <w:szCs w:val="18"/>
          <w:i w:val="1"/>
          <w:iCs w:val="1"/>
          <w:color w:val="4D4D4F"/>
        </w:rPr>
        <w:t>media.corporate-ir.net/media_files/IROL/25/254659/acm-ac-charter-final.pdf</w:t>
      </w:r>
      <w:r>
        <w:rPr>
          <w:rFonts w:ascii="Arial" w:cs="Arial" w:eastAsia="Arial" w:hAnsi="Arial"/>
          <w:sz w:val="18"/>
          <w:szCs w:val="18"/>
          <w:color w:val="4D4D4F"/>
        </w:rPr>
        <w:t>;</w:t>
      </w:r>
    </w:p>
    <w:p>
      <w:pPr>
        <w:spacing w:after="0" w:line="94" w:lineRule="exact"/>
        <w:rPr>
          <w:rFonts w:ascii="Arial" w:cs="Arial" w:eastAsia="Arial" w:hAnsi="Arial"/>
          <w:sz w:val="18"/>
          <w:szCs w:val="18"/>
          <w:color w:val="4D4D4F"/>
        </w:rPr>
      </w:pPr>
    </w:p>
    <w:p>
      <w:pPr>
        <w:ind w:left="340" w:hanging="332"/>
        <w:spacing w:after="0"/>
        <w:tabs>
          <w:tab w:leader="none" w:pos="340" w:val="left"/>
        </w:tabs>
        <w:numPr>
          <w:ilvl w:val="0"/>
          <w:numId w:val="29"/>
        </w:numPr>
        <w:rPr>
          <w:rFonts w:ascii="Arial" w:cs="Arial" w:eastAsia="Arial" w:hAnsi="Arial"/>
          <w:sz w:val="18"/>
          <w:szCs w:val="18"/>
          <w:color w:val="4D4D4F"/>
        </w:rPr>
      </w:pPr>
      <w:r>
        <w:rPr>
          <w:rFonts w:ascii="Arial" w:cs="Arial" w:eastAsia="Arial" w:hAnsi="Arial"/>
          <w:sz w:val="18"/>
          <w:szCs w:val="18"/>
          <w:color w:val="4D4D4F"/>
        </w:rPr>
        <w:t>the compensation committee charter at:</w:t>
      </w:r>
    </w:p>
    <w:p>
      <w:pPr>
        <w:spacing w:after="0" w:line="72" w:lineRule="exact"/>
        <w:rPr>
          <w:rFonts w:ascii="Arial" w:cs="Arial" w:eastAsia="Arial" w:hAnsi="Arial"/>
          <w:sz w:val="18"/>
          <w:szCs w:val="18"/>
          <w:color w:val="4D4D4F"/>
        </w:rPr>
      </w:pPr>
    </w:p>
    <w:p>
      <w:pPr>
        <w:ind w:left="340" w:hanging="332"/>
        <w:spacing w:after="0"/>
        <w:tabs>
          <w:tab w:leader="none" w:pos="340" w:val="left"/>
        </w:tabs>
        <w:numPr>
          <w:ilvl w:val="0"/>
          <w:numId w:val="29"/>
        </w:numPr>
        <w:rPr>
          <w:rFonts w:ascii="Arial" w:cs="Arial" w:eastAsia="Arial" w:hAnsi="Arial"/>
          <w:sz w:val="18"/>
          <w:szCs w:val="18"/>
          <w:color w:val="4D4D4F"/>
        </w:rPr>
      </w:pPr>
      <w:r>
        <w:rPr>
          <w:rFonts w:ascii="Arial" w:cs="Arial" w:eastAsia="Arial" w:hAnsi="Arial"/>
          <w:sz w:val="18"/>
          <w:szCs w:val="18"/>
          <w:i w:val="1"/>
          <w:iCs w:val="1"/>
          <w:color w:val="4D4D4F"/>
        </w:rPr>
        <w:t>media.corporate-ir.net/media_files/IROL/25/254659/acm-cc-charter-final.pdf</w:t>
      </w:r>
      <w:r>
        <w:rPr>
          <w:rFonts w:ascii="Arial" w:cs="Arial" w:eastAsia="Arial" w:hAnsi="Arial"/>
          <w:sz w:val="18"/>
          <w:szCs w:val="18"/>
          <w:color w:val="4D4D4F"/>
        </w:rPr>
        <w:t>; and</w:t>
      </w:r>
    </w:p>
    <w:p>
      <w:pPr>
        <w:spacing w:after="0" w:line="108" w:lineRule="exact"/>
        <w:rPr>
          <w:rFonts w:ascii="Arial" w:cs="Arial" w:eastAsia="Arial" w:hAnsi="Arial"/>
          <w:sz w:val="18"/>
          <w:szCs w:val="18"/>
          <w:color w:val="4D4D4F"/>
        </w:rPr>
      </w:pPr>
    </w:p>
    <w:p>
      <w:pPr>
        <w:ind w:left="340" w:hanging="332"/>
        <w:spacing w:after="0"/>
        <w:tabs>
          <w:tab w:leader="none" w:pos="340" w:val="left"/>
        </w:tabs>
        <w:numPr>
          <w:ilvl w:val="0"/>
          <w:numId w:val="29"/>
        </w:numPr>
        <w:rPr>
          <w:rFonts w:ascii="Arial" w:cs="Arial" w:eastAsia="Arial" w:hAnsi="Arial"/>
          <w:sz w:val="18"/>
          <w:szCs w:val="18"/>
          <w:color w:val="4D4D4F"/>
        </w:rPr>
      </w:pPr>
      <w:r>
        <w:rPr>
          <w:rFonts w:ascii="Arial" w:cs="Arial" w:eastAsia="Arial" w:hAnsi="Arial"/>
          <w:sz w:val="18"/>
          <w:szCs w:val="18"/>
          <w:color w:val="4D4D4F"/>
        </w:rPr>
        <w:t>the nominating and governance committee charter at:</w:t>
      </w:r>
    </w:p>
    <w:p>
      <w:pPr>
        <w:spacing w:after="0" w:line="76" w:lineRule="exact"/>
        <w:rPr>
          <w:rFonts w:ascii="Arial" w:cs="Arial" w:eastAsia="Arial" w:hAnsi="Arial"/>
          <w:sz w:val="18"/>
          <w:szCs w:val="18"/>
          <w:color w:val="4D4D4F"/>
        </w:rPr>
      </w:pPr>
    </w:p>
    <w:p>
      <w:pPr>
        <w:ind w:left="340" w:hanging="332"/>
        <w:spacing w:after="0"/>
        <w:tabs>
          <w:tab w:leader="none" w:pos="340" w:val="left"/>
        </w:tabs>
        <w:numPr>
          <w:ilvl w:val="0"/>
          <w:numId w:val="29"/>
        </w:numPr>
        <w:rPr>
          <w:rFonts w:ascii="Arial" w:cs="Arial" w:eastAsia="Arial" w:hAnsi="Arial"/>
          <w:sz w:val="18"/>
          <w:szCs w:val="18"/>
          <w:color w:val="4D4D4F"/>
        </w:rPr>
      </w:pPr>
      <w:r>
        <w:rPr>
          <w:rFonts w:ascii="Arial" w:cs="Arial" w:eastAsia="Arial" w:hAnsi="Arial"/>
          <w:sz w:val="18"/>
          <w:szCs w:val="18"/>
          <w:color w:val="4D4D4F"/>
        </w:rPr>
        <w:t>ir.acmrcsh.com/static-files/03f9c6d2-908e-4c59-b7da-8e227707e5a7.</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4D4D4F"/>
        </w:rPr>
        <w:t>The committees have the functions and responsibilities described in the sections below.</w:t>
      </w:r>
    </w:p>
    <w:p>
      <w:pPr>
        <w:spacing w:after="0" w:line="171" w:lineRule="exact"/>
        <w:rPr>
          <w:sz w:val="20"/>
          <w:szCs w:val="20"/>
          <w:color w:val="auto"/>
        </w:rPr>
      </w:pPr>
    </w:p>
    <w:p>
      <w:pPr>
        <w:jc w:val="both"/>
        <w:spacing w:after="0" w:line="206" w:lineRule="exact"/>
        <w:rPr>
          <w:sz w:val="20"/>
          <w:szCs w:val="20"/>
          <w:color w:val="auto"/>
        </w:rPr>
      </w:pPr>
      <w:r>
        <w:rPr>
          <w:rFonts w:ascii="Arial" w:cs="Arial" w:eastAsia="Arial" w:hAnsi="Arial"/>
          <w:sz w:val="18"/>
          <w:szCs w:val="18"/>
          <w:color w:val="4D4D4F"/>
        </w:rPr>
        <w:t>So long as the outstanding shares of Class B common stock represent a majority of the combined voting power of Class A and Class B common stock voting together, all directors will be elected for annual terms and we will not have a classified board. If outstanding shares of Class B common stock represent less than a majority of the combined voting power of common stock at any time, we thereafter will have a classified board consisting of three classes of approximately equal size, each serving staggered three-year terms. Our directors would be allocated by the then</w:t>
      </w:r>
      <w:r>
        <w:rPr>
          <w:rFonts w:ascii="MS PGothic" w:cs="MS PGothic" w:eastAsia="MS PGothic" w:hAnsi="MS PGothic"/>
          <w:sz w:val="18"/>
          <w:szCs w:val="18"/>
          <w:color w:val="4D4D4F"/>
        </w:rPr>
        <w:t>‑</w:t>
      </w:r>
      <w:r>
        <w:rPr>
          <w:rFonts w:ascii="Arial" w:cs="Arial" w:eastAsia="Arial" w:hAnsi="Arial"/>
          <w:sz w:val="18"/>
          <w:szCs w:val="18"/>
          <w:color w:val="4D4D4F"/>
        </w:rPr>
        <w:t>current board among the three classes.</w:t>
      </w:r>
    </w:p>
    <w:p>
      <w:pPr>
        <w:spacing w:after="0" w:line="17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4D4D4F"/>
        </w:rPr>
        <w:t>The board has adopted Communications Policies pursuant to which our Chief Executive Officer, our Chief Financial Officer and their designees are the only individuals authorized to communicate on our behalf with the media, industry and trade organizations, market professionals and stockholders. The Communications Policies were designed to limit the persons whose statements trigger our public disclosure obligations under Regulation FD of the SEC. By limiting the number of spokespersons, the Communications Policies help ensure that all communications to members of the public are made by persons who are fully informed about both our company and the guidelines and risks applicable to external communications, and they reduce the risk of inconsistent statements to the public.</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9" w:name="page20"/>
    <w:bookmarkEnd w:id="19"/>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0079C0"/>
        </w:rPr>
        <w:t>Independence of Directors</w:t>
      </w:r>
    </w:p>
    <w:p>
      <w:pPr>
        <w:spacing w:after="0" w:line="23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4D4D4F"/>
        </w:rPr>
        <w:t>The board of directors must consist of a majority of independent directors not only under the requirements of Nasdaq but also under the Governance Guidelines.</w:t>
      </w:r>
    </w:p>
    <w:p>
      <w:pPr>
        <w:spacing w:after="0" w:line="15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4D4D4F"/>
        </w:rPr>
        <w:t>Under Nasdaq rules, independent directors must comprise a majority of a listed company’s board within twelve months from the date of listing. In addition, Nasdaq rules require that, subject to specified exceptions, each member of a listed company’s audit, compensation, and nominating and governance committees be independent within twelve months from the date of listing. Audit committee members must also satisfy additional independence criteria, including those set forth in Rule 10A-3 under the Securities Exchange Act, and compensation committee members must also satisfy additional independence criteria, including those set forth in Rule 10C-1 of the Securities Exchange Act. Under Nasdaq rules, a director will qualify as an “independent director” only if, in the opinion of that company’s board, that person does not have a relationship that would interfere with the exercise of independent judgment in carrying out the responsibilities of a director. In order to be considered independent for purposes of Rule 10A-3 under the Securities Exchange Act, a member of an audit committee of a listed company may not, other than in his or her capacity as a member of the audit committee, the board or any other board committee: (a) accept, directly or indirectly, any consulting, advisory or other compensatory fee from the listed company or any of its subsidiaries, other than compensation for board service; or (b) be an affiliated person of the listed company or any of its subsidiaries.</w:t>
      </w:r>
    </w:p>
    <w:p>
      <w:pPr>
        <w:spacing w:after="0" w:line="17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4D4D4F"/>
        </w:rPr>
        <w:t>In order to be considered independent for purposes of Rule 10C-1 under the Securities Exchange Act, each member of the compensation committee must be a member of the board of the listed company and must otherwise be independent. In determining independence requirements for members of compensation committees, the national securities exchanges and national securities associations are to consider relevant factors, including: (a) the source of compensation of a member of the board of a listed company, including any consulting, advisory or other compensatory fee paid by the listed company to such member; and (b) whether a member of the board of a listed company is affiliated with the listed company, a subsidiary of the listed company or an affiliate of a subsidiary of the listed company.</w:t>
      </w:r>
    </w:p>
    <w:p>
      <w:pPr>
        <w:spacing w:after="0" w:line="16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4D4D4F"/>
        </w:rPr>
        <w:t xml:space="preserve">The board annually reviews the independence of all non-employee directors. In April 2018 the board established categorical standards consistent with the corporate governance standards of Nasdaq to assist the board in making determinations of the independence of board members. A copy of our Standards for Director Independence is posted on our website at </w:t>
      </w:r>
      <w:r>
        <w:rPr>
          <w:rFonts w:ascii="Arial" w:cs="Arial" w:eastAsia="Arial" w:hAnsi="Arial"/>
          <w:sz w:val="18"/>
          <w:szCs w:val="18"/>
          <w:i w:val="1"/>
          <w:iCs w:val="1"/>
          <w:color w:val="4D4D4F"/>
        </w:rPr>
        <w:t>ir.acmrcsh.com/static-files/4211086b-a968-414e-888d-007c1906489d</w:t>
      </w:r>
      <w:r>
        <w:rPr>
          <w:rFonts w:ascii="Arial" w:cs="Arial" w:eastAsia="Arial" w:hAnsi="Arial"/>
          <w:sz w:val="18"/>
          <w:szCs w:val="18"/>
          <w:color w:val="4D4D4F"/>
        </w:rPr>
        <w:t>. These categorical standards require that, to be independent, a director may not have a material relationship with ACM.</w:t>
      </w:r>
      <w:r>
        <w:rPr>
          <w:rFonts w:ascii="Arial" w:cs="Arial" w:eastAsia="Arial" w:hAnsi="Arial"/>
          <w:sz w:val="18"/>
          <w:szCs w:val="18"/>
          <w:i w:val="1"/>
          <w:iCs w:val="1"/>
          <w:color w:val="4D4D4F"/>
        </w:rPr>
        <w:t xml:space="preserve"> </w:t>
      </w:r>
      <w:r>
        <w:rPr>
          <w:rFonts w:ascii="Arial" w:cs="Arial" w:eastAsia="Arial" w:hAnsi="Arial"/>
          <w:sz w:val="18"/>
          <w:szCs w:val="18"/>
          <w:color w:val="4D4D4F"/>
        </w:rPr>
        <w:t>Even if a director meets all categorical standards for independence, the board reviews other relationships with ACM in order to conclude that each independent director has no material relationship with ACM either directly or indirectly.</w:t>
      </w:r>
    </w:p>
    <w:p>
      <w:pPr>
        <w:spacing w:after="0" w:line="164" w:lineRule="exact"/>
        <w:rPr>
          <w:sz w:val="20"/>
          <w:szCs w:val="20"/>
          <w:color w:val="auto"/>
        </w:rPr>
      </w:pPr>
    </w:p>
    <w:p>
      <w:pPr>
        <w:jc w:val="both"/>
        <w:spacing w:after="0" w:line="205" w:lineRule="exact"/>
        <w:rPr>
          <w:sz w:val="20"/>
          <w:szCs w:val="20"/>
          <w:color w:val="auto"/>
        </w:rPr>
      </w:pPr>
      <w:r>
        <w:rPr>
          <w:rFonts w:ascii="Arial" w:cs="Arial" w:eastAsia="Arial" w:hAnsi="Arial"/>
          <w:sz w:val="18"/>
          <w:szCs w:val="18"/>
          <w:color w:val="4D4D4F"/>
        </w:rPr>
        <w:t>Based upon information requested from and provided by each director nominee concerning the director nominee’s background, employment and affiliations, including family relationships, the board has determined that each of Haiping Dun, Chenming Hu, Tracy Liu and Yinan Xiang qualify as independent directors in accordance with the rules of Nasdaq and Rules 10C-1 and 10A-3 under the Securities Exchange Act. Zhengfan Yang, who is not standing for re</w:t>
      </w:r>
      <w:r>
        <w:rPr>
          <w:rFonts w:ascii="MS PGothic" w:cs="MS PGothic" w:eastAsia="MS PGothic" w:hAnsi="MS PGothic"/>
          <w:sz w:val="18"/>
          <w:szCs w:val="18"/>
          <w:color w:val="4D4D4F"/>
        </w:rPr>
        <w:t>‑</w:t>
      </w:r>
      <w:r>
        <w:rPr>
          <w:rFonts w:ascii="Arial" w:cs="Arial" w:eastAsia="Arial" w:hAnsi="Arial"/>
          <w:sz w:val="18"/>
          <w:szCs w:val="18"/>
          <w:color w:val="4D4D4F"/>
        </w:rPr>
        <w:t>election at the Annual Meeting, also qualified as an independent director in accordance with the rules of Nasdaq and Rules 10C-1 and 10A-3 under the Securities Exchange Act, during his board service. The independent members of the board hold separate regularly scheduled executive session meetings at which only independent directors are present.</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0" w:name="page21"/>
    <w:bookmarkEnd w:id="20"/>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0079C0"/>
        </w:rPr>
        <w:t>Director Nomination Rights</w:t>
      </w:r>
    </w:p>
    <w:p>
      <w:pPr>
        <w:spacing w:after="0" w:line="238" w:lineRule="exact"/>
        <w:rPr>
          <w:sz w:val="20"/>
          <w:szCs w:val="20"/>
          <w:color w:val="auto"/>
        </w:rPr>
      </w:pPr>
    </w:p>
    <w:p>
      <w:pPr>
        <w:jc w:val="both"/>
        <w:spacing w:after="0"/>
        <w:rPr>
          <w:sz w:val="20"/>
          <w:szCs w:val="20"/>
          <w:color w:val="auto"/>
        </w:rPr>
      </w:pPr>
      <w:r>
        <w:rPr>
          <w:rFonts w:ascii="Arial" w:cs="Arial" w:eastAsia="Arial" w:hAnsi="Arial"/>
          <w:sz w:val="18"/>
          <w:szCs w:val="18"/>
          <w:color w:val="4D4D4F"/>
        </w:rPr>
        <w:t>In connection with our sale and issuance of capital stock in 2017, we, and certain other stockholders, entered into a voting agreement with Shanghai S&amp;T Venture Capital (Group) Co. Ltd., or SSTVC, and a nomination and voting agreement with Xinxin (Hongkong) Capital Co., Limited, or Xinxin.</w:t>
      </w:r>
    </w:p>
    <w:p>
      <w:pPr>
        <w:spacing w:after="0" w:line="16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4D4D4F"/>
        </w:rPr>
        <w:t>Pursuant to our voting agreement with SSTVC, SSTVC had the right to designate one individual for nomination to the board of directors. The rights and obligations of the parties under the voting agreement were in effect as long as SSTVC continued to beneficially own all of the 1,666,170 shares of Class A common stock that had been issued to SSTVC. Yinan Xiang was initially designated by SSTVC and was appointed as a member of the board effective upon the completion of our initial public offering in November 2017. In December 2020, SSTVC sold 160,000 shares, as a result of which SSTVC no longer has the right to designate an individual for nomination to the board. Ms. Xiang has been nominated by the board for re-election at the Annual Meeting.</w:t>
      </w:r>
    </w:p>
    <w:p>
      <w:pPr>
        <w:spacing w:after="0" w:line="17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4D4D4F"/>
        </w:rPr>
        <w:t>Pursuant to our nomination and voting agreement with Xinxin, Xinxin has the right to designate one individual for nomination to the board. The rights and obligations of the parties under the nomination and voting agreement will be in effect as long as Xinxin continues to beneficially own 625,000 of the shares of Class A common stock that were issued to Xinxin. In addition, holders who held 60.1% of the voting power of Class A and Class B common stock, voting together, as of the record date of the Annual Meeting, including David Wang, our Chair of the Board, Chief Executive Officer and President, and Haiping Dun, our Lead Director, agreed to vote their shares of common stock for the election of the nominee designated by Xinxin. Zhengfan Yang was initially designated by Xinxin pursuant to the nomination and voting agreement and was appointed as a member of the board in January 2018. Mr. Yang served and will continue to serve as the designee of Xinxin until the Annual Meeting. Neither Mr. Yang nor any other designee of Xinxin will stand for re-election at the Annual Meeting.</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0079C0"/>
        </w:rPr>
        <w:t>Code of Business Conduct</w:t>
      </w:r>
    </w:p>
    <w:p>
      <w:pPr>
        <w:spacing w:after="0" w:line="23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4D4D4F"/>
        </w:rPr>
        <w:t xml:space="preserve">We have a Code of Business Conduct applicable to all directors, officers and employees of ACM Research and its subsidiaries. We have posted the Code of Business Conduct on our website at </w:t>
      </w:r>
      <w:r>
        <w:rPr>
          <w:rFonts w:ascii="Arial" w:cs="Arial" w:eastAsia="Arial" w:hAnsi="Arial"/>
          <w:sz w:val="18"/>
          <w:szCs w:val="18"/>
          <w:i w:val="1"/>
          <w:iCs w:val="1"/>
          <w:color w:val="4D4D4F"/>
        </w:rPr>
        <w:t>ir.acmrcsh.com/static-files/fdff1cd1-dfea-4a25-a8a6-ae2394fa5d53</w:t>
      </w:r>
      <w:r>
        <w:rPr>
          <w:rFonts w:ascii="Arial" w:cs="Arial" w:eastAsia="Arial" w:hAnsi="Arial"/>
          <w:sz w:val="18"/>
          <w:szCs w:val="18"/>
          <w:color w:val="4D4D4F"/>
        </w:rPr>
        <w:t>. We will post any amendments to the Code of Business Conduct on our website. In accordance with the requirements of the SEC and Nasdaq, we will also post waivers applicable to any of our officers or directors from provisions of the Code of Business Conduct on our website. We have not granted any such waivers to date.</w:t>
      </w:r>
    </w:p>
    <w:p>
      <w:pPr>
        <w:spacing w:after="0" w:line="6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4D4D4F"/>
        </w:rPr>
        <w:t>We have implemented whistleblower procedures, which establish format protocols for receiving and handling complaints from employees. Any concerns regarding accounting or auditing matters reported under these procedures are to be communicated promptly to the audit committee of the board of directors. A copy of the whistleblower policy can be viewed on the investor relations portion of our website at https://ir.acmrcsh.com/static-files/3925389c-ac5f-4c8c-8584-53a41e78e4ce.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0079C0"/>
        </w:rPr>
        <w:t>Employee, Officer and Director Hedging</w:t>
      </w:r>
    </w:p>
    <w:p>
      <w:pPr>
        <w:spacing w:after="0" w:line="23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4D4D4F"/>
        </w:rPr>
        <w:t xml:space="preserve">It is our policy that all employees and directors, as well as their family members, must not hedge or pledge our securities they hold directly. An exception to prohibition may be granted where a person wishes to pledge our securities as collateral for a loan, upon approval by our Chief Financial Officer, if certain other conditions are met. The prohibition on hedging is included in our Insider Trading Policy. A copy of our Insider Trading Policy can be viewed on the investor relations portion of our website at </w:t>
      </w:r>
      <w:r>
        <w:rPr>
          <w:rFonts w:ascii="Arial" w:cs="Arial" w:eastAsia="Arial" w:hAnsi="Arial"/>
          <w:sz w:val="18"/>
          <w:szCs w:val="18"/>
          <w:i w:val="1"/>
          <w:iCs w:val="1"/>
          <w:color w:val="4D4D4F"/>
        </w:rPr>
        <w:t>https://ir.acmrcsh.com/static-files/88b7e2ab-7ac4-4f50-8935-1bef66dd52b0</w:t>
      </w:r>
      <w:r>
        <w:rPr>
          <w:rFonts w:ascii="Arial" w:cs="Arial" w:eastAsia="Arial" w:hAnsi="Arial"/>
          <w:sz w:val="18"/>
          <w:szCs w:val="18"/>
          <w:color w:val="4D4D4F"/>
        </w:rPr>
        <w:t>.</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1" w:name="page22"/>
    <w:bookmarkEnd w:id="21"/>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0079C0"/>
        </w:rPr>
        <w:t>Board Oversight of Risk</w:t>
      </w:r>
    </w:p>
    <w:p>
      <w:pPr>
        <w:spacing w:after="0" w:line="23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4D4D4F"/>
        </w:rPr>
        <w:t>The board of directors has responsibility for the oversight of our risk management processes and, either as a whole or through its committees, regularly discusses with management our major risk exposures, their potential impact on our business and the steps we take to manage them. The risk oversight process includes receiving regular reports from board committees and members of senior management to enable the board to understand our risk identification, risk management and risk mitigation strategies with respect to areas of potential material risk, including operations, finance, legal, regulatory, strategic and reputational risk.</w:t>
      </w:r>
    </w:p>
    <w:p>
      <w:pPr>
        <w:spacing w:after="0" w:line="16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4D4D4F"/>
        </w:rPr>
        <w:t>The audit committee of the board reviews information regarding liquidity and operations, and oversees our management of financial risks. Periodically, the audit committee reviews our policies with respect to risk assessment, risk management, loss prevention and regulatory compliance. Oversight by the audit committee includes direct communication with our external auditors, and discussions with management regarding significant risk exposures and the actions management has taken to limit, monitor or control such exposures. The compensation committee is responsible for assessing whether any of our compensation policies or programs has the potential to encourage excessive risk-taking. The nominating and governance committee of the board manages risks associated with the independence of the board, corporate disclosure practices and potential conflicts of interest. While each committee is responsible for evaluating certain risks and overseeing the management of such risks, the entire board is regularly informed through committee reports about such risks.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4D4D4F"/>
        </w:rPr>
        <w:t>Matters of significant strategic risk are considered by the board as a whole.</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0079C0"/>
        </w:rPr>
        <w:t>Board Leadership Structure</w:t>
      </w:r>
    </w:p>
    <w:p>
      <w:pPr>
        <w:spacing w:after="0" w:line="23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4D4D4F"/>
        </w:rPr>
        <w:t>The board of directors recognizes that it is important to determine an optimal board leadership structure to ensure the independent oversight of management as the company continues to grow. We do not have a policy on whether the offices of Chair of the Board and Chief Executive Officer should be separate and, if they are to be separate, whether the Chair of the Board should be selected from among the independent directors or should be an employee. Our board has determined that it is in our best interests to have both a Chair of the Board and a Lead Director. Our board has appointed David Wang, our Chief Executive Officer and President, to serve as Chair of the Board and Haiping Dun, an independent director, to serve as Lead Director. Among other things, the Chair of the Board shall prepare agendas for, and preside over, meetings of the board and the Lead Director shall assist the Chair of the Board in preparing agendas and shall serve as the principal liaison between the Chair of the Board and the other directors. Our board believes that this is the appropriate leadership structure for us at this time and will allow the board to fulfill its role with appropriate independence.</w:t>
      </w:r>
    </w:p>
    <w:p>
      <w:pPr>
        <w:spacing w:after="0" w:line="16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4D4D4F"/>
        </w:rPr>
        <w:t>The board has concluded that our current leadership structure is appropriate at this time. The board will continue to periodically review our leadership structure, however, and may make such changes in the future as it deems appropriate.</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2" w:name="page23"/>
    <w:bookmarkEnd w:id="22"/>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0079C0"/>
        </w:rPr>
        <w:t>Audit Committee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4D4D4F"/>
        </w:rPr>
        <w:t>The principal responsibilities of the audit committee include:</w:t>
      </w:r>
    </w:p>
    <w:p>
      <w:pPr>
        <w:spacing w:after="0" w:line="90"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8"/>
          <w:szCs w:val="18"/>
          <w:color w:val="4D4D4F"/>
        </w:rPr>
      </w:pPr>
      <w:r>
        <w:rPr>
          <w:rFonts w:ascii="Arial" w:cs="Arial" w:eastAsia="Arial" w:hAnsi="Arial"/>
          <w:sz w:val="18"/>
          <w:szCs w:val="18"/>
          <w:color w:val="4D4D4F"/>
        </w:rPr>
        <w:t>appointing, approving the compensation of, and assessing the independence of our registered public accounting firm;</w:t>
      </w:r>
    </w:p>
    <w:p>
      <w:pPr>
        <w:spacing w:after="0" w:line="76" w:lineRule="exact"/>
        <w:rPr>
          <w:rFonts w:ascii="Arial" w:cs="Arial" w:eastAsia="Arial" w:hAnsi="Arial"/>
          <w:sz w:val="18"/>
          <w:szCs w:val="18"/>
          <w:color w:val="4D4D4F"/>
        </w:rPr>
      </w:pPr>
    </w:p>
    <w:p>
      <w:pPr>
        <w:ind w:left="340" w:hanging="332"/>
        <w:spacing w:after="0"/>
        <w:tabs>
          <w:tab w:leader="none" w:pos="340" w:val="left"/>
        </w:tabs>
        <w:numPr>
          <w:ilvl w:val="0"/>
          <w:numId w:val="30"/>
        </w:numPr>
        <w:rPr>
          <w:rFonts w:ascii="Arial" w:cs="Arial" w:eastAsia="Arial" w:hAnsi="Arial"/>
          <w:sz w:val="18"/>
          <w:szCs w:val="18"/>
          <w:color w:val="4D4D4F"/>
        </w:rPr>
      </w:pPr>
      <w:r>
        <w:rPr>
          <w:rFonts w:ascii="Arial" w:cs="Arial" w:eastAsia="Arial" w:hAnsi="Arial"/>
          <w:sz w:val="18"/>
          <w:szCs w:val="18"/>
          <w:color w:val="4D4D4F"/>
        </w:rPr>
        <w:t>overseeing the work of our registered public accounting firm, including through the receipt and consideration of reports from such firm;</w:t>
      </w:r>
    </w:p>
    <w:p>
      <w:pPr>
        <w:spacing w:after="0" w:line="90" w:lineRule="exact"/>
        <w:rPr>
          <w:rFonts w:ascii="Arial" w:cs="Arial" w:eastAsia="Arial" w:hAnsi="Arial"/>
          <w:sz w:val="18"/>
          <w:szCs w:val="18"/>
          <w:color w:val="4D4D4F"/>
        </w:rPr>
      </w:pPr>
    </w:p>
    <w:p>
      <w:pPr>
        <w:ind w:left="340" w:hanging="332"/>
        <w:spacing w:after="0" w:line="246" w:lineRule="auto"/>
        <w:tabs>
          <w:tab w:leader="none" w:pos="340" w:val="left"/>
        </w:tabs>
        <w:numPr>
          <w:ilvl w:val="0"/>
          <w:numId w:val="30"/>
        </w:numPr>
        <w:rPr>
          <w:rFonts w:ascii="Arial" w:cs="Arial" w:eastAsia="Arial" w:hAnsi="Arial"/>
          <w:sz w:val="18"/>
          <w:szCs w:val="18"/>
          <w:color w:val="4D4D4F"/>
        </w:rPr>
      </w:pPr>
      <w:r>
        <w:rPr>
          <w:rFonts w:ascii="Arial" w:cs="Arial" w:eastAsia="Arial" w:hAnsi="Arial"/>
          <w:sz w:val="18"/>
          <w:szCs w:val="18"/>
          <w:color w:val="4D4D4F"/>
        </w:rPr>
        <w:t>reviewing and discussing with management and the registered public accounting firm our annual and quarterly financial statements and related disclosures;</w:t>
      </w:r>
    </w:p>
    <w:p>
      <w:pPr>
        <w:spacing w:after="0" w:line="75" w:lineRule="exact"/>
        <w:rPr>
          <w:rFonts w:ascii="Arial" w:cs="Arial" w:eastAsia="Arial" w:hAnsi="Arial"/>
          <w:sz w:val="18"/>
          <w:szCs w:val="18"/>
          <w:color w:val="4D4D4F"/>
        </w:rPr>
      </w:pPr>
    </w:p>
    <w:p>
      <w:pPr>
        <w:ind w:left="340" w:hanging="332"/>
        <w:spacing w:after="0"/>
        <w:tabs>
          <w:tab w:leader="none" w:pos="340" w:val="left"/>
        </w:tabs>
        <w:numPr>
          <w:ilvl w:val="0"/>
          <w:numId w:val="30"/>
        </w:numPr>
        <w:rPr>
          <w:rFonts w:ascii="Arial" w:cs="Arial" w:eastAsia="Arial" w:hAnsi="Arial"/>
          <w:sz w:val="18"/>
          <w:szCs w:val="18"/>
          <w:color w:val="4D4D4F"/>
        </w:rPr>
      </w:pPr>
      <w:r>
        <w:rPr>
          <w:rFonts w:ascii="Arial" w:cs="Arial" w:eastAsia="Arial" w:hAnsi="Arial"/>
          <w:sz w:val="18"/>
          <w:szCs w:val="18"/>
          <w:color w:val="4D4D4F"/>
        </w:rPr>
        <w:t>monitoring our internal control over financial reporting and our disclosure controls and procedures;</w:t>
      </w:r>
    </w:p>
    <w:p>
      <w:pPr>
        <w:spacing w:after="0" w:line="76" w:lineRule="exact"/>
        <w:rPr>
          <w:rFonts w:ascii="Arial" w:cs="Arial" w:eastAsia="Arial" w:hAnsi="Arial"/>
          <w:sz w:val="18"/>
          <w:szCs w:val="18"/>
          <w:color w:val="4D4D4F"/>
        </w:rPr>
      </w:pPr>
    </w:p>
    <w:p>
      <w:pPr>
        <w:ind w:left="340" w:hanging="332"/>
        <w:spacing w:after="0"/>
        <w:tabs>
          <w:tab w:leader="none" w:pos="340" w:val="left"/>
        </w:tabs>
        <w:numPr>
          <w:ilvl w:val="0"/>
          <w:numId w:val="30"/>
        </w:numPr>
        <w:rPr>
          <w:rFonts w:ascii="Arial" w:cs="Arial" w:eastAsia="Arial" w:hAnsi="Arial"/>
          <w:sz w:val="18"/>
          <w:szCs w:val="18"/>
          <w:color w:val="4D4D4F"/>
        </w:rPr>
      </w:pPr>
      <w:r>
        <w:rPr>
          <w:rFonts w:ascii="Arial" w:cs="Arial" w:eastAsia="Arial" w:hAnsi="Arial"/>
          <w:sz w:val="18"/>
          <w:szCs w:val="18"/>
          <w:color w:val="4D4D4F"/>
        </w:rPr>
        <w:t>meeting independently with our registered public accounting firm and management;</w:t>
      </w:r>
    </w:p>
    <w:p>
      <w:pPr>
        <w:spacing w:after="0" w:line="90" w:lineRule="exact"/>
        <w:rPr>
          <w:rFonts w:ascii="Arial" w:cs="Arial" w:eastAsia="Arial" w:hAnsi="Arial"/>
          <w:sz w:val="18"/>
          <w:szCs w:val="18"/>
          <w:color w:val="4D4D4F"/>
        </w:rPr>
      </w:pPr>
    </w:p>
    <w:p>
      <w:pPr>
        <w:ind w:left="340" w:hanging="332"/>
        <w:spacing w:after="0"/>
        <w:tabs>
          <w:tab w:leader="none" w:pos="340" w:val="left"/>
        </w:tabs>
        <w:numPr>
          <w:ilvl w:val="0"/>
          <w:numId w:val="30"/>
        </w:numPr>
        <w:rPr>
          <w:rFonts w:ascii="Arial" w:cs="Arial" w:eastAsia="Arial" w:hAnsi="Arial"/>
          <w:sz w:val="18"/>
          <w:szCs w:val="18"/>
          <w:color w:val="4D4D4F"/>
        </w:rPr>
      </w:pPr>
      <w:r>
        <w:rPr>
          <w:rFonts w:ascii="Arial" w:cs="Arial" w:eastAsia="Arial" w:hAnsi="Arial"/>
          <w:sz w:val="18"/>
          <w:szCs w:val="18"/>
          <w:color w:val="4D4D4F"/>
        </w:rPr>
        <w:t>furnishing the audit committee report required by SEC rules;</w:t>
      </w:r>
    </w:p>
    <w:p>
      <w:pPr>
        <w:spacing w:after="0" w:line="90" w:lineRule="exact"/>
        <w:rPr>
          <w:rFonts w:ascii="Arial" w:cs="Arial" w:eastAsia="Arial" w:hAnsi="Arial"/>
          <w:sz w:val="18"/>
          <w:szCs w:val="18"/>
          <w:color w:val="4D4D4F"/>
        </w:rPr>
      </w:pPr>
    </w:p>
    <w:p>
      <w:pPr>
        <w:ind w:left="340" w:hanging="332"/>
        <w:spacing w:after="0"/>
        <w:tabs>
          <w:tab w:leader="none" w:pos="340" w:val="left"/>
        </w:tabs>
        <w:numPr>
          <w:ilvl w:val="0"/>
          <w:numId w:val="30"/>
        </w:numPr>
        <w:rPr>
          <w:rFonts w:ascii="Arial" w:cs="Arial" w:eastAsia="Arial" w:hAnsi="Arial"/>
          <w:sz w:val="18"/>
          <w:szCs w:val="18"/>
          <w:color w:val="4D4D4F"/>
        </w:rPr>
      </w:pPr>
      <w:r>
        <w:rPr>
          <w:rFonts w:ascii="Arial" w:cs="Arial" w:eastAsia="Arial" w:hAnsi="Arial"/>
          <w:sz w:val="18"/>
          <w:szCs w:val="18"/>
          <w:color w:val="4D4D4F"/>
        </w:rPr>
        <w:t>reviewing and reassessing the adequacy of our conflict of interest policy; and</w:t>
      </w:r>
    </w:p>
    <w:p>
      <w:pPr>
        <w:spacing w:after="0" w:line="76" w:lineRule="exact"/>
        <w:rPr>
          <w:rFonts w:ascii="Arial" w:cs="Arial" w:eastAsia="Arial" w:hAnsi="Arial"/>
          <w:sz w:val="18"/>
          <w:szCs w:val="18"/>
          <w:color w:val="4D4D4F"/>
        </w:rPr>
      </w:pPr>
    </w:p>
    <w:p>
      <w:pPr>
        <w:ind w:left="340" w:hanging="332"/>
        <w:spacing w:after="0"/>
        <w:tabs>
          <w:tab w:leader="none" w:pos="340" w:val="left"/>
        </w:tabs>
        <w:numPr>
          <w:ilvl w:val="0"/>
          <w:numId w:val="30"/>
        </w:numPr>
        <w:rPr>
          <w:rFonts w:ascii="Arial" w:cs="Arial" w:eastAsia="Arial" w:hAnsi="Arial"/>
          <w:sz w:val="18"/>
          <w:szCs w:val="18"/>
          <w:color w:val="4D4D4F"/>
        </w:rPr>
      </w:pPr>
      <w:r>
        <w:rPr>
          <w:rFonts w:ascii="Arial" w:cs="Arial" w:eastAsia="Arial" w:hAnsi="Arial"/>
          <w:sz w:val="18"/>
          <w:szCs w:val="18"/>
          <w:color w:val="4D4D4F"/>
        </w:rPr>
        <w:t>overseeing our risk assessment and risk management policies.</w:t>
      </w:r>
    </w:p>
    <w:p>
      <w:pPr>
        <w:spacing w:after="0" w:line="9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4D4D4F"/>
        </w:rPr>
        <w:t>Our independent auditor is ultimately accountable to the audit committee. The audit committee has the ultimate authority and responsibility to select, evaluate, approve terms of retention and compensation of, and, where appropriate, replace the independent auditor.</w:t>
      </w:r>
    </w:p>
    <w:p>
      <w:pPr>
        <w:spacing w:after="0" w:line="15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4D4D4F"/>
        </w:rPr>
        <w:t>The current members of the audit committee are Tracy Liu, who serves as chair, Haiping Dun and Yinan Xiang. All three members are standing for re-election at the Annual Meeting. The board has determined that each of the audit committee members is financially literate and is a “non-employee director” as defined in Rule 16b-3 promulgated under the Securities Exchange Act. The board also determined that each of the current members of the audit committee is independent, as defined in the listing standards of Nasdaq, and is an “outside director” as that term is defined in Internal Revenue Code Section 162(m). The board has also determined that Ms. Liu is an audit committee financial expert in accordance with the standards of the SEC.</w:t>
      </w:r>
    </w:p>
    <w:p>
      <w:pPr>
        <w:spacing w:after="0" w:line="178"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4D4D4F"/>
        </w:rPr>
        <w:t>The audit committee held six meetings in 2020. All members attended at least 83% of the total number of audit committee meetings held in 2020.</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3" w:name="page24"/>
    <w:bookmarkEnd w:id="23"/>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0079C0"/>
        </w:rPr>
        <w:t>Nominating and Governance Committee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4D4D4F"/>
        </w:rPr>
        <w:t xml:space="preserve">The principal responsibilities of the </w:t>
      </w:r>
      <w:r>
        <w:rPr>
          <w:rFonts w:ascii="Arial" w:cs="Arial" w:eastAsia="Arial" w:hAnsi="Arial"/>
          <w:sz w:val="18"/>
          <w:szCs w:val="18"/>
          <w:color w:val="595959"/>
        </w:rPr>
        <w:t>nominating and governance committee</w:t>
      </w:r>
      <w:r>
        <w:rPr>
          <w:rFonts w:ascii="Arial" w:cs="Arial" w:eastAsia="Arial" w:hAnsi="Arial"/>
          <w:sz w:val="18"/>
          <w:szCs w:val="18"/>
          <w:color w:val="4D4D4F"/>
        </w:rPr>
        <w:t xml:space="preserve"> include:</w:t>
      </w:r>
    </w:p>
    <w:p>
      <w:pPr>
        <w:spacing w:after="0" w:line="50" w:lineRule="exact"/>
        <w:rPr>
          <w:sz w:val="20"/>
          <w:szCs w:val="20"/>
          <w:color w:val="auto"/>
        </w:rPr>
      </w:pPr>
    </w:p>
    <w:p>
      <w:pPr>
        <w:ind w:left="340" w:right="20" w:hanging="332"/>
        <w:spacing w:after="0" w:line="246" w:lineRule="auto"/>
        <w:tabs>
          <w:tab w:leader="none" w:pos="340" w:val="left"/>
        </w:tabs>
        <w:numPr>
          <w:ilvl w:val="0"/>
          <w:numId w:val="31"/>
        </w:numPr>
        <w:rPr>
          <w:rFonts w:ascii="Arial" w:cs="Arial" w:eastAsia="Arial" w:hAnsi="Arial"/>
          <w:sz w:val="18"/>
          <w:szCs w:val="18"/>
          <w:color w:val="4D4D4F"/>
        </w:rPr>
      </w:pPr>
      <w:r>
        <w:rPr>
          <w:rFonts w:ascii="Arial" w:cs="Arial" w:eastAsia="Arial" w:hAnsi="Arial"/>
          <w:sz w:val="18"/>
          <w:szCs w:val="18"/>
          <w:color w:val="4D4D4F"/>
        </w:rPr>
        <w:t>identifying, evaluating, and making recommendations to the board of directors and our stockholders concerning nominees for election to the board, to each of the board’s committees and as committee chairs;</w:t>
      </w:r>
    </w:p>
    <w:p>
      <w:pPr>
        <w:spacing w:after="0" w:line="75" w:lineRule="exact"/>
        <w:rPr>
          <w:rFonts w:ascii="Arial" w:cs="Arial" w:eastAsia="Arial" w:hAnsi="Arial"/>
          <w:sz w:val="18"/>
          <w:szCs w:val="18"/>
          <w:color w:val="4D4D4F"/>
        </w:rPr>
      </w:pPr>
    </w:p>
    <w:p>
      <w:pPr>
        <w:ind w:left="340" w:hanging="332"/>
        <w:spacing w:after="0"/>
        <w:tabs>
          <w:tab w:leader="none" w:pos="340" w:val="left"/>
        </w:tabs>
        <w:numPr>
          <w:ilvl w:val="0"/>
          <w:numId w:val="31"/>
        </w:numPr>
        <w:rPr>
          <w:rFonts w:ascii="Arial" w:cs="Arial" w:eastAsia="Arial" w:hAnsi="Arial"/>
          <w:sz w:val="18"/>
          <w:szCs w:val="18"/>
          <w:color w:val="4D4D4F"/>
        </w:rPr>
      </w:pPr>
      <w:r>
        <w:rPr>
          <w:rFonts w:ascii="Arial" w:cs="Arial" w:eastAsia="Arial" w:hAnsi="Arial"/>
          <w:sz w:val="18"/>
          <w:szCs w:val="18"/>
          <w:color w:val="4D4D4F"/>
        </w:rPr>
        <w:t>annually reviewing the performance and effectiveness of the board and developing and overseeing a performance evaluation process;</w:t>
      </w:r>
    </w:p>
    <w:p>
      <w:pPr>
        <w:spacing w:after="0" w:line="76" w:lineRule="exact"/>
        <w:rPr>
          <w:rFonts w:ascii="Arial" w:cs="Arial" w:eastAsia="Arial" w:hAnsi="Arial"/>
          <w:sz w:val="18"/>
          <w:szCs w:val="18"/>
          <w:color w:val="4D4D4F"/>
        </w:rPr>
      </w:pPr>
    </w:p>
    <w:p>
      <w:pPr>
        <w:ind w:left="340" w:right="20" w:hanging="332"/>
        <w:spacing w:after="0" w:line="246" w:lineRule="auto"/>
        <w:tabs>
          <w:tab w:leader="none" w:pos="340" w:val="left"/>
        </w:tabs>
        <w:numPr>
          <w:ilvl w:val="0"/>
          <w:numId w:val="31"/>
        </w:numPr>
        <w:rPr>
          <w:rFonts w:ascii="Arial" w:cs="Arial" w:eastAsia="Arial" w:hAnsi="Arial"/>
          <w:sz w:val="18"/>
          <w:szCs w:val="18"/>
          <w:color w:val="4D4D4F"/>
        </w:rPr>
      </w:pPr>
      <w:r>
        <w:rPr>
          <w:rFonts w:ascii="Arial" w:cs="Arial" w:eastAsia="Arial" w:hAnsi="Arial"/>
          <w:sz w:val="18"/>
          <w:szCs w:val="18"/>
          <w:color w:val="4D4D4F"/>
        </w:rPr>
        <w:t>annually evaluating the performance of management, the board and each board committee against their duties and responsibilities relating to corporate governance;</w:t>
      </w:r>
    </w:p>
    <w:p>
      <w:pPr>
        <w:spacing w:after="0" w:line="75" w:lineRule="exact"/>
        <w:rPr>
          <w:rFonts w:ascii="Arial" w:cs="Arial" w:eastAsia="Arial" w:hAnsi="Arial"/>
          <w:sz w:val="18"/>
          <w:szCs w:val="18"/>
          <w:color w:val="4D4D4F"/>
        </w:rPr>
      </w:pPr>
    </w:p>
    <w:p>
      <w:pPr>
        <w:ind w:left="340" w:hanging="332"/>
        <w:spacing w:after="0"/>
        <w:tabs>
          <w:tab w:leader="none" w:pos="340" w:val="left"/>
        </w:tabs>
        <w:numPr>
          <w:ilvl w:val="0"/>
          <w:numId w:val="31"/>
        </w:numPr>
        <w:rPr>
          <w:rFonts w:ascii="Arial" w:cs="Arial" w:eastAsia="Arial" w:hAnsi="Arial"/>
          <w:sz w:val="18"/>
          <w:szCs w:val="18"/>
          <w:color w:val="4D4D4F"/>
        </w:rPr>
      </w:pPr>
      <w:r>
        <w:rPr>
          <w:rFonts w:ascii="Arial" w:cs="Arial" w:eastAsia="Arial" w:hAnsi="Arial"/>
          <w:sz w:val="18"/>
          <w:szCs w:val="18"/>
          <w:color w:val="4D4D4F"/>
        </w:rPr>
        <w:t>annually evaluating adequacy of our corporate governance structure, policies and procedures; and</w:t>
      </w:r>
    </w:p>
    <w:p>
      <w:pPr>
        <w:spacing w:after="0" w:line="90" w:lineRule="exact"/>
        <w:rPr>
          <w:rFonts w:ascii="Arial" w:cs="Arial" w:eastAsia="Arial" w:hAnsi="Arial"/>
          <w:sz w:val="18"/>
          <w:szCs w:val="18"/>
          <w:color w:val="4D4D4F"/>
        </w:rPr>
      </w:pPr>
    </w:p>
    <w:p>
      <w:pPr>
        <w:ind w:left="340" w:hanging="332"/>
        <w:spacing w:after="0"/>
        <w:tabs>
          <w:tab w:leader="none" w:pos="340" w:val="left"/>
        </w:tabs>
        <w:numPr>
          <w:ilvl w:val="0"/>
          <w:numId w:val="31"/>
        </w:numPr>
        <w:rPr>
          <w:rFonts w:ascii="Arial" w:cs="Arial" w:eastAsia="Arial" w:hAnsi="Arial"/>
          <w:sz w:val="18"/>
          <w:szCs w:val="18"/>
          <w:color w:val="4D4D4F"/>
        </w:rPr>
      </w:pPr>
      <w:r>
        <w:rPr>
          <w:rFonts w:ascii="Arial" w:cs="Arial" w:eastAsia="Arial" w:hAnsi="Arial"/>
          <w:sz w:val="18"/>
          <w:szCs w:val="18"/>
          <w:color w:val="4D4D4F"/>
        </w:rPr>
        <w:t>providing reports to the board regarding the committee’s nominations for election to the board and its committees.</w:t>
      </w:r>
    </w:p>
    <w:p>
      <w:pPr>
        <w:spacing w:after="0" w:line="77" w:lineRule="exact"/>
        <w:rPr>
          <w:sz w:val="20"/>
          <w:szCs w:val="20"/>
          <w:color w:val="auto"/>
        </w:rPr>
      </w:pPr>
    </w:p>
    <w:p>
      <w:pPr>
        <w:jc w:val="both"/>
        <w:spacing w:after="0"/>
        <w:rPr>
          <w:sz w:val="20"/>
          <w:szCs w:val="20"/>
          <w:color w:val="auto"/>
        </w:rPr>
      </w:pPr>
      <w:r>
        <w:rPr>
          <w:rFonts w:ascii="Arial" w:cs="Arial" w:eastAsia="Arial" w:hAnsi="Arial"/>
          <w:sz w:val="18"/>
          <w:szCs w:val="18"/>
          <w:color w:val="4D4D4F"/>
        </w:rPr>
        <w:t xml:space="preserve">The current members of the </w:t>
      </w:r>
      <w:r>
        <w:rPr>
          <w:rFonts w:ascii="Arial" w:cs="Arial" w:eastAsia="Arial" w:hAnsi="Arial"/>
          <w:sz w:val="18"/>
          <w:szCs w:val="18"/>
          <w:color w:val="595959"/>
        </w:rPr>
        <w:t>nominating and governance committee</w:t>
      </w:r>
      <w:r>
        <w:rPr>
          <w:rFonts w:ascii="Arial" w:cs="Arial" w:eastAsia="Arial" w:hAnsi="Arial"/>
          <w:sz w:val="18"/>
          <w:szCs w:val="18"/>
          <w:color w:val="4D4D4F"/>
        </w:rPr>
        <w:t xml:space="preserve"> are Chenming Hu, who serves as chair, Tracy Liu, and Zhengfan Yang. Dr. Hu and Ms. Liu are standing for re-election at the Annual Meeting. The board has determined that each of Dr. Hu, Ms. Liu and Mr. Yang is independent, as defined in the listing standards of Nasdaq.</w:t>
      </w:r>
    </w:p>
    <w:p>
      <w:pPr>
        <w:spacing w:after="0" w:line="176" w:lineRule="exact"/>
        <w:rPr>
          <w:sz w:val="20"/>
          <w:szCs w:val="20"/>
          <w:color w:val="auto"/>
        </w:rPr>
      </w:pPr>
    </w:p>
    <w:p>
      <w:pPr>
        <w:jc w:val="both"/>
        <w:spacing w:after="0"/>
        <w:rPr>
          <w:sz w:val="20"/>
          <w:szCs w:val="20"/>
          <w:color w:val="auto"/>
        </w:rPr>
      </w:pPr>
      <w:r>
        <w:rPr>
          <w:rFonts w:ascii="Arial" w:cs="Arial" w:eastAsia="Arial" w:hAnsi="Arial"/>
          <w:sz w:val="18"/>
          <w:szCs w:val="18"/>
          <w:color w:val="4D4D4F"/>
        </w:rPr>
        <w:t xml:space="preserve">The </w:t>
      </w:r>
      <w:r>
        <w:rPr>
          <w:rFonts w:ascii="Arial" w:cs="Arial" w:eastAsia="Arial" w:hAnsi="Arial"/>
          <w:sz w:val="18"/>
          <w:szCs w:val="18"/>
          <w:color w:val="595959"/>
        </w:rPr>
        <w:t>nominating and governance committee</w:t>
      </w:r>
      <w:r>
        <w:rPr>
          <w:rFonts w:ascii="Arial" w:cs="Arial" w:eastAsia="Arial" w:hAnsi="Arial"/>
          <w:sz w:val="18"/>
          <w:szCs w:val="18"/>
          <w:color w:val="4D4D4F"/>
        </w:rPr>
        <w:t xml:space="preserve"> has the sole authority to retain, oversee and terminate any consulting or search firm to be used to identify director candidates or assist in evaluating director compensation and to approve any such firm’s fees and retention terms. The nominating and governance committee held one meeting in 2020, which was attended by all of the members.</w:t>
      </w:r>
    </w:p>
    <w:p>
      <w:pPr>
        <w:spacing w:after="0" w:line="16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4D4D4F"/>
        </w:rPr>
        <w:t xml:space="preserve">The nominating and governance committee will consider director nominees recommended by our stockholders in accordance with our Policy and Procedure for Stockholder Nominations to the Board adopted by the nominating and governance committee and approved by the board in April 2018, a copy of which is posted on our website at </w:t>
      </w:r>
      <w:r>
        <w:rPr>
          <w:rFonts w:ascii="Arial" w:cs="Arial" w:eastAsia="Arial" w:hAnsi="Arial"/>
          <w:sz w:val="18"/>
          <w:szCs w:val="18"/>
          <w:i w:val="1"/>
          <w:iCs w:val="1"/>
          <w:color w:val="4D4D4F"/>
        </w:rPr>
        <w:t>ir.acmrcsh.com/static-files/01b22d4f-d523-4d9e-a1ac-56030666adad</w:t>
      </w:r>
      <w:r>
        <w:rPr>
          <w:rFonts w:ascii="Arial" w:cs="Arial" w:eastAsia="Arial" w:hAnsi="Arial"/>
          <w:sz w:val="18"/>
          <w:szCs w:val="18"/>
          <w:color w:val="4D4D4F"/>
        </w:rPr>
        <w:t>. Recommendations should be submitted to our Corporate Secretary in writing at ACM Research, Inc., 42307 Osgood Road, Suite I, Fremont, California 94539, along with additional required information about the nominee and the stockholder making the recommendation. Information on qualifications for nominations to the board and procedures for stockholder nominations to the board is included below under “Proposal 1. Election of Directors—Director Qualifications” and “—Identifying and Evaluating Nominees for Directors.”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4" w:name="page25"/>
    <w:bookmarkEnd w:id="24"/>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0079C0"/>
        </w:rPr>
        <w:t>Compensation Committee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4D4D4F"/>
        </w:rPr>
        <w:t>The principal responsibilities of the compensation committee include:</w:t>
      </w:r>
    </w:p>
    <w:p>
      <w:pPr>
        <w:spacing w:after="0" w:line="90" w:lineRule="exact"/>
        <w:rPr>
          <w:sz w:val="20"/>
          <w:szCs w:val="20"/>
          <w:color w:val="auto"/>
        </w:rPr>
      </w:pPr>
    </w:p>
    <w:p>
      <w:pPr>
        <w:ind w:left="340" w:right="20" w:hanging="332"/>
        <w:spacing w:after="0" w:line="246" w:lineRule="auto"/>
        <w:tabs>
          <w:tab w:leader="none" w:pos="340" w:val="left"/>
        </w:tabs>
        <w:numPr>
          <w:ilvl w:val="0"/>
          <w:numId w:val="32"/>
        </w:numPr>
        <w:rPr>
          <w:rFonts w:ascii="Arial" w:cs="Arial" w:eastAsia="Arial" w:hAnsi="Arial"/>
          <w:sz w:val="18"/>
          <w:szCs w:val="18"/>
          <w:color w:val="4D4D4F"/>
        </w:rPr>
      </w:pPr>
      <w:r>
        <w:rPr>
          <w:rFonts w:ascii="Arial" w:cs="Arial" w:eastAsia="Arial" w:hAnsi="Arial"/>
          <w:sz w:val="18"/>
          <w:szCs w:val="18"/>
          <w:color w:val="4D4D4F"/>
        </w:rPr>
        <w:t>evaluating the performance of our Chief Executive Officer and determining the Chief Executive Officer’s salary and contingent compensation based on his or her performance and other relevant criteria;</w:t>
      </w:r>
    </w:p>
    <w:p>
      <w:pPr>
        <w:spacing w:after="0" w:line="61" w:lineRule="exact"/>
        <w:rPr>
          <w:rFonts w:ascii="Arial" w:cs="Arial" w:eastAsia="Arial" w:hAnsi="Arial"/>
          <w:sz w:val="18"/>
          <w:szCs w:val="18"/>
          <w:color w:val="4D4D4F"/>
        </w:rPr>
      </w:pPr>
    </w:p>
    <w:p>
      <w:pPr>
        <w:ind w:left="340" w:hanging="332"/>
        <w:spacing w:after="0"/>
        <w:tabs>
          <w:tab w:leader="none" w:pos="340" w:val="left"/>
        </w:tabs>
        <w:numPr>
          <w:ilvl w:val="0"/>
          <w:numId w:val="32"/>
        </w:numPr>
        <w:rPr>
          <w:rFonts w:ascii="Arial" w:cs="Arial" w:eastAsia="Arial" w:hAnsi="Arial"/>
          <w:sz w:val="18"/>
          <w:szCs w:val="18"/>
          <w:color w:val="4D4D4F"/>
        </w:rPr>
      </w:pPr>
      <w:r>
        <w:rPr>
          <w:rFonts w:ascii="Arial" w:cs="Arial" w:eastAsia="Arial" w:hAnsi="Arial"/>
          <w:sz w:val="18"/>
          <w:szCs w:val="18"/>
          <w:color w:val="4D4D4F"/>
        </w:rPr>
        <w:t>identifying the corporate and individual objectives governing the Chief Executive Officer’s compensation;</w:t>
      </w:r>
    </w:p>
    <w:p>
      <w:pPr>
        <w:spacing w:after="0" w:line="90" w:lineRule="exact"/>
        <w:rPr>
          <w:rFonts w:ascii="Arial" w:cs="Arial" w:eastAsia="Arial" w:hAnsi="Arial"/>
          <w:sz w:val="18"/>
          <w:szCs w:val="18"/>
          <w:color w:val="4D4D4F"/>
        </w:rPr>
      </w:pPr>
    </w:p>
    <w:p>
      <w:pPr>
        <w:ind w:left="340" w:hanging="332"/>
        <w:spacing w:after="0"/>
        <w:tabs>
          <w:tab w:leader="none" w:pos="340" w:val="left"/>
        </w:tabs>
        <w:numPr>
          <w:ilvl w:val="0"/>
          <w:numId w:val="32"/>
        </w:numPr>
        <w:rPr>
          <w:rFonts w:ascii="Arial" w:cs="Arial" w:eastAsia="Arial" w:hAnsi="Arial"/>
          <w:sz w:val="18"/>
          <w:szCs w:val="18"/>
          <w:color w:val="4D4D4F"/>
        </w:rPr>
      </w:pPr>
      <w:r>
        <w:rPr>
          <w:rFonts w:ascii="Arial" w:cs="Arial" w:eastAsia="Arial" w:hAnsi="Arial"/>
          <w:sz w:val="18"/>
          <w:szCs w:val="18"/>
          <w:color w:val="4D4D4F"/>
        </w:rPr>
        <w:t>approving the compensation of our other executive officers;</w:t>
      </w:r>
    </w:p>
    <w:p>
      <w:pPr>
        <w:spacing w:after="0" w:line="90" w:lineRule="exact"/>
        <w:rPr>
          <w:rFonts w:ascii="Arial" w:cs="Arial" w:eastAsia="Arial" w:hAnsi="Arial"/>
          <w:sz w:val="18"/>
          <w:szCs w:val="18"/>
          <w:color w:val="4D4D4F"/>
        </w:rPr>
      </w:pPr>
    </w:p>
    <w:p>
      <w:pPr>
        <w:ind w:left="340" w:hanging="332"/>
        <w:spacing w:after="0"/>
        <w:tabs>
          <w:tab w:leader="none" w:pos="340" w:val="left"/>
        </w:tabs>
        <w:numPr>
          <w:ilvl w:val="0"/>
          <w:numId w:val="32"/>
        </w:numPr>
        <w:rPr>
          <w:rFonts w:ascii="Arial" w:cs="Arial" w:eastAsia="Arial" w:hAnsi="Arial"/>
          <w:sz w:val="18"/>
          <w:szCs w:val="18"/>
          <w:color w:val="4D4D4F"/>
        </w:rPr>
      </w:pPr>
      <w:r>
        <w:rPr>
          <w:rFonts w:ascii="Arial" w:cs="Arial" w:eastAsia="Arial" w:hAnsi="Arial"/>
          <w:sz w:val="18"/>
          <w:szCs w:val="18"/>
          <w:color w:val="4D4D4F"/>
        </w:rPr>
        <w:t>making recommendations to the board with respect to director compensation;</w:t>
      </w:r>
    </w:p>
    <w:p>
      <w:pPr>
        <w:spacing w:after="0" w:line="76" w:lineRule="exact"/>
        <w:rPr>
          <w:rFonts w:ascii="Arial" w:cs="Arial" w:eastAsia="Arial" w:hAnsi="Arial"/>
          <w:sz w:val="18"/>
          <w:szCs w:val="18"/>
          <w:color w:val="4D4D4F"/>
        </w:rPr>
      </w:pPr>
    </w:p>
    <w:p>
      <w:pPr>
        <w:ind w:left="340" w:hanging="332"/>
        <w:spacing w:after="0"/>
        <w:tabs>
          <w:tab w:leader="none" w:pos="340" w:val="left"/>
        </w:tabs>
        <w:numPr>
          <w:ilvl w:val="0"/>
          <w:numId w:val="32"/>
        </w:numPr>
        <w:rPr>
          <w:rFonts w:ascii="Arial" w:cs="Arial" w:eastAsia="Arial" w:hAnsi="Arial"/>
          <w:sz w:val="18"/>
          <w:szCs w:val="18"/>
          <w:color w:val="4D4D4F"/>
        </w:rPr>
      </w:pPr>
      <w:r>
        <w:rPr>
          <w:rFonts w:ascii="Arial" w:cs="Arial" w:eastAsia="Arial" w:hAnsi="Arial"/>
          <w:sz w:val="18"/>
          <w:szCs w:val="18"/>
          <w:color w:val="4D4D4F"/>
        </w:rPr>
        <w:t>reviewing and approving the terms of certain material agreements;</w:t>
      </w:r>
    </w:p>
    <w:p>
      <w:pPr>
        <w:spacing w:after="0" w:line="90" w:lineRule="exact"/>
        <w:rPr>
          <w:rFonts w:ascii="Arial" w:cs="Arial" w:eastAsia="Arial" w:hAnsi="Arial"/>
          <w:sz w:val="18"/>
          <w:szCs w:val="18"/>
          <w:color w:val="4D4D4F"/>
        </w:rPr>
      </w:pPr>
    </w:p>
    <w:p>
      <w:pPr>
        <w:ind w:left="340" w:hanging="332"/>
        <w:spacing w:after="0"/>
        <w:tabs>
          <w:tab w:leader="none" w:pos="340" w:val="left"/>
        </w:tabs>
        <w:numPr>
          <w:ilvl w:val="0"/>
          <w:numId w:val="32"/>
        </w:numPr>
        <w:rPr>
          <w:rFonts w:ascii="Arial" w:cs="Arial" w:eastAsia="Arial" w:hAnsi="Arial"/>
          <w:sz w:val="18"/>
          <w:szCs w:val="18"/>
          <w:color w:val="4D4D4F"/>
        </w:rPr>
      </w:pPr>
      <w:r>
        <w:rPr>
          <w:rFonts w:ascii="Arial" w:cs="Arial" w:eastAsia="Arial" w:hAnsi="Arial"/>
          <w:sz w:val="18"/>
          <w:szCs w:val="18"/>
          <w:color w:val="4D4D4F"/>
        </w:rPr>
        <w:t>overseeing and administering our equity incentive plans and employee benefit plans;</w:t>
      </w:r>
    </w:p>
    <w:p>
      <w:pPr>
        <w:spacing w:after="0" w:line="90" w:lineRule="exact"/>
        <w:rPr>
          <w:rFonts w:ascii="Arial" w:cs="Arial" w:eastAsia="Arial" w:hAnsi="Arial"/>
          <w:sz w:val="18"/>
          <w:szCs w:val="18"/>
          <w:color w:val="4D4D4F"/>
        </w:rPr>
      </w:pPr>
    </w:p>
    <w:p>
      <w:pPr>
        <w:ind w:left="340" w:hanging="332"/>
        <w:spacing w:after="0"/>
        <w:tabs>
          <w:tab w:leader="none" w:pos="340" w:val="left"/>
        </w:tabs>
        <w:numPr>
          <w:ilvl w:val="0"/>
          <w:numId w:val="32"/>
        </w:numPr>
        <w:rPr>
          <w:rFonts w:ascii="Arial" w:cs="Arial" w:eastAsia="Arial" w:hAnsi="Arial"/>
          <w:sz w:val="18"/>
          <w:szCs w:val="18"/>
          <w:color w:val="4D4D4F"/>
        </w:rPr>
      </w:pPr>
      <w:r>
        <w:rPr>
          <w:rFonts w:ascii="Arial" w:cs="Arial" w:eastAsia="Arial" w:hAnsi="Arial"/>
          <w:sz w:val="18"/>
          <w:szCs w:val="18"/>
          <w:color w:val="4D4D4F"/>
        </w:rPr>
        <w:t>preparing the annual compensation committee report required by SEC rules; and</w:t>
      </w:r>
    </w:p>
    <w:p>
      <w:pPr>
        <w:spacing w:after="0" w:line="76" w:lineRule="exact"/>
        <w:rPr>
          <w:rFonts w:ascii="Arial" w:cs="Arial" w:eastAsia="Arial" w:hAnsi="Arial"/>
          <w:sz w:val="18"/>
          <w:szCs w:val="18"/>
          <w:color w:val="4D4D4F"/>
        </w:rPr>
      </w:pPr>
    </w:p>
    <w:p>
      <w:pPr>
        <w:ind w:left="340" w:hanging="332"/>
        <w:spacing w:after="0" w:line="246" w:lineRule="auto"/>
        <w:tabs>
          <w:tab w:leader="none" w:pos="340" w:val="left"/>
        </w:tabs>
        <w:numPr>
          <w:ilvl w:val="0"/>
          <w:numId w:val="32"/>
        </w:numPr>
        <w:rPr>
          <w:rFonts w:ascii="Arial" w:cs="Arial" w:eastAsia="Arial" w:hAnsi="Arial"/>
          <w:sz w:val="18"/>
          <w:szCs w:val="18"/>
          <w:color w:val="4D4D4F"/>
        </w:rPr>
      </w:pPr>
      <w:r>
        <w:rPr>
          <w:rFonts w:ascii="Arial" w:cs="Arial" w:eastAsia="Arial" w:hAnsi="Arial"/>
          <w:sz w:val="18"/>
          <w:szCs w:val="18"/>
          <w:color w:val="4D4D4F"/>
        </w:rPr>
        <w:t>conducting a review of executive officer succession planning, as necessary, reporting its findings and recommendations to the board, and working with the board in evaluating potential successors to executive officer positions.</w:t>
      </w:r>
    </w:p>
    <w:p>
      <w:pPr>
        <w:spacing w:after="0" w:line="7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4D4D4F"/>
        </w:rPr>
        <w:t>The current members of the compensation committee are Haiping Dun, who serves as chair, and Tracy Liu. Each of the compensation committee members is standing for re-election at the Annual Meeting. The board has determined that each of Dr. Dun and Ms. Liu is independent, as defined in the listing standards of Nasdaq, is a “non-employee director” as defined in Rule 16b-3 promulgated under the Securities Exchange Act and is an “outside director” as that term is defined in Internal Revenue Code Section 162(m).</w:t>
      </w:r>
    </w:p>
    <w:p>
      <w:pPr>
        <w:spacing w:after="0" w:line="164" w:lineRule="exact"/>
        <w:rPr>
          <w:sz w:val="20"/>
          <w:szCs w:val="20"/>
          <w:color w:val="auto"/>
        </w:rPr>
      </w:pPr>
    </w:p>
    <w:p>
      <w:pPr>
        <w:jc w:val="both"/>
        <w:spacing w:after="0"/>
        <w:rPr>
          <w:sz w:val="20"/>
          <w:szCs w:val="20"/>
          <w:color w:val="auto"/>
        </w:rPr>
      </w:pPr>
      <w:r>
        <w:rPr>
          <w:rFonts w:ascii="Arial" w:cs="Arial" w:eastAsia="Arial" w:hAnsi="Arial"/>
          <w:sz w:val="18"/>
          <w:szCs w:val="18"/>
          <w:color w:val="4D4D4F"/>
        </w:rPr>
        <w:t>The compensation committee held seven meetings in 2020, which were attended by both of the members. The compensation committee has the sole authority to retain, oversee and terminate any compensation consultant to be used to assist in the evaluation of executive compensation and to approve the consultant’s fees and retention terms.</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0079C0"/>
        </w:rPr>
        <w:t>Compensation Committee Interlocks and Insider Participation</w:t>
      </w:r>
    </w:p>
    <w:p>
      <w:pPr>
        <w:spacing w:after="0" w:line="238" w:lineRule="exact"/>
        <w:rPr>
          <w:sz w:val="20"/>
          <w:szCs w:val="20"/>
          <w:color w:val="auto"/>
        </w:rPr>
      </w:pPr>
    </w:p>
    <w:p>
      <w:pPr>
        <w:jc w:val="both"/>
        <w:spacing w:after="0"/>
        <w:rPr>
          <w:sz w:val="20"/>
          <w:szCs w:val="20"/>
          <w:color w:val="auto"/>
        </w:rPr>
      </w:pPr>
      <w:r>
        <w:rPr>
          <w:rFonts w:ascii="Arial" w:cs="Arial" w:eastAsia="Arial" w:hAnsi="Arial"/>
          <w:sz w:val="18"/>
          <w:szCs w:val="18"/>
          <w:color w:val="4D4D4F"/>
        </w:rPr>
        <w:t>During 2020, none of the members of the compensation committee was an officer or employee of our company or our subsidiaries and none of our executive officers served as a member of the board of directors or compensation committee of any entity that has one or more executive officers serving on the board or compensation committee.</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5" w:name="page26"/>
    <w:bookmarkEnd w:id="25"/>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3E64"/>
        </w:rPr>
        <w:t>Certain Relationships and Related-Person Transactions</w:t>
      </w:r>
    </w:p>
    <w:p>
      <w:pPr>
        <w:spacing w:after="0" w:line="309" w:lineRule="exact"/>
        <w:rPr>
          <w:sz w:val="20"/>
          <w:szCs w:val="20"/>
          <w:color w:val="auto"/>
        </w:rPr>
      </w:pPr>
    </w:p>
    <w:p>
      <w:pPr>
        <w:jc w:val="both"/>
        <w:spacing w:after="0"/>
        <w:rPr>
          <w:sz w:val="20"/>
          <w:szCs w:val="20"/>
          <w:color w:val="auto"/>
        </w:rPr>
      </w:pPr>
      <w:r>
        <w:rPr>
          <w:rFonts w:ascii="Arial" w:cs="Arial" w:eastAsia="Arial" w:hAnsi="Arial"/>
          <w:sz w:val="18"/>
          <w:szCs w:val="18"/>
          <w:color w:val="4D4D4F"/>
        </w:rPr>
        <w:t xml:space="preserve">In October 2017 the board of directors adopted a Conflict of Interest Policy applicable to all directors, officers and employees of our company and our subsidiaries. We have posted the Conflict of Interest Policy on our website at </w:t>
      </w:r>
      <w:r>
        <w:rPr>
          <w:rFonts w:ascii="Arial" w:cs="Arial" w:eastAsia="Arial" w:hAnsi="Arial"/>
          <w:sz w:val="18"/>
          <w:szCs w:val="18"/>
          <w:i w:val="1"/>
          <w:iCs w:val="1"/>
          <w:color w:val="4D4D4F"/>
        </w:rPr>
        <w:t>ir.acmrcsh.com/static-files/c9bb9bf0-847b-4f79-b747-bf7e5bb06994</w:t>
      </w:r>
      <w:r>
        <w:rPr>
          <w:rFonts w:ascii="Arial" w:cs="Arial" w:eastAsia="Arial" w:hAnsi="Arial"/>
          <w:sz w:val="18"/>
          <w:szCs w:val="18"/>
          <w:color w:val="4D4D4F"/>
        </w:rPr>
        <w:t>. We will post any amendments to the Conflict of Interest Policy on our website.</w:t>
      </w:r>
    </w:p>
    <w:p>
      <w:pPr>
        <w:spacing w:after="0" w:line="16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4D4D4F"/>
        </w:rPr>
        <w:t>The Conflict of Interest Policy requires each director and executive officer, including their immediate family members, to provide written notice of any potential related-party transaction, defined by the policy to mirror the definition of Item 404 of Regulation S-K of the SEC (with the exception that the policy includes a monetary threshold of $100,000 as opposed to the threshold of $ 120,000 set by Item 404 of Regulation S-K) to the Chair of the Board (or to the Chief Executive Officer if such transaction involves the Chair of the Board, or to the Chief Financial Officer if such transaction involves the Chief Executive Officer), including all information that the Chair of the Board, the Chief Executive Officer or the Chief Financial Officer may request. Upon receiving all relevant information, the board may approve the transaction if it determines that the transaction is in the best interests of, and fair to, us, may require modifications to the transaction to make it acceptable for approval, or may reject it. The board may also establish guidelines for ongoing management of a specific related-party transaction. The policy requires that continuing related-party transactions are reviewed on at least an annual basis. Additionally, the policy requires that all directors and executive officers complete a questionnaire in connection with each of our annual proxy statements, in which they are asked to disclose family relationships and other related-party transactions.</w:t>
      </w:r>
    </w:p>
    <w:p>
      <w:pPr>
        <w:spacing w:after="0" w:line="17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4D4D4F"/>
        </w:rPr>
        <w:t>The following is a description of transactions since January 1, 2018 to which we have been a party, in which the amount involved exceeded or will exceed $ 120,000 and in which any of our directors, executive officers or beneficial owners of more than 5% of any series or class of our preferred or common stock, or an affiliate or immediate family member thereof, had or will have a direct or indirect material interest, other than compensation, termination and change-in-control arrangements. The transactions set forth below were approved by a majority of the board, including a majority of the independent and disinterested members of the board. We believe we have executed all of the transactions set forth below on terms no less favorable to us than we could have obtained from unaffiliated third parties. It is our intention to ensure that all future transactions between us and our officers, directors and principal stockholders and their affiliates are approved by the audit committee and a majority of the members of the board, including a majority of the independent and disinterested members of the board, and are on terms no less favorable to us than those that we could obtain from unaffiliated third parties.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0079C0"/>
        </w:rPr>
        <w:t>Issuance and Exercise of Warrant</w:t>
      </w:r>
    </w:p>
    <w:p>
      <w:pPr>
        <w:spacing w:after="0" w:line="23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4D4D4F"/>
        </w:rPr>
        <w:t>In December 2016 Shengxin (Shanghai) Management Consulting Limited Partnership, or SMC, paid 20,123,500 RMB (approximately $3.0 million as of the date of funding) to our operating subsidiary ACM Research (Shanghai), Inc., or ACM Shanghai, for potential investment pursuant to terms to be subsequently negotiated. SMC is a People’s Republic of China, or PRC, limited partnership owned by Jian Wang and other employees of our subsidiary ACM Shanghai. Jian Wang, who is a limited partner of SMC, is the Chief Executive Officer and President of ACM Shanghai and the brother of our Chief Executive Officer and President David Wang. Until March 31, 2020, Jian Wang also had been the General Partner of SMC, as a result of which, under the rules of the SEC, he had been deemed to beneficially own all of the shares owned by SMC and, as a result, SMC was deemed to be an affiliate of ours.</w:t>
      </w:r>
    </w:p>
    <w:p>
      <w:pPr>
        <w:spacing w:after="0" w:line="162" w:lineRule="exact"/>
        <w:rPr>
          <w:sz w:val="20"/>
          <w:szCs w:val="20"/>
          <w:color w:val="auto"/>
        </w:rPr>
      </w:pPr>
    </w:p>
    <w:p>
      <w:pPr>
        <w:jc w:val="both"/>
        <w:spacing w:after="0"/>
        <w:rPr>
          <w:sz w:val="20"/>
          <w:szCs w:val="20"/>
          <w:color w:val="auto"/>
        </w:rPr>
      </w:pPr>
      <w:r>
        <w:rPr>
          <w:rFonts w:ascii="Arial" w:cs="Arial" w:eastAsia="Arial" w:hAnsi="Arial"/>
          <w:sz w:val="18"/>
          <w:szCs w:val="18"/>
          <w:color w:val="4D4D4F"/>
        </w:rPr>
        <w:t>In March 2017 we issued to SMC a warrant exercisable to purchase 397,502 shares of Class A common stock at a price of $7.50 per share, for a total exercise price of approximately $3.0 million. The warrant was exercisable for cash or on a cashless basis, at the option of SMC, at any time on or before May 17, 2023 to acquire all, but not less than all, of the shares of Class A common stock subject to the warrant.</w:t>
      </w:r>
    </w:p>
    <w:p>
      <w:pPr>
        <w:spacing w:after="0" w:line="16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4D4D4F"/>
        </w:rPr>
        <w:t>In March 2018 we entered into a warrant exercise agreement with ACM Shanghai and SMC pursuant to which SMC exercised the SMC warrant in full by issuance to us of a senior secured promissory note in the principal amount of approximately $3.0 million. We transferred the SMC note to ACM Shanghai, in exchange for an intercompany promissory note issued by ACM Shanghai to us in the principal amount of approximately $3.0 million, or the Intercompany Note. Each of the two notes bore interest at a rate of 3.01% per annum and matured on August 17, 2023. As security for its performance of its obligations under its note, SMC granted to ACM Shanghai a security interest in the 397,502 shares of Class A common stock issued to SMC upon its exercise of the warrant.</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6" w:name="page27"/>
    <w:bookmarkEnd w:id="26"/>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7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4D4D4F"/>
        </w:rPr>
        <w:t>In connection with a follow-on public offering of Class A common stock in August 2019, we agreed to purchase a total of 154,821 of the warrant shares from SMC at a per share price of $13.195, of which (a) $1.2 million was applied to reduce SMC’s obligations to ACM Shanghai under the SMC note, and which we then withheld for our own account and applied to reduce ACM Shanghai’s obligations to us under the Intercompany Note and (b) the remaining $0.9 million was paid to SMC.</w:t>
      </w:r>
    </w:p>
    <w:p>
      <w:pPr>
        <w:spacing w:after="0" w:line="16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4D4D4F"/>
        </w:rPr>
        <w:t>In June 2019 we announced plans to complete over the following three years a listing of shares of ACM Shanghai on the Shanghai Stock Exchange’s new Sci-Tech innovAtion boaRd, known as the STAR Market, and a concurrent initial public offering, which we refer to as the STAR IPO, of ACM Shanghai shares in the PRC. In preparation for the STAR IPO, ACM Shanghai was required to terminate its financial relationship with SMC. In order to facilitate such termination, on April 30, 2020, we entered into two agreements relating to outstanding obligations among our company, ACM Shanghai and SMC. Pursuant to such agreements: (i) ACM Shanghai assigned to us its rights under the SMC note, including the right to receive payment of approximately $1.8 million payable thereunder; (ii) ACM cancelled the outstanding obligation of approximately $1.8 million of ACM Shanghai under the Intercompany Note; (iii) SMC surrendered its remaining 242,681 warrant shares to us; and (iv) in exchange for such 242,681 warrant shares, we agreed to deliver to SMC certain consideration, which we refer to as the SMC Consideration, that we agreed upon with SMC, subject to obtaining certain PRC regulatory approvals. Under the agreements with SMC, if the required approvals are not obtained by December 31, 2023, we would cancel the SMC note as consideration for the 242,681 warrant shares. In a separate transaction in April 2020, ACM Shanghai repaid the remaining $1.8 million of the December 2016 SMC investment in cash.</w:t>
      </w:r>
    </w:p>
    <w:p>
      <w:pPr>
        <w:spacing w:after="0" w:line="17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4D4D4F"/>
        </w:rPr>
        <w:t>On July 29, 2020, we entered into an amended agreement under which, in settlement of the SMC Consideration, we issued to SMC a warrant to purchase 242,681 shares of Class A common stock at a purchase price of $7.50 per share, and we cancelled the SMC note.</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color w:val="0079C0"/>
        </w:rPr>
        <w:t>Director and Executive Compensation and Indemnification Agreements</w:t>
      </w:r>
    </w:p>
    <w:p>
      <w:pPr>
        <w:spacing w:after="0" w:line="23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4D4D4F"/>
        </w:rPr>
        <w:t>Please see “Director Compensation,” “Executive Compensation” and “Compensation Discussion and Analysis” for discussion of the compensation of our non-employee directors and our executive officers.</w:t>
      </w:r>
    </w:p>
    <w:p>
      <w:pPr>
        <w:spacing w:after="0" w:line="15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4D4D4F"/>
        </w:rPr>
        <w:t>We have entered into indemnification agreements with our directors and executive officers. Under these agreements, we agree to indemnify, to the fullest extent permitted by Delaware law (subject to certain limitations), each of director and executive officer against any and all expenses incurred by the director or officer in connection with proceedings because of his or her status as one of our directors or executive officers. In addition, these indemnification agreements provide that, to the fullest extent permitted by Delaware law, we will pay for all expenses incurred by our directors and executive officers in connection with a legal proceeding arising out of their service to us.</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7" w:name="page28"/>
    <w:bookmarkEnd w:id="27"/>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3E64"/>
        </w:rPr>
        <w:t>Director Compensation</w:t>
      </w:r>
    </w:p>
    <w:p>
      <w:pPr>
        <w:spacing w:after="0" w:line="30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4D4D4F"/>
        </w:rPr>
        <w:t>Our director compensation program is intended to enhance our ability to attract, retain and motivate non-employee directors of exceptional ability and to promote the common interest of directors and stockholders in enhancing the value of the common stock. The board of directors reviews director compensation at least annually based on recommendations by the nominating and governance committee. The nominating and governance committee has the sole authority to engage a consulting firm to evaluate director compensation.</w:t>
      </w:r>
    </w:p>
    <w:p>
      <w:pPr>
        <w:spacing w:after="0" w:line="16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4D4D4F"/>
        </w:rPr>
        <w:t>In October 2017 the Board adopted a director compensation policy with respect to the compensation payable to our qualified non-employee directors, which became effective upon the completion of our initial public offering on November 7, 2017. Under this policy, each qualifying non-employee director is eligible to receive compensation for board and committee service consisting of annual cash retainers and equity awards covering Class A common stock. Our qualifying non-employee directors receive the following annual cash retainers for their service:</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4D4D4F"/>
        </w:rPr>
        <w:t>DIRECTOR ANNUAL CASH RETAINERS</w:t>
      </w:r>
    </w:p>
    <w:p>
      <w:pPr>
        <w:spacing w:after="0" w:line="38" w:lineRule="exact"/>
        <w:rPr>
          <w:sz w:val="20"/>
          <w:szCs w:val="20"/>
          <w:color w:val="auto"/>
        </w:rPr>
      </w:pPr>
    </w:p>
    <w:tbl>
      <w:tblPr>
        <w:tblLayout w:type="fixed"/>
        <w:tblInd w:w="2260" w:type="dxa"/>
        <w:tblCellMar>
          <w:top w:w="0" w:type="dxa"/>
          <w:left w:w="0" w:type="dxa"/>
          <w:bottom w:w="0" w:type="dxa"/>
          <w:right w:w="0" w:type="dxa"/>
        </w:tblCellMar>
      </w:tblPr>
      <w:tr>
        <w:trPr>
          <w:trHeight w:val="169"/>
        </w:trPr>
        <w:tc>
          <w:tcPr>
            <w:tcW w:w="5140" w:type="dxa"/>
            <w:vAlign w:val="bottom"/>
            <w:shd w:val="clear" w:color="auto" w:fill="003E64"/>
          </w:tcPr>
          <w:p>
            <w:pPr>
              <w:spacing w:after="0"/>
              <w:rPr>
                <w:sz w:val="20"/>
                <w:szCs w:val="20"/>
                <w:color w:val="auto"/>
              </w:rPr>
            </w:pPr>
            <w:r>
              <w:rPr>
                <w:rFonts w:ascii="Arial" w:cs="Arial" w:eastAsia="Arial" w:hAnsi="Arial"/>
                <w:sz w:val="14"/>
                <w:szCs w:val="14"/>
                <w:b w:val="1"/>
                <w:bCs w:val="1"/>
                <w:color w:val="FFFFFF"/>
              </w:rPr>
              <w:t>Position</w:t>
            </w:r>
          </w:p>
        </w:tc>
        <w:tc>
          <w:tcPr>
            <w:tcW w:w="1600" w:type="dxa"/>
            <w:vAlign w:val="bottom"/>
            <w:shd w:val="clear" w:color="auto" w:fill="003E64"/>
          </w:tcPr>
          <w:p>
            <w:pPr>
              <w:ind w:left="680"/>
              <w:spacing w:after="0"/>
              <w:rPr>
                <w:sz w:val="20"/>
                <w:szCs w:val="20"/>
                <w:color w:val="auto"/>
              </w:rPr>
            </w:pPr>
            <w:r>
              <w:rPr>
                <w:rFonts w:ascii="Arial" w:cs="Arial" w:eastAsia="Arial" w:hAnsi="Arial"/>
                <w:sz w:val="14"/>
                <w:szCs w:val="14"/>
                <w:b w:val="1"/>
                <w:bCs w:val="1"/>
                <w:color w:val="FFFFFF"/>
              </w:rPr>
              <w:t>Retainer</w:t>
            </w:r>
          </w:p>
        </w:tc>
      </w:tr>
      <w:tr>
        <w:trPr>
          <w:trHeight w:val="203"/>
        </w:trPr>
        <w:tc>
          <w:tcPr>
            <w:tcW w:w="5140" w:type="dxa"/>
            <w:vAlign w:val="bottom"/>
          </w:tcPr>
          <w:p>
            <w:pPr>
              <w:spacing w:after="0" w:line="202" w:lineRule="exact"/>
              <w:rPr>
                <w:sz w:val="20"/>
                <w:szCs w:val="20"/>
                <w:color w:val="auto"/>
              </w:rPr>
            </w:pPr>
            <w:r>
              <w:rPr>
                <w:rFonts w:ascii="Arial" w:cs="Arial" w:eastAsia="Arial" w:hAnsi="Arial"/>
                <w:sz w:val="18"/>
                <w:szCs w:val="18"/>
                <w:color w:val="4D4D4F"/>
              </w:rPr>
              <w:t>Lead Director</w:t>
            </w:r>
          </w:p>
        </w:tc>
        <w:tc>
          <w:tcPr>
            <w:tcW w:w="1600" w:type="dxa"/>
            <w:vAlign w:val="bottom"/>
          </w:tcPr>
          <w:p>
            <w:pPr>
              <w:jc w:val="center"/>
              <w:ind w:left="232"/>
              <w:spacing w:after="0" w:line="202" w:lineRule="exact"/>
              <w:rPr>
                <w:sz w:val="20"/>
                <w:szCs w:val="20"/>
                <w:color w:val="auto"/>
              </w:rPr>
            </w:pPr>
            <w:r>
              <w:rPr>
                <w:rFonts w:ascii="Arial" w:cs="Arial" w:eastAsia="Arial" w:hAnsi="Arial"/>
                <w:sz w:val="18"/>
                <w:szCs w:val="18"/>
                <w:color w:val="4D4D4F"/>
                <w:w w:val="98"/>
              </w:rPr>
              <w:t>$20,000</w:t>
            </w:r>
          </w:p>
        </w:tc>
      </w:tr>
      <w:tr>
        <w:trPr>
          <w:trHeight w:val="203"/>
        </w:trPr>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4D4D4F"/>
              </w:rPr>
              <w:t>Other Directors</w:t>
            </w:r>
          </w:p>
        </w:tc>
        <w:tc>
          <w:tcPr>
            <w:tcW w:w="1600" w:type="dxa"/>
            <w:vAlign w:val="bottom"/>
            <w:shd w:val="clear" w:color="auto" w:fill="CCEEFF"/>
          </w:tcPr>
          <w:p>
            <w:pPr>
              <w:jc w:val="center"/>
              <w:ind w:left="232"/>
              <w:spacing w:after="0" w:line="202" w:lineRule="exact"/>
              <w:rPr>
                <w:sz w:val="20"/>
                <w:szCs w:val="20"/>
                <w:color w:val="auto"/>
              </w:rPr>
            </w:pPr>
            <w:r>
              <w:rPr>
                <w:rFonts w:ascii="Arial" w:cs="Arial" w:eastAsia="Arial" w:hAnsi="Arial"/>
                <w:sz w:val="18"/>
                <w:szCs w:val="18"/>
                <w:color w:val="4D4D4F"/>
              </w:rPr>
              <w:t>15,000</w:t>
            </w:r>
          </w:p>
        </w:tc>
      </w:tr>
      <w:tr>
        <w:trPr>
          <w:trHeight w:val="203"/>
        </w:trPr>
        <w:tc>
          <w:tcPr>
            <w:tcW w:w="5140" w:type="dxa"/>
            <w:vAlign w:val="bottom"/>
          </w:tcPr>
          <w:p>
            <w:pPr>
              <w:spacing w:after="0" w:line="202" w:lineRule="exact"/>
              <w:rPr>
                <w:sz w:val="20"/>
                <w:szCs w:val="20"/>
                <w:color w:val="auto"/>
              </w:rPr>
            </w:pPr>
            <w:r>
              <w:rPr>
                <w:rFonts w:ascii="Arial" w:cs="Arial" w:eastAsia="Arial" w:hAnsi="Arial"/>
                <w:sz w:val="18"/>
                <w:szCs w:val="18"/>
                <w:color w:val="4D4D4F"/>
              </w:rPr>
              <w:t>Audit Committee Chair</w:t>
            </w:r>
          </w:p>
        </w:tc>
        <w:tc>
          <w:tcPr>
            <w:tcW w:w="1600" w:type="dxa"/>
            <w:vAlign w:val="bottom"/>
          </w:tcPr>
          <w:p>
            <w:pPr>
              <w:jc w:val="center"/>
              <w:ind w:left="232"/>
              <w:spacing w:after="0" w:line="202" w:lineRule="exact"/>
              <w:rPr>
                <w:sz w:val="20"/>
                <w:szCs w:val="20"/>
                <w:color w:val="auto"/>
              </w:rPr>
            </w:pPr>
            <w:r>
              <w:rPr>
                <w:rFonts w:ascii="Arial" w:cs="Arial" w:eastAsia="Arial" w:hAnsi="Arial"/>
                <w:sz w:val="18"/>
                <w:szCs w:val="18"/>
                <w:color w:val="4D4D4F"/>
                <w:w w:val="97"/>
              </w:rPr>
              <w:t>4,000</w:t>
            </w:r>
          </w:p>
        </w:tc>
      </w:tr>
      <w:tr>
        <w:trPr>
          <w:trHeight w:val="203"/>
        </w:trPr>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4D4D4F"/>
              </w:rPr>
              <w:t>Other Audit Committee Members</w:t>
            </w:r>
          </w:p>
        </w:tc>
        <w:tc>
          <w:tcPr>
            <w:tcW w:w="1600" w:type="dxa"/>
            <w:vAlign w:val="bottom"/>
            <w:shd w:val="clear" w:color="auto" w:fill="CCEEFF"/>
          </w:tcPr>
          <w:p>
            <w:pPr>
              <w:jc w:val="center"/>
              <w:ind w:left="232"/>
              <w:spacing w:after="0" w:line="202" w:lineRule="exact"/>
              <w:rPr>
                <w:sz w:val="20"/>
                <w:szCs w:val="20"/>
                <w:color w:val="auto"/>
              </w:rPr>
            </w:pPr>
            <w:r>
              <w:rPr>
                <w:rFonts w:ascii="Arial" w:cs="Arial" w:eastAsia="Arial" w:hAnsi="Arial"/>
                <w:sz w:val="18"/>
                <w:szCs w:val="18"/>
                <w:color w:val="4D4D4F"/>
                <w:w w:val="97"/>
              </w:rPr>
              <w:t>3,000</w:t>
            </w:r>
          </w:p>
        </w:tc>
      </w:tr>
      <w:tr>
        <w:trPr>
          <w:trHeight w:val="203"/>
        </w:trPr>
        <w:tc>
          <w:tcPr>
            <w:tcW w:w="5140" w:type="dxa"/>
            <w:vAlign w:val="bottom"/>
          </w:tcPr>
          <w:p>
            <w:pPr>
              <w:spacing w:after="0" w:line="202" w:lineRule="exact"/>
              <w:rPr>
                <w:sz w:val="20"/>
                <w:szCs w:val="20"/>
                <w:color w:val="auto"/>
              </w:rPr>
            </w:pPr>
            <w:r>
              <w:rPr>
                <w:rFonts w:ascii="Arial" w:cs="Arial" w:eastAsia="Arial" w:hAnsi="Arial"/>
                <w:sz w:val="18"/>
                <w:szCs w:val="18"/>
                <w:color w:val="4D4D4F"/>
              </w:rPr>
              <w:t>Compensation Committee Chair</w:t>
            </w:r>
          </w:p>
        </w:tc>
        <w:tc>
          <w:tcPr>
            <w:tcW w:w="1600" w:type="dxa"/>
            <w:vAlign w:val="bottom"/>
          </w:tcPr>
          <w:p>
            <w:pPr>
              <w:jc w:val="center"/>
              <w:ind w:left="232"/>
              <w:spacing w:after="0" w:line="202" w:lineRule="exact"/>
              <w:rPr>
                <w:sz w:val="20"/>
                <w:szCs w:val="20"/>
                <w:color w:val="auto"/>
              </w:rPr>
            </w:pPr>
            <w:r>
              <w:rPr>
                <w:rFonts w:ascii="Arial" w:cs="Arial" w:eastAsia="Arial" w:hAnsi="Arial"/>
                <w:sz w:val="18"/>
                <w:szCs w:val="18"/>
                <w:color w:val="4D4D4F"/>
                <w:w w:val="97"/>
              </w:rPr>
              <w:t>4,000</w:t>
            </w:r>
          </w:p>
        </w:tc>
      </w:tr>
      <w:tr>
        <w:trPr>
          <w:trHeight w:val="203"/>
        </w:trPr>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4D4D4F"/>
              </w:rPr>
              <w:t>Other Compensation Committee Members</w:t>
            </w:r>
          </w:p>
        </w:tc>
        <w:tc>
          <w:tcPr>
            <w:tcW w:w="1600" w:type="dxa"/>
            <w:vAlign w:val="bottom"/>
            <w:shd w:val="clear" w:color="auto" w:fill="CCEEFF"/>
          </w:tcPr>
          <w:p>
            <w:pPr>
              <w:jc w:val="center"/>
              <w:ind w:left="232"/>
              <w:spacing w:after="0" w:line="202" w:lineRule="exact"/>
              <w:rPr>
                <w:sz w:val="20"/>
                <w:szCs w:val="20"/>
                <w:color w:val="auto"/>
              </w:rPr>
            </w:pPr>
            <w:r>
              <w:rPr>
                <w:rFonts w:ascii="Arial" w:cs="Arial" w:eastAsia="Arial" w:hAnsi="Arial"/>
                <w:sz w:val="18"/>
                <w:szCs w:val="18"/>
                <w:color w:val="4D4D4F"/>
                <w:w w:val="97"/>
              </w:rPr>
              <w:t>3,000</w:t>
            </w:r>
          </w:p>
        </w:tc>
      </w:tr>
      <w:tr>
        <w:trPr>
          <w:trHeight w:val="203"/>
        </w:trPr>
        <w:tc>
          <w:tcPr>
            <w:tcW w:w="5140" w:type="dxa"/>
            <w:vAlign w:val="bottom"/>
          </w:tcPr>
          <w:p>
            <w:pPr>
              <w:spacing w:after="0" w:line="202" w:lineRule="exact"/>
              <w:rPr>
                <w:sz w:val="20"/>
                <w:szCs w:val="20"/>
                <w:color w:val="auto"/>
              </w:rPr>
            </w:pPr>
            <w:r>
              <w:rPr>
                <w:rFonts w:ascii="Arial" w:cs="Arial" w:eastAsia="Arial" w:hAnsi="Arial"/>
                <w:sz w:val="18"/>
                <w:szCs w:val="18"/>
                <w:color w:val="4D4D4F"/>
              </w:rPr>
              <w:t>Nominating and Governance Committee Chair</w:t>
            </w:r>
          </w:p>
        </w:tc>
        <w:tc>
          <w:tcPr>
            <w:tcW w:w="1600" w:type="dxa"/>
            <w:vAlign w:val="bottom"/>
          </w:tcPr>
          <w:p>
            <w:pPr>
              <w:jc w:val="center"/>
              <w:ind w:left="232"/>
              <w:spacing w:after="0" w:line="202" w:lineRule="exact"/>
              <w:rPr>
                <w:sz w:val="20"/>
                <w:szCs w:val="20"/>
                <w:color w:val="auto"/>
              </w:rPr>
            </w:pPr>
            <w:r>
              <w:rPr>
                <w:rFonts w:ascii="Arial" w:cs="Arial" w:eastAsia="Arial" w:hAnsi="Arial"/>
                <w:sz w:val="18"/>
                <w:szCs w:val="18"/>
                <w:color w:val="4D4D4F"/>
                <w:w w:val="97"/>
              </w:rPr>
              <w:t>4,000</w:t>
            </w:r>
          </w:p>
        </w:tc>
      </w:tr>
      <w:tr>
        <w:trPr>
          <w:trHeight w:val="202"/>
        </w:trPr>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4D4D4F"/>
              </w:rPr>
              <w:t>Other Nominating and Governance Committee Members</w:t>
            </w:r>
          </w:p>
        </w:tc>
        <w:tc>
          <w:tcPr>
            <w:tcW w:w="1600" w:type="dxa"/>
            <w:vAlign w:val="bottom"/>
            <w:shd w:val="clear" w:color="auto" w:fill="CCEEFF"/>
          </w:tcPr>
          <w:p>
            <w:pPr>
              <w:jc w:val="center"/>
              <w:ind w:left="232"/>
              <w:spacing w:after="0" w:line="202" w:lineRule="exact"/>
              <w:rPr>
                <w:sz w:val="20"/>
                <w:szCs w:val="20"/>
                <w:color w:val="auto"/>
              </w:rPr>
            </w:pPr>
            <w:r>
              <w:rPr>
                <w:rFonts w:ascii="Arial" w:cs="Arial" w:eastAsia="Arial" w:hAnsi="Arial"/>
                <w:sz w:val="18"/>
                <w:szCs w:val="18"/>
                <w:color w:val="4D4D4F"/>
                <w:w w:val="97"/>
              </w:rPr>
              <w:t>3,000</w:t>
            </w:r>
          </w:p>
        </w:tc>
      </w:tr>
    </w:tbl>
    <w:p>
      <w:pPr>
        <w:spacing w:after="0" w:line="175" w:lineRule="exact"/>
        <w:rPr>
          <w:sz w:val="20"/>
          <w:szCs w:val="20"/>
          <w:color w:val="auto"/>
        </w:rPr>
      </w:pPr>
    </w:p>
    <w:p>
      <w:pPr>
        <w:jc w:val="both"/>
        <w:spacing w:after="0" w:line="204" w:lineRule="exact"/>
        <w:rPr>
          <w:sz w:val="20"/>
          <w:szCs w:val="20"/>
          <w:color w:val="auto"/>
        </w:rPr>
      </w:pPr>
      <w:r>
        <w:rPr>
          <w:rFonts w:ascii="Arial" w:cs="Arial" w:eastAsia="Arial" w:hAnsi="Arial"/>
          <w:sz w:val="18"/>
          <w:szCs w:val="18"/>
          <w:color w:val="4D4D4F"/>
        </w:rPr>
        <w:t>The director compensation policy generally contemplates that each director will receive $75,000 in restricted stock units upon his or her initial election to the board. These restricted stock units are subject to vesting contingent upon continued board service through the following year’s annual meeting of stockholders. Additionally, on the date of each annual meeting of stockholders, each director who (a) is not a designee nominated to the board pursuant to existing agreements to which ACM is a party and (b) is continuing his or her board service following the date of the then</w:t>
      </w:r>
      <w:r>
        <w:rPr>
          <w:rFonts w:ascii="MS PGothic" w:cs="MS PGothic" w:eastAsia="MS PGothic" w:hAnsi="MS PGothic"/>
          <w:sz w:val="18"/>
          <w:szCs w:val="18"/>
          <w:color w:val="4D4D4F"/>
        </w:rPr>
        <w:t>‑</w:t>
      </w:r>
      <w:r>
        <w:rPr>
          <w:rFonts w:ascii="Arial" w:cs="Arial" w:eastAsia="Arial" w:hAnsi="Arial"/>
          <w:sz w:val="18"/>
          <w:szCs w:val="18"/>
          <w:color w:val="4D4D4F"/>
        </w:rPr>
        <w:t>current annual meeting of stockholders, receives $ 35,000 in restricted stock units, subject to vesting contingent upon continued board service through the following year’s annual meeting of stockholders. Directors may be reimbursed for reasonable out-of-pocket expenses incurred in attending board and committee meetings. Pursuant to the terms of the director compensation policy, Dr. Dun was eligible to receive this annual equity compensation in 2019. Ms. Liu was eligible to receive her annual equity compensation in 2020. Dr. Hu will be eligible beginning on the date of the Annual Meeting. With respect to the years ended December 31, 2018, 2019 and 2020, the board did not grant the equity awards contemplated by the director compensation policy.</w:t>
      </w:r>
    </w:p>
    <w:p>
      <w:pPr>
        <w:spacing w:after="0" w:line="17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4D4D4F"/>
        </w:rPr>
        <w:t>To date and continuing until the Annual Meeting, neither Ms. Xiang nor Mr. Yang has been qualified to receive annual cash retainers or annual equity compensation in accordance with the director compensation policy, because each was designated for nomination to the board pursuant to an agreement, as described under “Corporate Governance—Director Nomination Rights.” Ms. Xiang has agreed that if she is re-elected at the Annual Meeting, she will not receive annual cash retainers or annual equity compensation in connection with her board service. Mr. Yang is not standing for re-election at the Annual Meeting.</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8" w:name="page29"/>
    <w:bookmarkEnd w:id="28"/>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71" w:lineRule="exact"/>
        <w:rPr>
          <w:sz w:val="20"/>
          <w:szCs w:val="20"/>
          <w:color w:val="auto"/>
        </w:rPr>
      </w:pPr>
    </w:p>
    <w:p>
      <w:pPr>
        <w:spacing w:after="0" w:line="246" w:lineRule="auto"/>
        <w:rPr>
          <w:sz w:val="20"/>
          <w:szCs w:val="20"/>
          <w:color w:val="auto"/>
        </w:rPr>
      </w:pPr>
      <w:r>
        <w:rPr>
          <w:rFonts w:ascii="Arial" w:cs="Arial" w:eastAsia="Arial" w:hAnsi="Arial"/>
          <w:sz w:val="18"/>
          <w:szCs w:val="18"/>
          <w:color w:val="4D4D4F"/>
        </w:rPr>
        <w:t>The following table shows the total compensation for non-employee directors during 2020. David Wang, our sole executive officer who served as a member of the board during 2020, did not receive any additional compensation for such service as a director.</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4D4D4F"/>
        </w:rPr>
        <w:t>2020 DIRECTOR COMPENSATION</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820" w:type="dxa"/>
            <w:vAlign w:val="bottom"/>
            <w:tcBorders>
              <w:top w:val="single" w:sz="8" w:color="auto"/>
            </w:tcBorders>
            <w:shd w:val="clear" w:color="auto" w:fill="003E64"/>
          </w:tcPr>
          <w:p>
            <w:pPr>
              <w:spacing w:after="0"/>
              <w:rPr>
                <w:sz w:val="15"/>
                <w:szCs w:val="15"/>
                <w:color w:val="auto"/>
              </w:rPr>
            </w:pPr>
          </w:p>
        </w:tc>
        <w:tc>
          <w:tcPr>
            <w:tcW w:w="2640" w:type="dxa"/>
            <w:vAlign w:val="bottom"/>
            <w:tcBorders>
              <w:top w:val="single" w:sz="8" w:color="auto"/>
            </w:tcBorders>
            <w:shd w:val="clear" w:color="auto" w:fill="003E64"/>
          </w:tcPr>
          <w:p>
            <w:pPr>
              <w:ind w:left="1240"/>
              <w:spacing w:after="0"/>
              <w:rPr>
                <w:sz w:val="20"/>
                <w:szCs w:val="20"/>
                <w:color w:val="auto"/>
              </w:rPr>
            </w:pPr>
            <w:r>
              <w:rPr>
                <w:rFonts w:ascii="Arial" w:cs="Arial" w:eastAsia="Arial" w:hAnsi="Arial"/>
                <w:sz w:val="14"/>
                <w:szCs w:val="14"/>
                <w:b w:val="1"/>
                <w:bCs w:val="1"/>
                <w:color w:val="FFFFFF"/>
              </w:rPr>
              <w:t>Fees Earned or</w:t>
            </w:r>
          </w:p>
        </w:tc>
        <w:tc>
          <w:tcPr>
            <w:tcW w:w="2000" w:type="dxa"/>
            <w:vAlign w:val="bottom"/>
            <w:tcBorders>
              <w:top w:val="single" w:sz="8" w:color="auto"/>
            </w:tcBorders>
            <w:shd w:val="clear" w:color="auto" w:fill="003E64"/>
          </w:tcPr>
          <w:p>
            <w:pPr>
              <w:spacing w:after="0"/>
              <w:rPr>
                <w:sz w:val="15"/>
                <w:szCs w:val="15"/>
                <w:color w:val="auto"/>
              </w:rPr>
            </w:pPr>
          </w:p>
        </w:tc>
        <w:tc>
          <w:tcPr>
            <w:tcW w:w="1980" w:type="dxa"/>
            <w:vAlign w:val="bottom"/>
            <w:tcBorders>
              <w:top w:val="single" w:sz="8" w:color="auto"/>
            </w:tcBorders>
            <w:shd w:val="clear" w:color="auto" w:fill="003E64"/>
          </w:tcPr>
          <w:p>
            <w:pPr>
              <w:jc w:val="center"/>
              <w:ind w:right="55"/>
              <w:spacing w:after="0"/>
              <w:rPr>
                <w:sz w:val="20"/>
                <w:szCs w:val="20"/>
                <w:color w:val="auto"/>
              </w:rPr>
            </w:pPr>
            <w:r>
              <w:rPr>
                <w:rFonts w:ascii="Arial" w:cs="Arial" w:eastAsia="Arial" w:hAnsi="Arial"/>
                <w:sz w:val="14"/>
                <w:szCs w:val="14"/>
                <w:b w:val="1"/>
                <w:bCs w:val="1"/>
                <w:color w:val="FFFFFF"/>
              </w:rPr>
              <w:t>All Other</w:t>
            </w:r>
          </w:p>
        </w:tc>
        <w:tc>
          <w:tcPr>
            <w:tcW w:w="1800" w:type="dxa"/>
            <w:vAlign w:val="bottom"/>
            <w:tcBorders>
              <w:top w:val="single" w:sz="8" w:color="auto"/>
            </w:tcBorders>
            <w:shd w:val="clear" w:color="auto" w:fill="003E64"/>
          </w:tcPr>
          <w:p>
            <w:pPr>
              <w:spacing w:after="0"/>
              <w:rPr>
                <w:sz w:val="15"/>
                <w:szCs w:val="15"/>
                <w:color w:val="auto"/>
              </w:rPr>
            </w:pPr>
          </w:p>
        </w:tc>
      </w:tr>
      <w:tr>
        <w:trPr>
          <w:trHeight w:val="209"/>
        </w:trPr>
        <w:tc>
          <w:tcPr>
            <w:tcW w:w="2820" w:type="dxa"/>
            <w:vAlign w:val="bottom"/>
            <w:tcBorders>
              <w:bottom w:val="single" w:sz="8" w:color="auto"/>
            </w:tcBorders>
            <w:shd w:val="clear" w:color="auto" w:fill="003E64"/>
          </w:tcPr>
          <w:p>
            <w:pPr>
              <w:ind w:left="40"/>
              <w:spacing w:after="0"/>
              <w:rPr>
                <w:sz w:val="20"/>
                <w:szCs w:val="20"/>
                <w:color w:val="auto"/>
              </w:rPr>
            </w:pPr>
            <w:r>
              <w:rPr>
                <w:rFonts w:ascii="Arial" w:cs="Arial" w:eastAsia="Arial" w:hAnsi="Arial"/>
                <w:sz w:val="14"/>
                <w:szCs w:val="14"/>
                <w:b w:val="1"/>
                <w:bCs w:val="1"/>
                <w:color w:val="FFFFFF"/>
              </w:rPr>
              <w:t>Director</w:t>
            </w:r>
          </w:p>
        </w:tc>
        <w:tc>
          <w:tcPr>
            <w:tcW w:w="2640" w:type="dxa"/>
            <w:vAlign w:val="bottom"/>
            <w:tcBorders>
              <w:bottom w:val="single" w:sz="8" w:color="auto"/>
            </w:tcBorders>
            <w:shd w:val="clear" w:color="auto" w:fill="003E64"/>
          </w:tcPr>
          <w:p>
            <w:pPr>
              <w:ind w:left="1240"/>
              <w:spacing w:after="0"/>
              <w:rPr>
                <w:sz w:val="20"/>
                <w:szCs w:val="20"/>
                <w:color w:val="auto"/>
              </w:rPr>
            </w:pPr>
            <w:r>
              <w:rPr>
                <w:rFonts w:ascii="Arial" w:cs="Arial" w:eastAsia="Arial" w:hAnsi="Arial"/>
                <w:sz w:val="14"/>
                <w:szCs w:val="14"/>
                <w:b w:val="1"/>
                <w:bCs w:val="1"/>
                <w:color w:val="FFFFFF"/>
              </w:rPr>
              <w:t>Paid in Cash($)</w:t>
            </w:r>
          </w:p>
        </w:tc>
        <w:tc>
          <w:tcPr>
            <w:tcW w:w="2000" w:type="dxa"/>
            <w:vAlign w:val="bottom"/>
            <w:tcBorders>
              <w:bottom w:val="single" w:sz="8" w:color="auto"/>
            </w:tcBorders>
            <w:shd w:val="clear" w:color="auto" w:fill="003E64"/>
          </w:tcPr>
          <w:p>
            <w:pPr>
              <w:ind w:left="380"/>
              <w:spacing w:after="0"/>
              <w:rPr>
                <w:sz w:val="20"/>
                <w:szCs w:val="20"/>
                <w:color w:val="auto"/>
              </w:rPr>
            </w:pPr>
            <w:r>
              <w:rPr>
                <w:rFonts w:ascii="Arial" w:cs="Arial" w:eastAsia="Arial" w:hAnsi="Arial"/>
                <w:sz w:val="14"/>
                <w:szCs w:val="14"/>
                <w:b w:val="1"/>
                <w:bCs w:val="1"/>
                <w:color w:val="FFFFFF"/>
              </w:rPr>
              <w:t>Stock Awards($)(1)</w:t>
            </w:r>
          </w:p>
        </w:tc>
        <w:tc>
          <w:tcPr>
            <w:tcW w:w="1980" w:type="dxa"/>
            <w:vAlign w:val="bottom"/>
            <w:tcBorders>
              <w:bottom w:val="single" w:sz="8" w:color="auto"/>
            </w:tcBorders>
            <w:shd w:val="clear" w:color="auto" w:fill="003E64"/>
          </w:tcPr>
          <w:p>
            <w:pPr>
              <w:jc w:val="center"/>
              <w:ind w:right="35"/>
              <w:spacing w:after="0"/>
              <w:rPr>
                <w:sz w:val="20"/>
                <w:szCs w:val="20"/>
                <w:color w:val="auto"/>
              </w:rPr>
            </w:pPr>
            <w:r>
              <w:rPr>
                <w:rFonts w:ascii="Arial" w:cs="Arial" w:eastAsia="Arial" w:hAnsi="Arial"/>
                <w:sz w:val="14"/>
                <w:szCs w:val="14"/>
                <w:b w:val="1"/>
                <w:bCs w:val="1"/>
                <w:color w:val="FFFFFF"/>
              </w:rPr>
              <w:t>Compensation($)</w:t>
            </w:r>
          </w:p>
        </w:tc>
        <w:tc>
          <w:tcPr>
            <w:tcW w:w="1800" w:type="dxa"/>
            <w:vAlign w:val="bottom"/>
            <w:tcBorders>
              <w:bottom w:val="single" w:sz="8" w:color="auto"/>
            </w:tcBorders>
            <w:shd w:val="clear" w:color="auto" w:fill="003E64"/>
          </w:tcPr>
          <w:p>
            <w:pPr>
              <w:ind w:left="600"/>
              <w:spacing w:after="0"/>
              <w:rPr>
                <w:sz w:val="20"/>
                <w:szCs w:val="20"/>
                <w:color w:val="auto"/>
              </w:rPr>
            </w:pPr>
            <w:r>
              <w:rPr>
                <w:rFonts w:ascii="Arial" w:cs="Arial" w:eastAsia="Arial" w:hAnsi="Arial"/>
                <w:sz w:val="14"/>
                <w:szCs w:val="14"/>
                <w:b w:val="1"/>
                <w:bCs w:val="1"/>
                <w:color w:val="FFFFFF"/>
              </w:rPr>
              <w:t>Total($)</w:t>
            </w:r>
          </w:p>
        </w:tc>
      </w:tr>
      <w:tr>
        <w:trPr>
          <w:trHeight w:val="250"/>
        </w:trPr>
        <w:tc>
          <w:tcPr>
            <w:tcW w:w="2820" w:type="dxa"/>
            <w:vAlign w:val="bottom"/>
          </w:tcPr>
          <w:p>
            <w:pPr>
              <w:ind w:left="40"/>
              <w:spacing w:after="0"/>
              <w:rPr>
                <w:sz w:val="20"/>
                <w:szCs w:val="20"/>
                <w:color w:val="auto"/>
              </w:rPr>
            </w:pPr>
            <w:r>
              <w:rPr>
                <w:rFonts w:ascii="Arial" w:cs="Arial" w:eastAsia="Arial" w:hAnsi="Arial"/>
                <w:sz w:val="18"/>
                <w:szCs w:val="18"/>
                <w:color w:val="4D4D4F"/>
              </w:rPr>
              <w:t>Haiping Dun(2)</w:t>
            </w:r>
          </w:p>
        </w:tc>
        <w:tc>
          <w:tcPr>
            <w:tcW w:w="2640" w:type="dxa"/>
            <w:vAlign w:val="bottom"/>
          </w:tcPr>
          <w:p>
            <w:pPr>
              <w:jc w:val="center"/>
              <w:ind w:left="795"/>
              <w:spacing w:after="0"/>
              <w:rPr>
                <w:sz w:val="20"/>
                <w:szCs w:val="20"/>
                <w:color w:val="auto"/>
              </w:rPr>
            </w:pPr>
            <w:r>
              <w:rPr>
                <w:rFonts w:ascii="Arial" w:cs="Arial" w:eastAsia="Arial" w:hAnsi="Arial"/>
                <w:sz w:val="18"/>
                <w:szCs w:val="18"/>
                <w:color w:val="4D4D4F"/>
                <w:w w:val="98"/>
              </w:rPr>
              <w:t>$27,000</w:t>
            </w:r>
          </w:p>
        </w:tc>
        <w:tc>
          <w:tcPr>
            <w:tcW w:w="2000" w:type="dxa"/>
            <w:vAlign w:val="bottom"/>
          </w:tcPr>
          <w:p>
            <w:pPr>
              <w:jc w:val="center"/>
              <w:spacing w:after="0"/>
              <w:rPr>
                <w:sz w:val="20"/>
                <w:szCs w:val="20"/>
                <w:color w:val="auto"/>
              </w:rPr>
            </w:pPr>
            <w:r>
              <w:rPr>
                <w:rFonts w:ascii="Arial" w:cs="Arial" w:eastAsia="Arial" w:hAnsi="Arial"/>
                <w:sz w:val="18"/>
                <w:szCs w:val="18"/>
                <w:color w:val="4D4D4F"/>
              </w:rPr>
              <w:t>$104,181</w:t>
            </w:r>
          </w:p>
        </w:tc>
        <w:tc>
          <w:tcPr>
            <w:tcW w:w="1980" w:type="dxa"/>
            <w:vAlign w:val="bottom"/>
          </w:tcPr>
          <w:p>
            <w:pPr>
              <w:jc w:val="center"/>
              <w:ind w:right="35"/>
              <w:spacing w:after="0"/>
              <w:rPr>
                <w:sz w:val="20"/>
                <w:szCs w:val="20"/>
                <w:color w:val="auto"/>
              </w:rPr>
            </w:pPr>
            <w:r>
              <w:rPr>
                <w:rFonts w:ascii="Arial" w:cs="Arial" w:eastAsia="Arial" w:hAnsi="Arial"/>
                <w:sz w:val="18"/>
                <w:szCs w:val="18"/>
                <w:color w:val="4D4D4F"/>
                <w:w w:val="99"/>
              </w:rPr>
              <w:t>—</w:t>
            </w:r>
          </w:p>
        </w:tc>
        <w:tc>
          <w:tcPr>
            <w:tcW w:w="1800" w:type="dxa"/>
            <w:vAlign w:val="bottom"/>
          </w:tcPr>
          <w:p>
            <w:pPr>
              <w:jc w:val="center"/>
              <w:ind w:right="13"/>
              <w:spacing w:after="0"/>
              <w:rPr>
                <w:sz w:val="20"/>
                <w:szCs w:val="20"/>
                <w:color w:val="auto"/>
              </w:rPr>
            </w:pPr>
            <w:r>
              <w:rPr>
                <w:rFonts w:ascii="Arial" w:cs="Arial" w:eastAsia="Arial" w:hAnsi="Arial"/>
                <w:sz w:val="18"/>
                <w:szCs w:val="18"/>
                <w:color w:val="4D4D4F"/>
                <w:w w:val="98"/>
              </w:rPr>
              <w:t>$131,181</w:t>
            </w:r>
          </w:p>
        </w:tc>
      </w:tr>
      <w:tr>
        <w:trPr>
          <w:trHeight w:val="263"/>
        </w:trPr>
        <w:tc>
          <w:tcPr>
            <w:tcW w:w="2820" w:type="dxa"/>
            <w:vAlign w:val="bottom"/>
            <w:shd w:val="clear" w:color="auto" w:fill="CCEEFF"/>
          </w:tcPr>
          <w:p>
            <w:pPr>
              <w:ind w:left="40"/>
              <w:spacing w:after="0"/>
              <w:rPr>
                <w:sz w:val="20"/>
                <w:szCs w:val="20"/>
                <w:color w:val="auto"/>
              </w:rPr>
            </w:pPr>
            <w:r>
              <w:rPr>
                <w:rFonts w:ascii="Arial" w:cs="Arial" w:eastAsia="Arial" w:hAnsi="Arial"/>
                <w:sz w:val="18"/>
                <w:szCs w:val="18"/>
                <w:color w:val="4D4D4F"/>
              </w:rPr>
              <w:t>Chenming C. Hu(2)</w:t>
            </w:r>
          </w:p>
        </w:tc>
        <w:tc>
          <w:tcPr>
            <w:tcW w:w="2640" w:type="dxa"/>
            <w:vAlign w:val="bottom"/>
            <w:shd w:val="clear" w:color="auto" w:fill="CCEEFF"/>
          </w:tcPr>
          <w:p>
            <w:pPr>
              <w:jc w:val="center"/>
              <w:ind w:left="795"/>
              <w:spacing w:after="0"/>
              <w:rPr>
                <w:sz w:val="20"/>
                <w:szCs w:val="20"/>
                <w:color w:val="auto"/>
              </w:rPr>
            </w:pPr>
            <w:r>
              <w:rPr>
                <w:rFonts w:ascii="Arial" w:cs="Arial" w:eastAsia="Arial" w:hAnsi="Arial"/>
                <w:sz w:val="18"/>
                <w:szCs w:val="18"/>
                <w:color w:val="4D4D4F"/>
              </w:rPr>
              <w:t>19,000</w:t>
            </w:r>
          </w:p>
        </w:tc>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4D4D4F"/>
                <w:w w:val="99"/>
              </w:rPr>
              <w:t>—</w:t>
            </w:r>
          </w:p>
        </w:tc>
        <w:tc>
          <w:tcPr>
            <w:tcW w:w="1980" w:type="dxa"/>
            <w:vAlign w:val="bottom"/>
            <w:shd w:val="clear" w:color="auto" w:fill="CCEEFF"/>
          </w:tcPr>
          <w:p>
            <w:pPr>
              <w:jc w:val="center"/>
              <w:ind w:right="55"/>
              <w:spacing w:after="0"/>
              <w:rPr>
                <w:sz w:val="20"/>
                <w:szCs w:val="20"/>
                <w:color w:val="auto"/>
              </w:rPr>
            </w:pPr>
            <w:r>
              <w:rPr>
                <w:rFonts w:ascii="Arial" w:cs="Arial" w:eastAsia="Arial" w:hAnsi="Arial"/>
                <w:sz w:val="18"/>
                <w:szCs w:val="18"/>
                <w:color w:val="4D4D4F"/>
              </w:rPr>
              <w:t>$25,000(3)</w:t>
            </w:r>
          </w:p>
        </w:tc>
        <w:tc>
          <w:tcPr>
            <w:tcW w:w="1800" w:type="dxa"/>
            <w:vAlign w:val="bottom"/>
            <w:shd w:val="clear" w:color="auto" w:fill="CCEEFF"/>
          </w:tcPr>
          <w:p>
            <w:pPr>
              <w:jc w:val="center"/>
              <w:ind w:right="13"/>
              <w:spacing w:after="0"/>
              <w:rPr>
                <w:sz w:val="20"/>
                <w:szCs w:val="20"/>
                <w:color w:val="auto"/>
              </w:rPr>
            </w:pPr>
            <w:r>
              <w:rPr>
                <w:rFonts w:ascii="Arial" w:cs="Arial" w:eastAsia="Arial" w:hAnsi="Arial"/>
                <w:sz w:val="18"/>
                <w:szCs w:val="18"/>
                <w:color w:val="4D4D4F"/>
                <w:w w:val="98"/>
              </w:rPr>
              <w:t>44,000</w:t>
            </w:r>
          </w:p>
        </w:tc>
      </w:tr>
      <w:tr>
        <w:trPr>
          <w:trHeight w:val="250"/>
        </w:trPr>
        <w:tc>
          <w:tcPr>
            <w:tcW w:w="2820" w:type="dxa"/>
            <w:vAlign w:val="bottom"/>
          </w:tcPr>
          <w:p>
            <w:pPr>
              <w:ind w:left="40"/>
              <w:spacing w:after="0"/>
              <w:rPr>
                <w:sz w:val="20"/>
                <w:szCs w:val="20"/>
                <w:color w:val="auto"/>
              </w:rPr>
            </w:pPr>
            <w:r>
              <w:rPr>
                <w:rFonts w:ascii="Arial" w:cs="Arial" w:eastAsia="Arial" w:hAnsi="Arial"/>
                <w:sz w:val="18"/>
                <w:szCs w:val="18"/>
                <w:color w:val="4D4D4F"/>
              </w:rPr>
              <w:t>Tracy Liu(2)</w:t>
            </w:r>
          </w:p>
        </w:tc>
        <w:tc>
          <w:tcPr>
            <w:tcW w:w="2640" w:type="dxa"/>
            <w:vAlign w:val="bottom"/>
          </w:tcPr>
          <w:p>
            <w:pPr>
              <w:jc w:val="center"/>
              <w:ind w:left="795"/>
              <w:spacing w:after="0"/>
              <w:rPr>
                <w:sz w:val="20"/>
                <w:szCs w:val="20"/>
                <w:color w:val="auto"/>
              </w:rPr>
            </w:pPr>
            <w:r>
              <w:rPr>
                <w:rFonts w:ascii="Arial" w:cs="Arial" w:eastAsia="Arial" w:hAnsi="Arial"/>
                <w:sz w:val="18"/>
                <w:szCs w:val="18"/>
                <w:color w:val="4D4D4F"/>
              </w:rPr>
              <w:t>25,000</w:t>
            </w:r>
          </w:p>
        </w:tc>
        <w:tc>
          <w:tcPr>
            <w:tcW w:w="2000" w:type="dxa"/>
            <w:vAlign w:val="bottom"/>
          </w:tcPr>
          <w:p>
            <w:pPr>
              <w:jc w:val="center"/>
              <w:spacing w:after="0"/>
              <w:rPr>
                <w:sz w:val="20"/>
                <w:szCs w:val="20"/>
                <w:color w:val="auto"/>
              </w:rPr>
            </w:pPr>
            <w:r>
              <w:rPr>
                <w:rFonts w:ascii="Arial" w:cs="Arial" w:eastAsia="Arial" w:hAnsi="Arial"/>
                <w:sz w:val="18"/>
                <w:szCs w:val="18"/>
                <w:color w:val="4D4D4F"/>
              </w:rPr>
              <w:t>44,230</w:t>
            </w:r>
          </w:p>
        </w:tc>
        <w:tc>
          <w:tcPr>
            <w:tcW w:w="1980" w:type="dxa"/>
            <w:vAlign w:val="bottom"/>
          </w:tcPr>
          <w:p>
            <w:pPr>
              <w:jc w:val="center"/>
              <w:ind w:right="35"/>
              <w:spacing w:after="0"/>
              <w:rPr>
                <w:sz w:val="20"/>
                <w:szCs w:val="20"/>
                <w:color w:val="auto"/>
              </w:rPr>
            </w:pPr>
            <w:r>
              <w:rPr>
                <w:rFonts w:ascii="Arial" w:cs="Arial" w:eastAsia="Arial" w:hAnsi="Arial"/>
                <w:sz w:val="18"/>
                <w:szCs w:val="18"/>
                <w:color w:val="4D4D4F"/>
                <w:w w:val="99"/>
              </w:rPr>
              <w:t>—</w:t>
            </w:r>
          </w:p>
        </w:tc>
        <w:tc>
          <w:tcPr>
            <w:tcW w:w="1800" w:type="dxa"/>
            <w:vAlign w:val="bottom"/>
          </w:tcPr>
          <w:p>
            <w:pPr>
              <w:jc w:val="center"/>
              <w:ind w:right="13"/>
              <w:spacing w:after="0"/>
              <w:rPr>
                <w:sz w:val="20"/>
                <w:szCs w:val="20"/>
                <w:color w:val="auto"/>
              </w:rPr>
            </w:pPr>
            <w:r>
              <w:rPr>
                <w:rFonts w:ascii="Arial" w:cs="Arial" w:eastAsia="Arial" w:hAnsi="Arial"/>
                <w:sz w:val="18"/>
                <w:szCs w:val="18"/>
                <w:color w:val="4D4D4F"/>
                <w:w w:val="98"/>
              </w:rPr>
              <w:t>69,230</w:t>
            </w:r>
          </w:p>
        </w:tc>
      </w:tr>
      <w:tr>
        <w:trPr>
          <w:trHeight w:val="263"/>
        </w:trPr>
        <w:tc>
          <w:tcPr>
            <w:tcW w:w="2820" w:type="dxa"/>
            <w:vAlign w:val="bottom"/>
            <w:shd w:val="clear" w:color="auto" w:fill="CCEEFF"/>
          </w:tcPr>
          <w:p>
            <w:pPr>
              <w:ind w:left="40"/>
              <w:spacing w:after="0"/>
              <w:rPr>
                <w:sz w:val="20"/>
                <w:szCs w:val="20"/>
                <w:color w:val="auto"/>
              </w:rPr>
            </w:pPr>
            <w:r>
              <w:rPr>
                <w:rFonts w:ascii="Arial" w:cs="Arial" w:eastAsia="Arial" w:hAnsi="Arial"/>
                <w:sz w:val="18"/>
                <w:szCs w:val="18"/>
                <w:color w:val="4D4D4F"/>
              </w:rPr>
              <w:t>Zhengfan Yang(4)</w:t>
            </w:r>
          </w:p>
        </w:tc>
        <w:tc>
          <w:tcPr>
            <w:tcW w:w="2640" w:type="dxa"/>
            <w:vAlign w:val="bottom"/>
            <w:shd w:val="clear" w:color="auto" w:fill="CCEEFF"/>
          </w:tcPr>
          <w:p>
            <w:pPr>
              <w:jc w:val="center"/>
              <w:ind w:left="815"/>
              <w:spacing w:after="0"/>
              <w:rPr>
                <w:sz w:val="20"/>
                <w:szCs w:val="20"/>
                <w:color w:val="auto"/>
              </w:rPr>
            </w:pPr>
            <w:r>
              <w:rPr>
                <w:rFonts w:ascii="Arial" w:cs="Arial" w:eastAsia="Arial" w:hAnsi="Arial"/>
                <w:sz w:val="18"/>
                <w:szCs w:val="18"/>
                <w:color w:val="4D4D4F"/>
                <w:w w:val="99"/>
              </w:rPr>
              <w:t>—</w:t>
            </w:r>
          </w:p>
        </w:tc>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4D4D4F"/>
                <w:w w:val="99"/>
              </w:rPr>
              <w:t>—</w:t>
            </w:r>
          </w:p>
        </w:tc>
        <w:tc>
          <w:tcPr>
            <w:tcW w:w="1980" w:type="dxa"/>
            <w:vAlign w:val="bottom"/>
            <w:shd w:val="clear" w:color="auto" w:fill="CCEEFF"/>
          </w:tcPr>
          <w:p>
            <w:pPr>
              <w:jc w:val="center"/>
              <w:ind w:right="35"/>
              <w:spacing w:after="0"/>
              <w:rPr>
                <w:sz w:val="20"/>
                <w:szCs w:val="20"/>
                <w:color w:val="auto"/>
              </w:rPr>
            </w:pPr>
            <w:r>
              <w:rPr>
                <w:rFonts w:ascii="Arial" w:cs="Arial" w:eastAsia="Arial" w:hAnsi="Arial"/>
                <w:sz w:val="18"/>
                <w:szCs w:val="18"/>
                <w:color w:val="4D4D4F"/>
                <w:w w:val="99"/>
              </w:rPr>
              <w:t>—</w:t>
            </w:r>
          </w:p>
        </w:tc>
        <w:tc>
          <w:tcPr>
            <w:tcW w:w="1800" w:type="dxa"/>
            <w:vAlign w:val="bottom"/>
            <w:shd w:val="clear" w:color="auto" w:fill="CCEEFF"/>
          </w:tcPr>
          <w:p>
            <w:pPr>
              <w:jc w:val="center"/>
              <w:ind w:right="13"/>
              <w:spacing w:after="0"/>
              <w:rPr>
                <w:sz w:val="20"/>
                <w:szCs w:val="20"/>
                <w:color w:val="auto"/>
              </w:rPr>
            </w:pPr>
            <w:r>
              <w:rPr>
                <w:rFonts w:ascii="Arial" w:cs="Arial" w:eastAsia="Arial" w:hAnsi="Arial"/>
                <w:sz w:val="18"/>
                <w:szCs w:val="18"/>
                <w:color w:val="4D4D4F"/>
                <w:w w:val="99"/>
              </w:rPr>
              <w:t>—</w:t>
            </w:r>
          </w:p>
        </w:tc>
      </w:tr>
      <w:tr>
        <w:trPr>
          <w:trHeight w:val="243"/>
        </w:trPr>
        <w:tc>
          <w:tcPr>
            <w:tcW w:w="2820" w:type="dxa"/>
            <w:vAlign w:val="bottom"/>
          </w:tcPr>
          <w:p>
            <w:pPr>
              <w:ind w:left="40"/>
              <w:spacing w:after="0"/>
              <w:rPr>
                <w:sz w:val="20"/>
                <w:szCs w:val="20"/>
                <w:color w:val="auto"/>
              </w:rPr>
            </w:pPr>
            <w:r>
              <w:rPr>
                <w:rFonts w:ascii="Arial" w:cs="Arial" w:eastAsia="Arial" w:hAnsi="Arial"/>
                <w:sz w:val="18"/>
                <w:szCs w:val="18"/>
                <w:color w:val="4D4D4F"/>
              </w:rPr>
              <w:t>Yinan Xiang</w:t>
            </w:r>
          </w:p>
        </w:tc>
        <w:tc>
          <w:tcPr>
            <w:tcW w:w="2640" w:type="dxa"/>
            <w:vAlign w:val="bottom"/>
          </w:tcPr>
          <w:p>
            <w:pPr>
              <w:jc w:val="center"/>
              <w:ind w:left="815"/>
              <w:spacing w:after="0"/>
              <w:rPr>
                <w:sz w:val="20"/>
                <w:szCs w:val="20"/>
                <w:color w:val="auto"/>
              </w:rPr>
            </w:pPr>
            <w:r>
              <w:rPr>
                <w:rFonts w:ascii="Arial" w:cs="Arial" w:eastAsia="Arial" w:hAnsi="Arial"/>
                <w:sz w:val="18"/>
                <w:szCs w:val="18"/>
                <w:color w:val="4D4D4F"/>
                <w:w w:val="99"/>
              </w:rPr>
              <w:t>—</w:t>
            </w:r>
          </w:p>
        </w:tc>
        <w:tc>
          <w:tcPr>
            <w:tcW w:w="2000" w:type="dxa"/>
            <w:vAlign w:val="bottom"/>
          </w:tcPr>
          <w:p>
            <w:pPr>
              <w:jc w:val="center"/>
              <w:spacing w:after="0"/>
              <w:rPr>
                <w:sz w:val="20"/>
                <w:szCs w:val="20"/>
                <w:color w:val="auto"/>
              </w:rPr>
            </w:pPr>
            <w:r>
              <w:rPr>
                <w:rFonts w:ascii="Arial" w:cs="Arial" w:eastAsia="Arial" w:hAnsi="Arial"/>
                <w:sz w:val="18"/>
                <w:szCs w:val="18"/>
                <w:color w:val="4D4D4F"/>
                <w:w w:val="99"/>
              </w:rPr>
              <w:t>—</w:t>
            </w:r>
          </w:p>
        </w:tc>
        <w:tc>
          <w:tcPr>
            <w:tcW w:w="1980" w:type="dxa"/>
            <w:vAlign w:val="bottom"/>
          </w:tcPr>
          <w:p>
            <w:pPr>
              <w:jc w:val="center"/>
              <w:ind w:right="35"/>
              <w:spacing w:after="0"/>
              <w:rPr>
                <w:sz w:val="20"/>
                <w:szCs w:val="20"/>
                <w:color w:val="auto"/>
              </w:rPr>
            </w:pPr>
            <w:r>
              <w:rPr>
                <w:rFonts w:ascii="Arial" w:cs="Arial" w:eastAsia="Arial" w:hAnsi="Arial"/>
                <w:sz w:val="18"/>
                <w:szCs w:val="18"/>
                <w:color w:val="4D4D4F"/>
                <w:w w:val="99"/>
              </w:rPr>
              <w:t>—</w:t>
            </w:r>
          </w:p>
        </w:tc>
        <w:tc>
          <w:tcPr>
            <w:tcW w:w="1800" w:type="dxa"/>
            <w:vAlign w:val="bottom"/>
          </w:tcPr>
          <w:p>
            <w:pPr>
              <w:jc w:val="center"/>
              <w:ind w:right="13"/>
              <w:spacing w:after="0"/>
              <w:rPr>
                <w:sz w:val="20"/>
                <w:szCs w:val="20"/>
                <w:color w:val="auto"/>
              </w:rPr>
            </w:pPr>
            <w:r>
              <w:rPr>
                <w:rFonts w:ascii="Arial" w:cs="Arial" w:eastAsia="Arial" w:hAnsi="Arial"/>
                <w:sz w:val="18"/>
                <w:szCs w:val="18"/>
                <w:color w:val="4D4D4F"/>
                <w:w w:val="99"/>
              </w:rPr>
              <w:t>—</w:t>
            </w:r>
          </w:p>
        </w:tc>
      </w:tr>
    </w:tbl>
    <w:p>
      <w:pPr>
        <w:spacing w:after="0" w:line="72" w:lineRule="exact"/>
        <w:rPr>
          <w:sz w:val="20"/>
          <w:szCs w:val="20"/>
          <w:color w:val="auto"/>
        </w:rPr>
      </w:pPr>
    </w:p>
    <w:p>
      <w:pPr>
        <w:jc w:val="both"/>
        <w:ind w:left="340" w:hanging="332"/>
        <w:spacing w:after="0" w:line="244" w:lineRule="auto"/>
        <w:tabs>
          <w:tab w:leader="none" w:pos="340" w:val="left"/>
        </w:tabs>
        <w:numPr>
          <w:ilvl w:val="0"/>
          <w:numId w:val="33"/>
        </w:numPr>
        <w:rPr>
          <w:rFonts w:ascii="Arial" w:cs="Arial" w:eastAsia="Arial" w:hAnsi="Arial"/>
          <w:sz w:val="14"/>
          <w:szCs w:val="14"/>
          <w:color w:val="4D4D4F"/>
        </w:rPr>
      </w:pPr>
      <w:r>
        <w:rPr>
          <w:rFonts w:ascii="Arial" w:cs="Arial" w:eastAsia="Arial" w:hAnsi="Arial"/>
          <w:sz w:val="14"/>
          <w:szCs w:val="14"/>
          <w:color w:val="4D4D4F"/>
        </w:rPr>
        <w:t xml:space="preserve">The amounts shown represent the aggregate grant date fair value of stock awards granted on March 20, 2020 in accordance with Financial Accounting Standards Board Accounting Standards Codification Topic 718, </w:t>
      </w:r>
      <w:r>
        <w:rPr>
          <w:rFonts w:ascii="Arial" w:cs="Arial" w:eastAsia="Arial" w:hAnsi="Arial"/>
          <w:sz w:val="14"/>
          <w:szCs w:val="14"/>
          <w:i w:val="1"/>
          <w:iCs w:val="1"/>
          <w:color w:val="4D4D4F"/>
        </w:rPr>
        <w:t>Compensation—Stock Compensation</w:t>
      </w:r>
      <w:r>
        <w:rPr>
          <w:rFonts w:ascii="Arial" w:cs="Arial" w:eastAsia="Arial" w:hAnsi="Arial"/>
          <w:sz w:val="14"/>
          <w:szCs w:val="14"/>
          <w:color w:val="4D4D4F"/>
        </w:rPr>
        <w:t>. The amounts do not necessarily correspond to the actual amounts that will be earned by the directors. For assumptions made in valuing these awards and related information, see Note 2 to our consolidated financial statements included in our Annual Report on Form 10-K for the fiscal year ended December 31, 2020. As of December 31, 2020, (a) Dr. Dun held stock options for 196,667 shares of Class A common stock and 69,230 shares of ACM Shanghai, (b) Dr. Hu held stock options for 66,668 shares of Class A common stock, (c) Ms. Liu held stock options for 49,000 shares of Class A common stock, and (d) neither Mr. Yang or Ms. Xiang held any equity awards.</w:t>
      </w:r>
    </w:p>
    <w:p>
      <w:pPr>
        <w:spacing w:after="0" w:line="43" w:lineRule="exact"/>
        <w:rPr>
          <w:rFonts w:ascii="Arial" w:cs="Arial" w:eastAsia="Arial" w:hAnsi="Arial"/>
          <w:sz w:val="14"/>
          <w:szCs w:val="14"/>
          <w:color w:val="4D4D4F"/>
        </w:rPr>
      </w:pPr>
    </w:p>
    <w:p>
      <w:pPr>
        <w:ind w:left="340" w:hanging="332"/>
        <w:spacing w:after="0"/>
        <w:tabs>
          <w:tab w:leader="none" w:pos="340" w:val="left"/>
        </w:tabs>
        <w:numPr>
          <w:ilvl w:val="0"/>
          <w:numId w:val="33"/>
        </w:numPr>
        <w:rPr>
          <w:rFonts w:ascii="Arial" w:cs="Arial" w:eastAsia="Arial" w:hAnsi="Arial"/>
          <w:sz w:val="14"/>
          <w:szCs w:val="14"/>
          <w:color w:val="4D4D4F"/>
        </w:rPr>
      </w:pPr>
      <w:r>
        <w:rPr>
          <w:rFonts w:ascii="Arial" w:cs="Arial" w:eastAsia="Arial" w:hAnsi="Arial"/>
          <w:sz w:val="14"/>
          <w:szCs w:val="14"/>
          <w:color w:val="4D4D4F"/>
        </w:rPr>
        <w:t>Chair of a board committee during 2020.</w:t>
      </w:r>
    </w:p>
    <w:p>
      <w:pPr>
        <w:spacing w:after="0" w:line="55" w:lineRule="exact"/>
        <w:rPr>
          <w:rFonts w:ascii="Arial" w:cs="Arial" w:eastAsia="Arial" w:hAnsi="Arial"/>
          <w:sz w:val="14"/>
          <w:szCs w:val="14"/>
          <w:color w:val="4D4D4F"/>
        </w:rPr>
      </w:pPr>
    </w:p>
    <w:p>
      <w:pPr>
        <w:jc w:val="both"/>
        <w:ind w:left="340" w:hanging="332"/>
        <w:spacing w:after="0" w:line="249" w:lineRule="auto"/>
        <w:tabs>
          <w:tab w:leader="none" w:pos="340" w:val="left"/>
        </w:tabs>
        <w:numPr>
          <w:ilvl w:val="0"/>
          <w:numId w:val="33"/>
        </w:numPr>
        <w:rPr>
          <w:rFonts w:ascii="Arial" w:cs="Arial" w:eastAsia="Arial" w:hAnsi="Arial"/>
          <w:sz w:val="14"/>
          <w:szCs w:val="14"/>
          <w:color w:val="4D4D4F"/>
        </w:rPr>
      </w:pPr>
      <w:r>
        <w:rPr>
          <w:rFonts w:ascii="Arial" w:cs="Arial" w:eastAsia="Arial" w:hAnsi="Arial"/>
          <w:sz w:val="14"/>
          <w:szCs w:val="14"/>
          <w:color w:val="4D4D4F"/>
        </w:rPr>
        <w:t>The amount shown consists of consulting fees paid pursuant to an Advisory Board Agreement entered into with Dr. Hu in May 2016. Under the Advisory Board Agreement, Dr. Hu agreed to serve as a member of our advisory board and to use commercially reasonable efforts to provide us with various advisory services. The term of the Advisory Board Agreement expired on May 1, 2021.</w:t>
      </w:r>
    </w:p>
    <w:p>
      <w:pPr>
        <w:spacing w:after="0" w:line="38" w:lineRule="exact"/>
        <w:rPr>
          <w:rFonts w:ascii="Arial" w:cs="Arial" w:eastAsia="Arial" w:hAnsi="Arial"/>
          <w:sz w:val="14"/>
          <w:szCs w:val="14"/>
          <w:color w:val="4D4D4F"/>
        </w:rPr>
      </w:pPr>
    </w:p>
    <w:p>
      <w:pPr>
        <w:ind w:left="340" w:hanging="332"/>
        <w:spacing w:after="0"/>
        <w:tabs>
          <w:tab w:leader="none" w:pos="340" w:val="left"/>
        </w:tabs>
        <w:numPr>
          <w:ilvl w:val="0"/>
          <w:numId w:val="33"/>
        </w:numPr>
        <w:rPr>
          <w:rFonts w:ascii="Arial" w:cs="Arial" w:eastAsia="Arial" w:hAnsi="Arial"/>
          <w:sz w:val="14"/>
          <w:szCs w:val="14"/>
          <w:color w:val="4D4D4F"/>
        </w:rPr>
      </w:pPr>
      <w:r>
        <w:rPr>
          <w:rFonts w:ascii="Arial" w:cs="Arial" w:eastAsia="Arial" w:hAnsi="Arial"/>
          <w:sz w:val="14"/>
          <w:szCs w:val="14"/>
          <w:color w:val="4D4D4F"/>
        </w:rPr>
        <w:t>Mr. Yang is not standing for re-election at the Annual Meeting.</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9" w:name="page30"/>
    <w:bookmarkEnd w:id="29"/>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2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3E64"/>
        </w:rPr>
        <w:t xml:space="preserve">Proposal </w:t>
      </w:r>
      <w:r>
        <w:rPr>
          <w:sz w:val="1"/>
          <w:szCs w:val="1"/>
          <w:color w:val="auto"/>
        </w:rPr>
        <w:drawing>
          <wp:inline distT="0" distB="0" distL="0" distR="0">
            <wp:extent cx="265430" cy="265430"/>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65430" cy="265430"/>
                    </a:xfrm>
                    <a:prstGeom prst="rect">
                      <a:avLst/>
                    </a:prstGeom>
                    <a:noFill/>
                    <a:ln>
                      <a:noFill/>
                    </a:ln>
                  </pic:spPr>
                </pic:pic>
              </a:graphicData>
            </a:graphic>
          </wp:inline>
        </w:drawing>
      </w:r>
      <w:r>
        <w:rPr>
          <w:rFonts w:ascii="Arial" w:cs="Arial" w:eastAsia="Arial" w:hAnsi="Arial"/>
          <w:sz w:val="25"/>
          <w:szCs w:val="25"/>
          <w:b w:val="1"/>
          <w:bCs w:val="1"/>
          <w:color w:val="003E64"/>
        </w:rPr>
        <w:t xml:space="preserve"> — Election of Directors</w:t>
      </w:r>
    </w:p>
    <w:p>
      <w:pPr>
        <w:spacing w:after="0" w:line="261" w:lineRule="exact"/>
        <w:rPr>
          <w:sz w:val="20"/>
          <w:szCs w:val="20"/>
          <w:color w:val="auto"/>
        </w:rPr>
      </w:pPr>
    </w:p>
    <w:p>
      <w:pPr>
        <w:jc w:val="both"/>
        <w:spacing w:after="0"/>
        <w:rPr>
          <w:sz w:val="20"/>
          <w:szCs w:val="20"/>
          <w:color w:val="auto"/>
        </w:rPr>
      </w:pPr>
      <w:r>
        <w:rPr>
          <w:rFonts w:ascii="Arial" w:cs="Arial" w:eastAsia="Arial" w:hAnsi="Arial"/>
          <w:sz w:val="18"/>
          <w:szCs w:val="18"/>
          <w:color w:val="595959"/>
        </w:rPr>
        <w:t>At the Annual Meeting, stockholders will elect the entire board of directors to serve for the ensuing year and until their successors are elected and qualified. The board has designated as nominees for election the five persons named below, each of whom currently serves as a director.</w:t>
      </w:r>
    </w:p>
    <w:p>
      <w:pPr>
        <w:spacing w:after="0" w:line="16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595959"/>
        </w:rPr>
        <w:t>Shares of common stock that are voted as recommended by the board will be voted in favor of the election as directors of the nominees named below. If any nominee becomes unavailable for any reason or if a vacancy should occur before the election, which we do not anticipate, the shares represented by a duly completed proxy may be voted in favor of such other person as may be determined by the proxy holders.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0079C0"/>
        </w:rPr>
        <w:t>Director Qualifications</w:t>
      </w:r>
    </w:p>
    <w:p>
      <w:pPr>
        <w:spacing w:after="0" w:line="23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595959"/>
        </w:rPr>
        <w:t>The board of directors has determined that, as a whole, it must have the right mix of characteristics, skills and diversity to provide effective oversight of our company. T</w:t>
      </w:r>
      <w:r>
        <w:rPr>
          <w:rFonts w:ascii="Arial" w:cs="Arial" w:eastAsia="Arial" w:hAnsi="Arial"/>
          <w:sz w:val="18"/>
          <w:szCs w:val="18"/>
          <w:color w:val="4D4D4F"/>
        </w:rPr>
        <w:t>he nominating and governance committee has adopted Qualifications for Nomination to the board, a copy of</w:t>
      </w:r>
      <w:r>
        <w:rPr>
          <w:rFonts w:ascii="Arial" w:cs="Arial" w:eastAsia="Arial" w:hAnsi="Arial"/>
          <w:sz w:val="18"/>
          <w:szCs w:val="18"/>
          <w:color w:val="595959"/>
        </w:rPr>
        <w:t xml:space="preserve"> </w:t>
      </w:r>
      <w:r>
        <w:rPr>
          <w:rFonts w:ascii="Arial" w:cs="Arial" w:eastAsia="Arial" w:hAnsi="Arial"/>
          <w:sz w:val="18"/>
          <w:szCs w:val="18"/>
          <w:color w:val="4D4D4F"/>
        </w:rPr>
        <w:t xml:space="preserve">which is posted on our website at </w:t>
      </w:r>
      <w:r>
        <w:rPr>
          <w:rFonts w:ascii="Arial" w:cs="Arial" w:eastAsia="Arial" w:hAnsi="Arial"/>
          <w:sz w:val="18"/>
          <w:szCs w:val="18"/>
          <w:i w:val="1"/>
          <w:iCs w:val="1"/>
          <w:color w:val="4D4D4F"/>
        </w:rPr>
        <w:t>ir.acmrcsh.com/static-files/004a4a5a-21c9-4a24-9dc0-d3d55006cde6.</w:t>
      </w:r>
      <w:r>
        <w:rPr>
          <w:rFonts w:ascii="Arial" w:cs="Arial" w:eastAsia="Arial" w:hAnsi="Arial"/>
          <w:sz w:val="18"/>
          <w:szCs w:val="18"/>
          <w:color w:val="4D4D4F"/>
        </w:rPr>
        <w:t xml:space="preserve"> The Qualifications for Nomination provide that, in selecting directors, the board should seek to achieve a mix of directors that enhances the diversity of background, skills and experience on the board, including with respect to age, gender, international background, ethnicity and specialized experience. Directors should have relevant expertise and experience and be able to offer advice and guidance to our Chief Executive Officer based on that expertise and experience. Also, a majority of directors should be independent under applicable Nasdaq listing standards, board and committee guidelines, and applicable laws and regulations. Each director is also expected to:</w:t>
      </w:r>
    </w:p>
    <w:p>
      <w:pPr>
        <w:spacing w:after="0" w:line="46"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8"/>
          <w:szCs w:val="18"/>
          <w:color w:val="4D4D4F"/>
        </w:rPr>
      </w:pPr>
      <w:r>
        <w:rPr>
          <w:rFonts w:ascii="Arial" w:cs="Arial" w:eastAsia="Arial" w:hAnsi="Arial"/>
          <w:sz w:val="18"/>
          <w:szCs w:val="18"/>
          <w:color w:val="4D4D4F"/>
        </w:rPr>
        <w:t>be of the highest ethical character and share our values as reflected in our Code of Conduct;</w:t>
      </w:r>
    </w:p>
    <w:p>
      <w:pPr>
        <w:spacing w:after="0" w:line="90" w:lineRule="exact"/>
        <w:rPr>
          <w:rFonts w:ascii="Arial" w:cs="Arial" w:eastAsia="Arial" w:hAnsi="Arial"/>
          <w:sz w:val="18"/>
          <w:szCs w:val="18"/>
          <w:color w:val="4D4D4F"/>
        </w:rPr>
      </w:pPr>
    </w:p>
    <w:p>
      <w:pPr>
        <w:ind w:left="340" w:hanging="332"/>
        <w:spacing w:after="0"/>
        <w:tabs>
          <w:tab w:leader="none" w:pos="340" w:val="left"/>
        </w:tabs>
        <w:numPr>
          <w:ilvl w:val="0"/>
          <w:numId w:val="34"/>
        </w:numPr>
        <w:rPr>
          <w:rFonts w:ascii="Arial" w:cs="Arial" w:eastAsia="Arial" w:hAnsi="Arial"/>
          <w:sz w:val="18"/>
          <w:szCs w:val="18"/>
          <w:color w:val="4D4D4F"/>
        </w:rPr>
      </w:pPr>
      <w:r>
        <w:rPr>
          <w:rFonts w:ascii="Arial" w:cs="Arial" w:eastAsia="Arial" w:hAnsi="Arial"/>
          <w:sz w:val="18"/>
          <w:szCs w:val="18"/>
          <w:color w:val="4D4D4F"/>
        </w:rPr>
        <w:t>be highly accomplished in his or her field, with superior credentials and recognition;</w:t>
      </w:r>
    </w:p>
    <w:p>
      <w:pPr>
        <w:spacing w:after="0" w:line="76" w:lineRule="exact"/>
        <w:rPr>
          <w:rFonts w:ascii="Arial" w:cs="Arial" w:eastAsia="Arial" w:hAnsi="Arial"/>
          <w:sz w:val="18"/>
          <w:szCs w:val="18"/>
          <w:color w:val="4D4D4F"/>
        </w:rPr>
      </w:pPr>
    </w:p>
    <w:p>
      <w:pPr>
        <w:ind w:left="340" w:hanging="332"/>
        <w:spacing w:after="0" w:line="246" w:lineRule="auto"/>
        <w:tabs>
          <w:tab w:leader="none" w:pos="340" w:val="left"/>
        </w:tabs>
        <w:numPr>
          <w:ilvl w:val="0"/>
          <w:numId w:val="34"/>
        </w:numPr>
        <w:rPr>
          <w:rFonts w:ascii="Arial" w:cs="Arial" w:eastAsia="Arial" w:hAnsi="Arial"/>
          <w:sz w:val="18"/>
          <w:szCs w:val="18"/>
          <w:color w:val="4D4D4F"/>
        </w:rPr>
      </w:pPr>
      <w:r>
        <w:rPr>
          <w:rFonts w:ascii="Arial" w:cs="Arial" w:eastAsia="Arial" w:hAnsi="Arial"/>
          <w:sz w:val="18"/>
          <w:szCs w:val="18"/>
          <w:color w:val="4D4D4F"/>
        </w:rPr>
        <w:t>have sound business judgment, be able to work effectively with others, have sufficient time to devote to our affairs, and be free from conflicts of interest; and</w:t>
      </w:r>
    </w:p>
    <w:p>
      <w:pPr>
        <w:spacing w:after="0" w:line="75" w:lineRule="exact"/>
        <w:rPr>
          <w:rFonts w:ascii="Arial" w:cs="Arial" w:eastAsia="Arial" w:hAnsi="Arial"/>
          <w:sz w:val="18"/>
          <w:szCs w:val="18"/>
          <w:color w:val="4D4D4F"/>
        </w:rPr>
      </w:pPr>
    </w:p>
    <w:p>
      <w:pPr>
        <w:ind w:left="340" w:hanging="332"/>
        <w:spacing w:after="0"/>
        <w:tabs>
          <w:tab w:leader="none" w:pos="340" w:val="left"/>
        </w:tabs>
        <w:numPr>
          <w:ilvl w:val="0"/>
          <w:numId w:val="34"/>
        </w:numPr>
        <w:rPr>
          <w:rFonts w:ascii="Arial" w:cs="Arial" w:eastAsia="Arial" w:hAnsi="Arial"/>
          <w:sz w:val="18"/>
          <w:szCs w:val="18"/>
          <w:color w:val="4D4D4F"/>
        </w:rPr>
      </w:pPr>
      <w:r>
        <w:rPr>
          <w:rFonts w:ascii="Arial" w:cs="Arial" w:eastAsia="Arial" w:hAnsi="Arial"/>
          <w:sz w:val="18"/>
          <w:szCs w:val="18"/>
          <w:color w:val="4D4D4F"/>
        </w:rPr>
        <w:t>be independent of any particular constituency and able to represent all of our stockholders.</w:t>
      </w:r>
    </w:p>
    <w:p>
      <w:pPr>
        <w:spacing w:after="0" w:line="9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595959"/>
        </w:rPr>
        <w:t>The board is to conduct a self-assessment process every year and to periodically review the diversity of skills and characteristics needed in the board’s oversight of our company, as well as the effectiveness of the mix of skills and experience. The board considers the skill areas represented on the board, those skill areas represented by any directors who are expected to retire or leave the board in the near future, and recommendations of directors regarding skills that could improve the ability of the board to carry out its responsibilities. Although we do not have a formal diversity policy, the nominating and governance committee seeks to identify candidates who will enhance the board’s overall diversity.</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0079C0"/>
        </w:rPr>
        <w:t>Identifying and Evaluating Nominees for Directors</w:t>
      </w:r>
    </w:p>
    <w:p>
      <w:pPr>
        <w:spacing w:after="0" w:line="23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595959"/>
        </w:rPr>
        <w:t>When the board of directors or its nominating and governance committee has identified the need to add a new director with specific qualifications or to fill a vacancy on the board, the chair of the nominating and governance committee will initiate a search, seeking input from other directors and senior management, review any candidates that the nominating and governance committee has previously identified, and, if necessary, hire a search firm. The nominating and governance committee will identify the initial list of candidates who satisfy the specific criteria and otherwise qualify for membership on the board. At least one member of the nominating and governance committee (preferably the chair) and the Chair of the Board and Chief Executive Officer will interview each qualified candidate; other directors will also interview the candidate if practicable. Based on a satisfactory outcome of those interviews, the nominating and governance committee will make its recommendation on the candidate to the board.</w:t>
      </w:r>
    </w:p>
    <w:p>
      <w:pPr>
        <w:spacing w:after="0" w:line="167" w:lineRule="exact"/>
        <w:rPr>
          <w:sz w:val="20"/>
          <w:szCs w:val="20"/>
          <w:color w:val="auto"/>
        </w:rPr>
      </w:pPr>
    </w:p>
    <w:p>
      <w:pPr>
        <w:jc w:val="both"/>
        <w:spacing w:after="0"/>
        <w:rPr>
          <w:sz w:val="20"/>
          <w:szCs w:val="20"/>
          <w:color w:val="auto"/>
        </w:rPr>
      </w:pPr>
      <w:r>
        <w:rPr>
          <w:rFonts w:ascii="Arial" w:cs="Arial" w:eastAsia="Arial" w:hAnsi="Arial"/>
          <w:sz w:val="18"/>
          <w:szCs w:val="18"/>
          <w:color w:val="595959"/>
        </w:rPr>
        <w:t>Our bylaws include a procedure that stockholders must follow in order to nominate a person for election as a director at an annual meeting of stockholders. The Bylaws require that timely notice of the nomination in proper written form, including all required information, be provided to the Corporate Secretary.</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0" w:name="page31"/>
    <w:bookmarkEnd w:id="30"/>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b w:val="1"/>
          <w:bCs w:val="1"/>
          <w:color w:val="0079C0"/>
        </w:rPr>
        <w:t>Information Concerning Nominees for Election as Directors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4D4D4F"/>
        </w:rPr>
        <w:t>The information appearing in the following table sets forth, for each nominee for election as a director, as of April 8, 2021:</w:t>
      </w:r>
    </w:p>
    <w:p>
      <w:pPr>
        <w:spacing w:after="0" w:line="50"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8"/>
          <w:szCs w:val="18"/>
          <w:color w:val="4D4D4F"/>
        </w:rPr>
      </w:pPr>
      <w:r>
        <w:rPr>
          <w:rFonts w:ascii="Arial" w:cs="Arial" w:eastAsia="Arial" w:hAnsi="Arial"/>
          <w:sz w:val="18"/>
          <w:szCs w:val="18"/>
          <w:color w:val="4D4D4F"/>
        </w:rPr>
        <w:t>the nominee’s professional experience for at least the past five years;</w:t>
      </w:r>
    </w:p>
    <w:p>
      <w:pPr>
        <w:spacing w:after="0" w:line="90" w:lineRule="exact"/>
        <w:rPr>
          <w:rFonts w:ascii="Arial" w:cs="Arial" w:eastAsia="Arial" w:hAnsi="Arial"/>
          <w:sz w:val="18"/>
          <w:szCs w:val="18"/>
          <w:color w:val="4D4D4F"/>
        </w:rPr>
      </w:pPr>
    </w:p>
    <w:p>
      <w:pPr>
        <w:ind w:left="340" w:hanging="332"/>
        <w:spacing w:after="0"/>
        <w:tabs>
          <w:tab w:leader="none" w:pos="340" w:val="left"/>
        </w:tabs>
        <w:numPr>
          <w:ilvl w:val="0"/>
          <w:numId w:val="35"/>
        </w:numPr>
        <w:rPr>
          <w:rFonts w:ascii="Arial" w:cs="Arial" w:eastAsia="Arial" w:hAnsi="Arial"/>
          <w:sz w:val="18"/>
          <w:szCs w:val="18"/>
          <w:color w:val="4D4D4F"/>
        </w:rPr>
      </w:pPr>
      <w:r>
        <w:rPr>
          <w:rFonts w:ascii="Arial" w:cs="Arial" w:eastAsia="Arial" w:hAnsi="Arial"/>
          <w:sz w:val="18"/>
          <w:szCs w:val="18"/>
          <w:color w:val="4D4D4F"/>
        </w:rPr>
        <w:t>the year in which the nominee first became one of our directors;</w:t>
      </w:r>
    </w:p>
    <w:p>
      <w:pPr>
        <w:spacing w:after="0" w:line="76" w:lineRule="exact"/>
        <w:rPr>
          <w:rFonts w:ascii="Arial" w:cs="Arial" w:eastAsia="Arial" w:hAnsi="Arial"/>
          <w:sz w:val="18"/>
          <w:szCs w:val="18"/>
          <w:color w:val="4D4D4F"/>
        </w:rPr>
      </w:pPr>
    </w:p>
    <w:p>
      <w:pPr>
        <w:ind w:left="340" w:hanging="332"/>
        <w:spacing w:after="0"/>
        <w:tabs>
          <w:tab w:leader="none" w:pos="340" w:val="left"/>
        </w:tabs>
        <w:numPr>
          <w:ilvl w:val="0"/>
          <w:numId w:val="35"/>
        </w:numPr>
        <w:rPr>
          <w:rFonts w:ascii="Arial" w:cs="Arial" w:eastAsia="Arial" w:hAnsi="Arial"/>
          <w:sz w:val="18"/>
          <w:szCs w:val="18"/>
          <w:color w:val="4D4D4F"/>
        </w:rPr>
      </w:pPr>
      <w:r>
        <w:rPr>
          <w:rFonts w:ascii="Arial" w:cs="Arial" w:eastAsia="Arial" w:hAnsi="Arial"/>
          <w:sz w:val="18"/>
          <w:szCs w:val="18"/>
          <w:color w:val="4D4D4F"/>
        </w:rPr>
        <w:t>each committee of the board of directors on which the nominee currently serves;</w:t>
      </w:r>
    </w:p>
    <w:p>
      <w:pPr>
        <w:spacing w:after="0" w:line="90" w:lineRule="exact"/>
        <w:rPr>
          <w:rFonts w:ascii="Arial" w:cs="Arial" w:eastAsia="Arial" w:hAnsi="Arial"/>
          <w:sz w:val="18"/>
          <w:szCs w:val="18"/>
          <w:color w:val="4D4D4F"/>
        </w:rPr>
      </w:pPr>
    </w:p>
    <w:p>
      <w:pPr>
        <w:ind w:left="340" w:hanging="332"/>
        <w:spacing w:after="0"/>
        <w:tabs>
          <w:tab w:leader="none" w:pos="340" w:val="left"/>
        </w:tabs>
        <w:numPr>
          <w:ilvl w:val="0"/>
          <w:numId w:val="35"/>
        </w:numPr>
        <w:rPr>
          <w:rFonts w:ascii="Arial" w:cs="Arial" w:eastAsia="Arial" w:hAnsi="Arial"/>
          <w:sz w:val="18"/>
          <w:szCs w:val="18"/>
          <w:color w:val="4D4D4F"/>
        </w:rPr>
      </w:pPr>
      <w:r>
        <w:rPr>
          <w:rFonts w:ascii="Arial" w:cs="Arial" w:eastAsia="Arial" w:hAnsi="Arial"/>
          <w:sz w:val="18"/>
          <w:szCs w:val="18"/>
          <w:color w:val="4D4D4F"/>
        </w:rPr>
        <w:t>the nominee’s age as of the record date for the Annual Meeting;</w:t>
      </w:r>
    </w:p>
    <w:p>
      <w:pPr>
        <w:spacing w:after="0" w:line="90" w:lineRule="exact"/>
        <w:rPr>
          <w:rFonts w:ascii="Arial" w:cs="Arial" w:eastAsia="Arial" w:hAnsi="Arial"/>
          <w:sz w:val="18"/>
          <w:szCs w:val="18"/>
          <w:color w:val="4D4D4F"/>
        </w:rPr>
      </w:pPr>
    </w:p>
    <w:p>
      <w:pPr>
        <w:ind w:left="340" w:hanging="332"/>
        <w:spacing w:after="0"/>
        <w:tabs>
          <w:tab w:leader="none" w:pos="340" w:val="left"/>
        </w:tabs>
        <w:numPr>
          <w:ilvl w:val="0"/>
          <w:numId w:val="35"/>
        </w:numPr>
        <w:rPr>
          <w:rFonts w:ascii="Arial" w:cs="Arial" w:eastAsia="Arial" w:hAnsi="Arial"/>
          <w:sz w:val="18"/>
          <w:szCs w:val="18"/>
          <w:color w:val="4D4D4F"/>
        </w:rPr>
      </w:pPr>
      <w:r>
        <w:rPr>
          <w:rFonts w:ascii="Arial" w:cs="Arial" w:eastAsia="Arial" w:hAnsi="Arial"/>
          <w:sz w:val="18"/>
          <w:szCs w:val="18"/>
          <w:color w:val="4D4D4F"/>
        </w:rPr>
        <w:t>the relevant skills the nominee possesses that qualify him or her for nomination to the board; and</w:t>
      </w:r>
    </w:p>
    <w:p>
      <w:pPr>
        <w:spacing w:after="0" w:line="76" w:lineRule="exact"/>
        <w:rPr>
          <w:rFonts w:ascii="Arial" w:cs="Arial" w:eastAsia="Arial" w:hAnsi="Arial"/>
          <w:sz w:val="18"/>
          <w:szCs w:val="18"/>
          <w:color w:val="4D4D4F"/>
        </w:rPr>
      </w:pPr>
    </w:p>
    <w:p>
      <w:pPr>
        <w:ind w:left="340" w:hanging="332"/>
        <w:spacing w:after="0" w:line="246" w:lineRule="auto"/>
        <w:tabs>
          <w:tab w:leader="none" w:pos="340" w:val="left"/>
        </w:tabs>
        <w:numPr>
          <w:ilvl w:val="0"/>
          <w:numId w:val="35"/>
        </w:numPr>
        <w:rPr>
          <w:rFonts w:ascii="Arial" w:cs="Arial" w:eastAsia="Arial" w:hAnsi="Arial"/>
          <w:sz w:val="18"/>
          <w:szCs w:val="18"/>
          <w:color w:val="4D4D4F"/>
        </w:rPr>
      </w:pPr>
      <w:r>
        <w:rPr>
          <w:rFonts w:ascii="Arial" w:cs="Arial" w:eastAsia="Arial" w:hAnsi="Arial"/>
          <w:sz w:val="18"/>
          <w:szCs w:val="18"/>
          <w:color w:val="4D4D4F"/>
        </w:rPr>
        <w:t>directorships held by each nominee presently and at any time during the past five years at any public company or registered investment company.</w:t>
      </w:r>
    </w:p>
    <w:p>
      <w:pPr>
        <w:spacing w:after="0" w:line="75" w:lineRule="exact"/>
        <w:rPr>
          <w:sz w:val="20"/>
          <w:szCs w:val="20"/>
          <w:color w:val="auto"/>
        </w:rPr>
      </w:pPr>
    </w:p>
    <w:p>
      <w:pPr>
        <w:spacing w:after="0" w:line="246" w:lineRule="auto"/>
        <w:rPr>
          <w:sz w:val="20"/>
          <w:szCs w:val="20"/>
          <w:color w:val="auto"/>
        </w:rPr>
      </w:pPr>
      <w:r>
        <w:rPr>
          <w:rFonts w:ascii="Arial" w:cs="Arial" w:eastAsia="Arial" w:hAnsi="Arial"/>
          <w:sz w:val="18"/>
          <w:szCs w:val="18"/>
          <w:color w:val="595959"/>
        </w:rPr>
        <w:t>Yinan Xiang has been nominated in accordance with a voting agreement with one of our stockholders. See “Corporate Governance— Director Nomination Rights.”</w:t>
      </w:r>
    </w:p>
    <w:p>
      <w:pPr>
        <w:sectPr>
          <w:pgSz w:w="11900" w:h="16838" w:orient="portrait"/>
          <w:cols w:equalWidth="0" w:num="1">
            <w:col w:w="11240"/>
          </w:cols>
          <w:pgMar w:left="320" w:top="130" w:right="339" w:bottom="1440" w:gutter="0" w:footer="0" w:header="0"/>
        </w:sectPr>
      </w:pPr>
    </w:p>
    <w:p>
      <w:pPr>
        <w:spacing w:after="0" w:line="175"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595959"/>
        </w:rPr>
        <w:t>DAVID H.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925830" cy="12255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925830" cy="1225550"/>
                    </a:xfrm>
                    <a:prstGeom prst="rect">
                      <a:avLst/>
                    </a:prstGeom>
                    <a:noFill/>
                  </pic:spPr>
                </pic:pic>
              </a:graphicData>
            </a:graphic>
          </wp:anchor>
        </w:drawing>
      </w:r>
    </w:p>
    <w:p>
      <w:pPr>
        <w:spacing w:after="0" w:line="92" w:lineRule="exact"/>
        <w:rPr>
          <w:sz w:val="20"/>
          <w:szCs w:val="20"/>
          <w:color w:val="auto"/>
        </w:rPr>
      </w:pPr>
    </w:p>
    <w:p>
      <w:pPr>
        <w:ind w:left="1900"/>
        <w:spacing w:after="0"/>
        <w:rPr>
          <w:sz w:val="20"/>
          <w:szCs w:val="20"/>
          <w:color w:val="auto"/>
        </w:rPr>
      </w:pPr>
      <w:r>
        <w:rPr>
          <w:rFonts w:ascii="Arial" w:cs="Arial" w:eastAsia="Arial" w:hAnsi="Arial"/>
          <w:sz w:val="18"/>
          <w:szCs w:val="18"/>
          <w:color w:val="595959"/>
        </w:rPr>
        <w:t>Age: 59</w:t>
      </w:r>
    </w:p>
    <w:p>
      <w:pPr>
        <w:spacing w:after="0" w:line="77" w:lineRule="exact"/>
        <w:rPr>
          <w:sz w:val="20"/>
          <w:szCs w:val="20"/>
          <w:color w:val="auto"/>
        </w:rPr>
      </w:pPr>
    </w:p>
    <w:p>
      <w:pPr>
        <w:ind w:left="1900"/>
        <w:spacing w:after="0"/>
        <w:rPr>
          <w:sz w:val="20"/>
          <w:szCs w:val="20"/>
          <w:color w:val="auto"/>
        </w:rPr>
      </w:pPr>
      <w:r>
        <w:rPr>
          <w:rFonts w:ascii="Arial" w:cs="Arial" w:eastAsia="Arial" w:hAnsi="Arial"/>
          <w:sz w:val="18"/>
          <w:szCs w:val="18"/>
          <w:color w:val="595959"/>
        </w:rPr>
        <w:t>ACM Board Service</w:t>
      </w:r>
    </w:p>
    <w:p>
      <w:pPr>
        <w:spacing w:after="0" w:line="50" w:lineRule="exact"/>
        <w:rPr>
          <w:sz w:val="20"/>
          <w:szCs w:val="20"/>
          <w:color w:val="auto"/>
        </w:rPr>
      </w:pPr>
    </w:p>
    <w:p>
      <w:pPr>
        <w:ind w:left="2200" w:hanging="302"/>
        <w:spacing w:after="0"/>
        <w:tabs>
          <w:tab w:leader="none" w:pos="2200" w:val="left"/>
        </w:tabs>
        <w:numPr>
          <w:ilvl w:val="0"/>
          <w:numId w:val="36"/>
        </w:numPr>
        <w:rPr>
          <w:rFonts w:ascii="Arial" w:cs="Arial" w:eastAsia="Arial" w:hAnsi="Arial"/>
          <w:sz w:val="18"/>
          <w:szCs w:val="18"/>
          <w:color w:val="595959"/>
        </w:rPr>
      </w:pPr>
      <w:r>
        <w:rPr>
          <w:rFonts w:ascii="Arial" w:cs="Arial" w:eastAsia="Arial" w:hAnsi="Arial"/>
          <w:sz w:val="18"/>
          <w:szCs w:val="18"/>
          <w:color w:val="595959"/>
        </w:rPr>
        <w:t>Tenure: 23 years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595959"/>
        </w:rPr>
        <w:t>Professional Experience</w:t>
      </w:r>
    </w:p>
    <w:p>
      <w:pPr>
        <w:spacing w:after="0" w:line="79" w:lineRule="exact"/>
        <w:rPr>
          <w:sz w:val="20"/>
          <w:szCs w:val="20"/>
          <w:color w:val="auto"/>
        </w:rPr>
      </w:pPr>
    </w:p>
    <w:p>
      <w:pPr>
        <w:ind w:left="340" w:hanging="332"/>
        <w:spacing w:after="0" w:line="289" w:lineRule="auto"/>
        <w:tabs>
          <w:tab w:leader="none" w:pos="340" w:val="left"/>
        </w:tabs>
        <w:numPr>
          <w:ilvl w:val="0"/>
          <w:numId w:val="37"/>
        </w:numPr>
        <w:rPr>
          <w:rFonts w:ascii="Arial" w:cs="Arial" w:eastAsia="Arial" w:hAnsi="Arial"/>
          <w:sz w:val="18"/>
          <w:szCs w:val="18"/>
          <w:color w:val="595959"/>
        </w:rPr>
      </w:pPr>
      <w:r>
        <w:rPr>
          <w:rFonts w:ascii="Arial" w:cs="Arial" w:eastAsia="Arial" w:hAnsi="Arial"/>
          <w:sz w:val="18"/>
          <w:szCs w:val="18"/>
          <w:color w:val="595959"/>
        </w:rPr>
        <w:t>Founder, Chief Executive Oﬃcer, President and one of our directors since 1998.</w:t>
      </w:r>
    </w:p>
    <w:p>
      <w:pPr>
        <w:spacing w:after="0" w:line="1" w:lineRule="exact"/>
        <w:rPr>
          <w:rFonts w:ascii="Arial" w:cs="Arial" w:eastAsia="Arial" w:hAnsi="Arial"/>
          <w:sz w:val="18"/>
          <w:szCs w:val="18"/>
          <w:color w:val="595959"/>
        </w:rPr>
      </w:pPr>
    </w:p>
    <w:p>
      <w:pPr>
        <w:ind w:left="340" w:hanging="332"/>
        <w:spacing w:after="0"/>
        <w:tabs>
          <w:tab w:leader="none" w:pos="340" w:val="left"/>
        </w:tabs>
        <w:numPr>
          <w:ilvl w:val="0"/>
          <w:numId w:val="37"/>
        </w:numPr>
        <w:rPr>
          <w:rFonts w:ascii="Arial" w:cs="Arial" w:eastAsia="Arial" w:hAnsi="Arial"/>
          <w:sz w:val="18"/>
          <w:szCs w:val="18"/>
          <w:color w:val="595959"/>
        </w:rPr>
      </w:pPr>
      <w:r>
        <w:rPr>
          <w:rFonts w:ascii="Arial" w:cs="Arial" w:eastAsia="Arial" w:hAnsi="Arial"/>
          <w:sz w:val="18"/>
          <w:szCs w:val="18"/>
          <w:color w:val="595959"/>
        </w:rPr>
        <w:t>Inventor of stress-free Cu polishing technology.</w:t>
      </w:r>
    </w:p>
    <w:p>
      <w:pPr>
        <w:spacing w:after="0" w:line="136" w:lineRule="exact"/>
        <w:rPr>
          <w:rFonts w:ascii="Arial" w:cs="Arial" w:eastAsia="Arial" w:hAnsi="Arial"/>
          <w:sz w:val="18"/>
          <w:szCs w:val="18"/>
          <w:color w:val="595959"/>
        </w:rPr>
      </w:pPr>
    </w:p>
    <w:p>
      <w:pPr>
        <w:ind w:left="340" w:hanging="332"/>
        <w:spacing w:after="0" w:line="246" w:lineRule="auto"/>
        <w:tabs>
          <w:tab w:leader="none" w:pos="340" w:val="left"/>
        </w:tabs>
        <w:numPr>
          <w:ilvl w:val="0"/>
          <w:numId w:val="37"/>
        </w:numPr>
        <w:rPr>
          <w:rFonts w:ascii="Arial" w:cs="Arial" w:eastAsia="Arial" w:hAnsi="Arial"/>
          <w:sz w:val="18"/>
          <w:szCs w:val="18"/>
          <w:color w:val="595959"/>
        </w:rPr>
      </w:pPr>
      <w:r>
        <w:rPr>
          <w:rFonts w:ascii="Arial" w:cs="Arial" w:eastAsia="Arial" w:hAnsi="Arial"/>
          <w:sz w:val="18"/>
          <w:szCs w:val="18"/>
          <w:color w:val="595959"/>
        </w:rPr>
        <w:t>Holds more than 100 patents in semiconductor equipment and process technology.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595959"/>
        </w:rPr>
        <w:t>Education</w:t>
      </w:r>
    </w:p>
    <w:p>
      <w:pPr>
        <w:spacing w:after="0" w:line="126" w:lineRule="exact"/>
        <w:rPr>
          <w:sz w:val="20"/>
          <w:szCs w:val="20"/>
          <w:color w:val="auto"/>
        </w:rPr>
      </w:pPr>
    </w:p>
    <w:p>
      <w:pPr>
        <w:jc w:val="both"/>
        <w:ind w:left="340" w:hanging="332"/>
        <w:spacing w:after="0"/>
        <w:tabs>
          <w:tab w:leader="none" w:pos="340" w:val="left"/>
        </w:tabs>
        <w:numPr>
          <w:ilvl w:val="0"/>
          <w:numId w:val="38"/>
        </w:numPr>
        <w:rPr>
          <w:rFonts w:ascii="Arial" w:cs="Arial" w:eastAsia="Arial" w:hAnsi="Arial"/>
          <w:sz w:val="18"/>
          <w:szCs w:val="18"/>
          <w:color w:val="4D4D4F"/>
        </w:rPr>
      </w:pPr>
      <w:r>
        <w:rPr>
          <w:rFonts w:ascii="Arial" w:cs="Arial" w:eastAsia="Arial" w:hAnsi="Arial"/>
          <w:sz w:val="18"/>
          <w:szCs w:val="18"/>
          <w:color w:val="595959"/>
        </w:rPr>
        <w:t>Received a Ph.D. and Master of Engineering in Precision Engineering from Osaka University and a Bachelor of Science in Precision Instruments from Tsinghua University.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595959"/>
        </w:rPr>
        <w:t>Relevant Skills</w:t>
      </w:r>
    </w:p>
    <w:p>
      <w:pPr>
        <w:spacing w:after="0" w:line="79" w:lineRule="exact"/>
        <w:rPr>
          <w:sz w:val="20"/>
          <w:szCs w:val="20"/>
          <w:color w:val="auto"/>
        </w:rPr>
      </w:pPr>
    </w:p>
    <w:p>
      <w:pPr>
        <w:ind w:left="340" w:hanging="332"/>
        <w:spacing w:after="0"/>
        <w:tabs>
          <w:tab w:leader="none" w:pos="340" w:val="left"/>
        </w:tabs>
        <w:numPr>
          <w:ilvl w:val="0"/>
          <w:numId w:val="39"/>
        </w:numPr>
        <w:rPr>
          <w:rFonts w:ascii="Arial" w:cs="Arial" w:eastAsia="Arial" w:hAnsi="Arial"/>
          <w:sz w:val="18"/>
          <w:szCs w:val="18"/>
          <w:color w:val="595959"/>
        </w:rPr>
      </w:pPr>
      <w:r>
        <w:rPr>
          <w:rFonts w:ascii="Arial" w:cs="Arial" w:eastAsia="Arial" w:hAnsi="Arial"/>
          <w:sz w:val="18"/>
          <w:szCs w:val="18"/>
          <w:color w:val="595959"/>
        </w:rPr>
        <w:t>Industry</w:t>
      </w:r>
    </w:p>
    <w:p>
      <w:pPr>
        <w:spacing w:after="0" w:line="90" w:lineRule="exact"/>
        <w:rPr>
          <w:rFonts w:ascii="Arial" w:cs="Arial" w:eastAsia="Arial" w:hAnsi="Arial"/>
          <w:sz w:val="18"/>
          <w:szCs w:val="18"/>
          <w:color w:val="595959"/>
        </w:rPr>
      </w:pPr>
    </w:p>
    <w:p>
      <w:pPr>
        <w:ind w:left="340" w:hanging="332"/>
        <w:spacing w:after="0"/>
        <w:tabs>
          <w:tab w:leader="none" w:pos="340" w:val="left"/>
        </w:tabs>
        <w:numPr>
          <w:ilvl w:val="0"/>
          <w:numId w:val="39"/>
        </w:numPr>
        <w:rPr>
          <w:rFonts w:ascii="Arial" w:cs="Arial" w:eastAsia="Arial" w:hAnsi="Arial"/>
          <w:sz w:val="18"/>
          <w:szCs w:val="18"/>
          <w:color w:val="595959"/>
        </w:rPr>
      </w:pPr>
      <w:r>
        <w:rPr>
          <w:rFonts w:ascii="Arial" w:cs="Arial" w:eastAsia="Arial" w:hAnsi="Arial"/>
          <w:sz w:val="18"/>
          <w:szCs w:val="18"/>
          <w:color w:val="595959"/>
        </w:rPr>
        <w:t>Innovation</w:t>
      </w:r>
    </w:p>
    <w:p>
      <w:pPr>
        <w:spacing w:after="0" w:line="136" w:lineRule="exact"/>
        <w:rPr>
          <w:rFonts w:ascii="Arial" w:cs="Arial" w:eastAsia="Arial" w:hAnsi="Arial"/>
          <w:sz w:val="18"/>
          <w:szCs w:val="18"/>
          <w:color w:val="595959"/>
        </w:rPr>
      </w:pPr>
    </w:p>
    <w:p>
      <w:pPr>
        <w:ind w:left="340" w:hanging="332"/>
        <w:spacing w:after="0"/>
        <w:tabs>
          <w:tab w:leader="none" w:pos="340" w:val="left"/>
        </w:tabs>
        <w:numPr>
          <w:ilvl w:val="0"/>
          <w:numId w:val="39"/>
        </w:numPr>
        <w:rPr>
          <w:rFonts w:ascii="Arial" w:cs="Arial" w:eastAsia="Arial" w:hAnsi="Arial"/>
          <w:sz w:val="18"/>
          <w:szCs w:val="18"/>
          <w:color w:val="4D4D4F"/>
        </w:rPr>
      </w:pPr>
      <w:r>
        <w:rPr>
          <w:rFonts w:ascii="Arial" w:cs="Arial" w:eastAsia="Arial" w:hAnsi="Arial"/>
          <w:sz w:val="18"/>
          <w:szCs w:val="18"/>
          <w:color w:val="595959"/>
        </w:rPr>
        <w:t>Leadership</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595959"/>
        </w:rPr>
        <w:t>HAIPING DUN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-116205</wp:posOffset>
            </wp:positionV>
            <wp:extent cx="908685" cy="12255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908685" cy="1225550"/>
                    </a:xfrm>
                    <a:prstGeom prst="rect">
                      <a:avLst/>
                    </a:prstGeom>
                    <a:noFill/>
                  </pic:spPr>
                </pic:pic>
              </a:graphicData>
            </a:graphic>
          </wp:anchor>
        </w:drawing>
      </w:r>
    </w:p>
    <w:p>
      <w:pPr>
        <w:spacing w:after="0" w:line="52" w:lineRule="exact"/>
        <w:rPr>
          <w:sz w:val="20"/>
          <w:szCs w:val="20"/>
          <w:color w:val="auto"/>
        </w:rPr>
      </w:pPr>
    </w:p>
    <w:p>
      <w:pPr>
        <w:ind w:left="1900"/>
        <w:spacing w:after="0"/>
        <w:rPr>
          <w:sz w:val="20"/>
          <w:szCs w:val="20"/>
          <w:color w:val="auto"/>
        </w:rPr>
      </w:pPr>
      <w:r>
        <w:rPr>
          <w:rFonts w:ascii="Arial" w:cs="Arial" w:eastAsia="Arial" w:hAnsi="Arial"/>
          <w:sz w:val="18"/>
          <w:szCs w:val="18"/>
          <w:color w:val="595959"/>
        </w:rPr>
        <w:t>Age: 71</w:t>
      </w:r>
    </w:p>
    <w:p>
      <w:pPr>
        <w:spacing w:after="0" w:line="45" w:lineRule="exact"/>
        <w:rPr>
          <w:sz w:val="20"/>
          <w:szCs w:val="20"/>
          <w:color w:val="auto"/>
        </w:rPr>
      </w:pPr>
    </w:p>
    <w:p>
      <w:pPr>
        <w:ind w:left="1900"/>
        <w:spacing w:after="0"/>
        <w:rPr>
          <w:sz w:val="20"/>
          <w:szCs w:val="20"/>
          <w:color w:val="auto"/>
        </w:rPr>
      </w:pPr>
      <w:r>
        <w:rPr>
          <w:rFonts w:ascii="Arial" w:cs="Arial" w:eastAsia="Arial" w:hAnsi="Arial"/>
          <w:sz w:val="18"/>
          <w:szCs w:val="18"/>
          <w:color w:val="595959"/>
        </w:rPr>
        <w:t>ACM Board Service</w:t>
      </w:r>
    </w:p>
    <w:p>
      <w:pPr>
        <w:ind w:left="2240" w:hanging="341"/>
        <w:spacing w:after="0"/>
        <w:tabs>
          <w:tab w:leader="none" w:pos="2240" w:val="left"/>
        </w:tabs>
        <w:numPr>
          <w:ilvl w:val="0"/>
          <w:numId w:val="40"/>
        </w:numPr>
        <w:rPr>
          <w:rFonts w:ascii="Arial" w:cs="Arial" w:eastAsia="Arial" w:hAnsi="Arial"/>
          <w:sz w:val="18"/>
          <w:szCs w:val="18"/>
          <w:color w:val="595959"/>
        </w:rPr>
      </w:pPr>
      <w:r>
        <w:rPr>
          <w:rFonts w:ascii="Arial" w:cs="Arial" w:eastAsia="Arial" w:hAnsi="Arial"/>
          <w:sz w:val="18"/>
          <w:szCs w:val="18"/>
          <w:color w:val="595959"/>
        </w:rPr>
        <w:t>Tenure: 18 years (2003)</w:t>
      </w:r>
    </w:p>
    <w:p>
      <w:pPr>
        <w:spacing w:after="0" w:line="45" w:lineRule="exact"/>
        <w:rPr>
          <w:rFonts w:ascii="Arial" w:cs="Arial" w:eastAsia="Arial" w:hAnsi="Arial"/>
          <w:sz w:val="18"/>
          <w:szCs w:val="18"/>
          <w:color w:val="595959"/>
        </w:rPr>
      </w:pPr>
    </w:p>
    <w:p>
      <w:pPr>
        <w:ind w:left="2240" w:hanging="341"/>
        <w:spacing w:after="0"/>
        <w:tabs>
          <w:tab w:leader="none" w:pos="2240" w:val="left"/>
        </w:tabs>
        <w:numPr>
          <w:ilvl w:val="0"/>
          <w:numId w:val="40"/>
        </w:numPr>
        <w:rPr>
          <w:rFonts w:ascii="Arial" w:cs="Arial" w:eastAsia="Arial" w:hAnsi="Arial"/>
          <w:sz w:val="18"/>
          <w:szCs w:val="18"/>
          <w:color w:val="595959"/>
        </w:rPr>
      </w:pPr>
      <w:r>
        <w:rPr>
          <w:rFonts w:ascii="Arial" w:cs="Arial" w:eastAsia="Arial" w:hAnsi="Arial"/>
          <w:sz w:val="18"/>
          <w:szCs w:val="18"/>
          <w:color w:val="595959"/>
        </w:rPr>
        <w:t>Committees:</w:t>
      </w:r>
    </w:p>
    <w:p>
      <w:pPr>
        <w:ind w:left="2420" w:hanging="197"/>
        <w:spacing w:after="0" w:line="234" w:lineRule="auto"/>
        <w:tabs>
          <w:tab w:leader="none" w:pos="2420" w:val="left"/>
        </w:tabs>
        <w:numPr>
          <w:ilvl w:val="1"/>
          <w:numId w:val="40"/>
        </w:numPr>
        <w:rPr>
          <w:rFonts w:ascii="Arial" w:cs="Arial" w:eastAsia="Arial" w:hAnsi="Arial"/>
          <w:sz w:val="14"/>
          <w:szCs w:val="14"/>
          <w:color w:val="595959"/>
        </w:rPr>
      </w:pPr>
      <w:r>
        <w:rPr>
          <w:rFonts w:ascii="Arial" w:cs="Arial" w:eastAsia="Arial" w:hAnsi="Arial"/>
          <w:sz w:val="18"/>
          <w:szCs w:val="18"/>
          <w:color w:val="595959"/>
        </w:rPr>
        <w:t>Audit</w:t>
      </w:r>
    </w:p>
    <w:p>
      <w:pPr>
        <w:ind w:left="2420" w:hanging="197"/>
        <w:spacing w:after="0"/>
        <w:tabs>
          <w:tab w:leader="none" w:pos="2420" w:val="left"/>
        </w:tabs>
        <w:numPr>
          <w:ilvl w:val="1"/>
          <w:numId w:val="40"/>
        </w:numPr>
        <w:rPr>
          <w:rFonts w:ascii="Arial" w:cs="Arial" w:eastAsia="Arial" w:hAnsi="Arial"/>
          <w:sz w:val="14"/>
          <w:szCs w:val="14"/>
          <w:color w:val="595959"/>
        </w:rPr>
      </w:pPr>
      <w:r>
        <w:rPr>
          <w:rFonts w:ascii="Arial" w:cs="Arial" w:eastAsia="Arial" w:hAnsi="Arial"/>
          <w:sz w:val="18"/>
          <w:szCs w:val="18"/>
          <w:color w:val="595959"/>
        </w:rPr>
        <w:t>Compensation (Chair)</w:t>
      </w:r>
    </w:p>
    <w:p>
      <w:pPr>
        <w:spacing w:after="0" w:line="10"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0070C0"/>
        </w:rPr>
        <w:t>INDEPENDENT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4D4D4F"/>
        </w:rPr>
        <w:t>Professional Experience</w:t>
      </w:r>
    </w:p>
    <w:p>
      <w:pPr>
        <w:spacing w:after="0" w:line="79" w:lineRule="exact"/>
        <w:rPr>
          <w:sz w:val="20"/>
          <w:szCs w:val="20"/>
          <w:color w:val="auto"/>
        </w:rPr>
      </w:pPr>
    </w:p>
    <w:p>
      <w:pPr>
        <w:ind w:left="300" w:hanging="291"/>
        <w:spacing w:after="0"/>
        <w:tabs>
          <w:tab w:leader="none" w:pos="300" w:val="left"/>
        </w:tabs>
        <w:numPr>
          <w:ilvl w:val="0"/>
          <w:numId w:val="41"/>
        </w:numPr>
        <w:rPr>
          <w:rFonts w:ascii="Arial" w:cs="Arial" w:eastAsia="Arial" w:hAnsi="Arial"/>
          <w:sz w:val="18"/>
          <w:szCs w:val="18"/>
          <w:color w:val="595959"/>
        </w:rPr>
      </w:pPr>
      <w:r>
        <w:rPr>
          <w:rFonts w:ascii="Arial" w:cs="Arial" w:eastAsia="Arial" w:hAnsi="Arial"/>
          <w:sz w:val="18"/>
          <w:szCs w:val="18"/>
          <w:color w:val="595959"/>
        </w:rPr>
        <w:t>Served as one of our directors since 2003.</w:t>
      </w:r>
    </w:p>
    <w:p>
      <w:pPr>
        <w:spacing w:after="0" w:line="90" w:lineRule="exact"/>
        <w:rPr>
          <w:rFonts w:ascii="Arial" w:cs="Arial" w:eastAsia="Arial" w:hAnsi="Arial"/>
          <w:sz w:val="18"/>
          <w:szCs w:val="18"/>
          <w:color w:val="595959"/>
        </w:rPr>
      </w:pPr>
    </w:p>
    <w:p>
      <w:pPr>
        <w:ind w:left="300" w:hanging="291"/>
        <w:spacing w:after="0" w:line="316" w:lineRule="auto"/>
        <w:tabs>
          <w:tab w:leader="none" w:pos="300" w:val="left"/>
        </w:tabs>
        <w:numPr>
          <w:ilvl w:val="0"/>
          <w:numId w:val="41"/>
        </w:numPr>
        <w:rPr>
          <w:rFonts w:ascii="Arial" w:cs="Arial" w:eastAsia="Arial" w:hAnsi="Arial"/>
          <w:sz w:val="18"/>
          <w:szCs w:val="18"/>
          <w:color w:val="595959"/>
        </w:rPr>
      </w:pPr>
      <w:r>
        <w:rPr>
          <w:rFonts w:ascii="Arial" w:cs="Arial" w:eastAsia="Arial" w:hAnsi="Arial"/>
          <w:sz w:val="18"/>
          <w:szCs w:val="18"/>
          <w:color w:val="595959"/>
        </w:rPr>
        <w:t>Former President of Champion Microelectronic Corp., a public company in Taiwan, from 2008 through 2018.</w:t>
      </w:r>
    </w:p>
    <w:p>
      <w:pPr>
        <w:ind w:left="300" w:right="20" w:hanging="291"/>
        <w:spacing w:after="0" w:line="246" w:lineRule="auto"/>
        <w:tabs>
          <w:tab w:leader="none" w:pos="300" w:val="left"/>
        </w:tabs>
        <w:numPr>
          <w:ilvl w:val="0"/>
          <w:numId w:val="41"/>
        </w:numPr>
        <w:rPr>
          <w:rFonts w:ascii="Arial" w:cs="Arial" w:eastAsia="Arial" w:hAnsi="Arial"/>
          <w:sz w:val="18"/>
          <w:szCs w:val="18"/>
          <w:color w:val="595959"/>
        </w:rPr>
      </w:pPr>
      <w:r>
        <w:rPr>
          <w:rFonts w:ascii="Arial" w:cs="Arial" w:eastAsia="Arial" w:hAnsi="Arial"/>
          <w:sz w:val="18"/>
          <w:szCs w:val="18"/>
          <w:color w:val="595959"/>
        </w:rPr>
        <w:t>Former Senior Director of Intel Corporation, a company where he was employed from 1983 to 2004.</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595959"/>
        </w:rPr>
        <w:t>Education</w:t>
      </w:r>
    </w:p>
    <w:p>
      <w:pPr>
        <w:spacing w:after="0" w:line="126" w:lineRule="exact"/>
        <w:rPr>
          <w:sz w:val="20"/>
          <w:szCs w:val="20"/>
          <w:color w:val="auto"/>
        </w:rPr>
      </w:pPr>
    </w:p>
    <w:p>
      <w:pPr>
        <w:jc w:val="both"/>
        <w:ind w:left="340" w:right="20" w:hanging="331"/>
        <w:spacing w:after="0" w:line="238" w:lineRule="auto"/>
        <w:tabs>
          <w:tab w:leader="none" w:pos="340" w:val="left"/>
        </w:tabs>
        <w:numPr>
          <w:ilvl w:val="0"/>
          <w:numId w:val="42"/>
        </w:numPr>
        <w:rPr>
          <w:rFonts w:ascii="Arial" w:cs="Arial" w:eastAsia="Arial" w:hAnsi="Arial"/>
          <w:sz w:val="18"/>
          <w:szCs w:val="18"/>
          <w:color w:val="595959"/>
        </w:rPr>
      </w:pPr>
      <w:r>
        <w:rPr>
          <w:rFonts w:ascii="Arial" w:cs="Arial" w:eastAsia="Arial" w:hAnsi="Arial"/>
          <w:sz w:val="18"/>
          <w:szCs w:val="18"/>
          <w:color w:val="595959"/>
        </w:rPr>
        <w:t>Received a Ph.D. in material science and engineering from Stanford University, a Master of Science in physics from the University of Washington and a Bachelor of Science in physics from National Taiwan University.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595959"/>
        </w:rPr>
        <w:t>Relevant Skills</w:t>
      </w:r>
    </w:p>
    <w:p>
      <w:pPr>
        <w:spacing w:after="0" w:line="79" w:lineRule="exact"/>
        <w:rPr>
          <w:sz w:val="20"/>
          <w:szCs w:val="20"/>
          <w:color w:val="auto"/>
        </w:rPr>
      </w:pPr>
    </w:p>
    <w:p>
      <w:pPr>
        <w:ind w:left="340" w:hanging="331"/>
        <w:spacing w:after="0"/>
        <w:tabs>
          <w:tab w:leader="none" w:pos="340" w:val="left"/>
        </w:tabs>
        <w:numPr>
          <w:ilvl w:val="0"/>
          <w:numId w:val="43"/>
        </w:numPr>
        <w:rPr>
          <w:rFonts w:ascii="Arial" w:cs="Arial" w:eastAsia="Arial" w:hAnsi="Arial"/>
          <w:sz w:val="18"/>
          <w:szCs w:val="18"/>
          <w:color w:val="595959"/>
        </w:rPr>
      </w:pPr>
      <w:r>
        <w:rPr>
          <w:rFonts w:ascii="Arial" w:cs="Arial" w:eastAsia="Arial" w:hAnsi="Arial"/>
          <w:sz w:val="18"/>
          <w:szCs w:val="18"/>
          <w:color w:val="595959"/>
        </w:rPr>
        <w:t>Industry</w:t>
      </w:r>
    </w:p>
    <w:p>
      <w:pPr>
        <w:spacing w:after="0" w:line="90" w:lineRule="exact"/>
        <w:rPr>
          <w:rFonts w:ascii="Arial" w:cs="Arial" w:eastAsia="Arial" w:hAnsi="Arial"/>
          <w:sz w:val="18"/>
          <w:szCs w:val="18"/>
          <w:color w:val="595959"/>
        </w:rPr>
      </w:pPr>
    </w:p>
    <w:p>
      <w:pPr>
        <w:ind w:left="340" w:hanging="331"/>
        <w:spacing w:after="0"/>
        <w:tabs>
          <w:tab w:leader="none" w:pos="340" w:val="left"/>
        </w:tabs>
        <w:numPr>
          <w:ilvl w:val="0"/>
          <w:numId w:val="43"/>
        </w:numPr>
        <w:rPr>
          <w:rFonts w:ascii="Arial" w:cs="Arial" w:eastAsia="Arial" w:hAnsi="Arial"/>
          <w:sz w:val="18"/>
          <w:szCs w:val="18"/>
          <w:color w:val="595959"/>
        </w:rPr>
      </w:pPr>
      <w:r>
        <w:rPr>
          <w:rFonts w:ascii="Arial" w:cs="Arial" w:eastAsia="Arial" w:hAnsi="Arial"/>
          <w:sz w:val="18"/>
          <w:szCs w:val="18"/>
          <w:color w:val="595959"/>
        </w:rPr>
        <w:t>Global</w:t>
      </w:r>
    </w:p>
    <w:p>
      <w:pPr>
        <w:spacing w:after="0" w:line="136" w:lineRule="exact"/>
        <w:rPr>
          <w:rFonts w:ascii="Arial" w:cs="Arial" w:eastAsia="Arial" w:hAnsi="Arial"/>
          <w:sz w:val="18"/>
          <w:szCs w:val="18"/>
          <w:color w:val="595959"/>
        </w:rPr>
      </w:pPr>
    </w:p>
    <w:p>
      <w:pPr>
        <w:ind w:left="340" w:hanging="331"/>
        <w:spacing w:after="0"/>
        <w:tabs>
          <w:tab w:leader="none" w:pos="340" w:val="left"/>
        </w:tabs>
        <w:numPr>
          <w:ilvl w:val="0"/>
          <w:numId w:val="43"/>
        </w:numPr>
        <w:rPr>
          <w:rFonts w:ascii="Arial" w:cs="Arial" w:eastAsia="Arial" w:hAnsi="Arial"/>
          <w:sz w:val="18"/>
          <w:szCs w:val="18"/>
          <w:color w:val="595959"/>
        </w:rPr>
      </w:pPr>
      <w:r>
        <w:rPr>
          <w:rFonts w:ascii="Arial" w:cs="Arial" w:eastAsia="Arial" w:hAnsi="Arial"/>
          <w:sz w:val="18"/>
          <w:szCs w:val="18"/>
          <w:color w:val="595959"/>
        </w:rPr>
        <w:t>Leadership</w:t>
      </w:r>
    </w:p>
    <w:p>
      <w:pPr>
        <w:spacing w:after="0" w:line="200" w:lineRule="exact"/>
        <w:rPr>
          <w:sz w:val="20"/>
          <w:szCs w:val="20"/>
          <w:color w:val="auto"/>
        </w:rPr>
      </w:pPr>
    </w:p>
    <w:p>
      <w:pPr>
        <w:sectPr>
          <w:pgSz w:w="11900" w:h="16838" w:orient="portrait"/>
          <w:cols w:equalWidth="0" w:num="2">
            <w:col w:w="5380" w:space="460"/>
            <w:col w:w="5400"/>
          </w:cols>
          <w:pgMar w:left="320" w:top="130" w:right="339" w:bottom="1440" w:gutter="0" w:footer="0" w:header="0"/>
          <w:type w:val="continuous"/>
        </w:sect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31" w:name="page32"/>
    <w:bookmarkEnd w:id="31"/>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49"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595959"/>
        </w:rPr>
        <w:t>CHENMING C. 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899795" cy="12084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99795" cy="1208405"/>
                    </a:xfrm>
                    <a:prstGeom prst="rect">
                      <a:avLst/>
                    </a:prstGeom>
                    <a:noFill/>
                  </pic:spPr>
                </pic:pic>
              </a:graphicData>
            </a:graphic>
          </wp:anchor>
        </w:drawing>
      </w:r>
    </w:p>
    <w:p>
      <w:pPr>
        <w:spacing w:after="0" w:line="52" w:lineRule="exact"/>
        <w:rPr>
          <w:sz w:val="20"/>
          <w:szCs w:val="20"/>
          <w:color w:val="auto"/>
        </w:rPr>
      </w:pPr>
    </w:p>
    <w:p>
      <w:pPr>
        <w:ind w:left="1900"/>
        <w:spacing w:after="0"/>
        <w:rPr>
          <w:sz w:val="20"/>
          <w:szCs w:val="20"/>
          <w:color w:val="auto"/>
        </w:rPr>
      </w:pPr>
      <w:r>
        <w:rPr>
          <w:rFonts w:ascii="Arial" w:cs="Arial" w:eastAsia="Arial" w:hAnsi="Arial"/>
          <w:sz w:val="18"/>
          <w:szCs w:val="18"/>
          <w:color w:val="595959"/>
        </w:rPr>
        <w:t>Age: 73</w:t>
      </w:r>
    </w:p>
    <w:p>
      <w:pPr>
        <w:spacing w:after="0" w:line="45" w:lineRule="exact"/>
        <w:rPr>
          <w:sz w:val="20"/>
          <w:szCs w:val="20"/>
          <w:color w:val="auto"/>
        </w:rPr>
      </w:pPr>
    </w:p>
    <w:p>
      <w:pPr>
        <w:ind w:left="1900"/>
        <w:spacing w:after="0"/>
        <w:rPr>
          <w:sz w:val="20"/>
          <w:szCs w:val="20"/>
          <w:color w:val="auto"/>
        </w:rPr>
      </w:pPr>
      <w:r>
        <w:rPr>
          <w:rFonts w:ascii="Arial" w:cs="Arial" w:eastAsia="Arial" w:hAnsi="Arial"/>
          <w:sz w:val="18"/>
          <w:szCs w:val="18"/>
          <w:color w:val="595959"/>
        </w:rPr>
        <w:t>ACM Board Service</w:t>
      </w:r>
    </w:p>
    <w:p>
      <w:pPr>
        <w:ind w:left="2240" w:hanging="342"/>
        <w:spacing w:after="0"/>
        <w:tabs>
          <w:tab w:leader="none" w:pos="2240" w:val="left"/>
        </w:tabs>
        <w:numPr>
          <w:ilvl w:val="0"/>
          <w:numId w:val="44"/>
        </w:numPr>
        <w:rPr>
          <w:rFonts w:ascii="Arial" w:cs="Arial" w:eastAsia="Arial" w:hAnsi="Arial"/>
          <w:sz w:val="18"/>
          <w:szCs w:val="18"/>
          <w:color w:val="595959"/>
        </w:rPr>
      </w:pPr>
      <w:r>
        <w:rPr>
          <w:rFonts w:ascii="Arial" w:cs="Arial" w:eastAsia="Arial" w:hAnsi="Arial"/>
          <w:sz w:val="18"/>
          <w:szCs w:val="18"/>
          <w:color w:val="595959"/>
        </w:rPr>
        <w:t>Tenure: 4 years (2017)</w:t>
      </w:r>
    </w:p>
    <w:p>
      <w:pPr>
        <w:spacing w:after="0" w:line="49" w:lineRule="exact"/>
        <w:rPr>
          <w:rFonts w:ascii="Arial" w:cs="Arial" w:eastAsia="Arial" w:hAnsi="Arial"/>
          <w:sz w:val="18"/>
          <w:szCs w:val="18"/>
          <w:color w:val="595959"/>
        </w:rPr>
      </w:pPr>
    </w:p>
    <w:p>
      <w:pPr>
        <w:ind w:left="2220" w:right="880" w:hanging="322"/>
        <w:spacing w:after="0" w:line="274" w:lineRule="auto"/>
        <w:tabs>
          <w:tab w:leader="none" w:pos="2229" w:val="left"/>
        </w:tabs>
        <w:numPr>
          <w:ilvl w:val="0"/>
          <w:numId w:val="44"/>
        </w:numPr>
        <w:rPr>
          <w:rFonts w:ascii="Arial" w:cs="Arial" w:eastAsia="Arial" w:hAnsi="Arial"/>
          <w:sz w:val="17"/>
          <w:szCs w:val="17"/>
          <w:color w:val="595959"/>
        </w:rPr>
      </w:pPr>
      <w:r>
        <w:rPr>
          <w:rFonts w:ascii="Arial" w:cs="Arial" w:eastAsia="Arial" w:hAnsi="Arial"/>
          <w:sz w:val="17"/>
          <w:szCs w:val="17"/>
          <w:color w:val="595959"/>
        </w:rPr>
        <w:t>Nominating and Governance Committee (Chair)</w:t>
      </w:r>
    </w:p>
    <w:p>
      <w:pPr>
        <w:spacing w:after="0" w:line="288"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0070C0"/>
        </w:rPr>
        <w:t>INDEPENDENT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595959"/>
        </w:rPr>
        <w:t>Professional Experience</w:t>
      </w:r>
    </w:p>
    <w:p>
      <w:pPr>
        <w:spacing w:after="0" w:line="79" w:lineRule="exact"/>
        <w:rPr>
          <w:sz w:val="20"/>
          <w:szCs w:val="20"/>
          <w:color w:val="auto"/>
        </w:rPr>
      </w:pPr>
    </w:p>
    <w:p>
      <w:pPr>
        <w:ind w:left="340" w:hanging="332"/>
        <w:spacing w:after="0"/>
        <w:tabs>
          <w:tab w:leader="none" w:pos="340" w:val="left"/>
        </w:tabs>
        <w:numPr>
          <w:ilvl w:val="0"/>
          <w:numId w:val="45"/>
        </w:numPr>
        <w:rPr>
          <w:rFonts w:ascii="Arial" w:cs="Arial" w:eastAsia="Arial" w:hAnsi="Arial"/>
          <w:sz w:val="18"/>
          <w:szCs w:val="18"/>
          <w:color w:val="595959"/>
        </w:rPr>
      </w:pPr>
      <w:r>
        <w:rPr>
          <w:rFonts w:ascii="Arial" w:cs="Arial" w:eastAsia="Arial" w:hAnsi="Arial"/>
          <w:sz w:val="18"/>
          <w:szCs w:val="18"/>
          <w:color w:val="595959"/>
        </w:rPr>
        <w:t>Served as one of our directors since January 2017.</w:t>
      </w:r>
    </w:p>
    <w:p>
      <w:pPr>
        <w:spacing w:after="0" w:line="90" w:lineRule="exact"/>
        <w:rPr>
          <w:rFonts w:ascii="Arial" w:cs="Arial" w:eastAsia="Arial" w:hAnsi="Arial"/>
          <w:sz w:val="18"/>
          <w:szCs w:val="18"/>
          <w:color w:val="595959"/>
        </w:rPr>
      </w:pPr>
    </w:p>
    <w:p>
      <w:pPr>
        <w:ind w:left="340" w:hanging="332"/>
        <w:spacing w:after="0" w:line="281" w:lineRule="auto"/>
        <w:tabs>
          <w:tab w:leader="none" w:pos="340" w:val="left"/>
        </w:tabs>
        <w:numPr>
          <w:ilvl w:val="0"/>
          <w:numId w:val="45"/>
        </w:numPr>
        <w:rPr>
          <w:rFonts w:ascii="Arial" w:cs="Arial" w:eastAsia="Arial" w:hAnsi="Arial"/>
          <w:sz w:val="18"/>
          <w:szCs w:val="18"/>
          <w:color w:val="595959"/>
        </w:rPr>
      </w:pPr>
      <w:r>
        <w:rPr>
          <w:rFonts w:ascii="Arial" w:cs="Arial" w:eastAsia="Arial" w:hAnsi="Arial"/>
          <w:sz w:val="18"/>
          <w:szCs w:val="18"/>
          <w:color w:val="595959"/>
        </w:rPr>
        <w:t>Served as a member of our board of advisors since May 2016.</w:t>
      </w:r>
    </w:p>
    <w:p>
      <w:pPr>
        <w:spacing w:after="0" w:line="257" w:lineRule="exact"/>
        <w:rPr>
          <w:rFonts w:ascii="Arial" w:cs="Arial" w:eastAsia="Arial" w:hAnsi="Arial"/>
          <w:sz w:val="18"/>
          <w:szCs w:val="18"/>
          <w:color w:val="595959"/>
        </w:rPr>
      </w:pPr>
    </w:p>
    <w:p>
      <w:pPr>
        <w:jc w:val="both"/>
        <w:ind w:left="340" w:right="20" w:hanging="332"/>
        <w:spacing w:after="0" w:line="291" w:lineRule="auto"/>
        <w:tabs>
          <w:tab w:leader="none" w:pos="340" w:val="left"/>
        </w:tabs>
        <w:numPr>
          <w:ilvl w:val="0"/>
          <w:numId w:val="45"/>
        </w:numPr>
        <w:rPr>
          <w:rFonts w:ascii="Arial" w:cs="Arial" w:eastAsia="Arial" w:hAnsi="Arial"/>
          <w:sz w:val="18"/>
          <w:szCs w:val="18"/>
          <w:color w:val="595959"/>
        </w:rPr>
      </w:pPr>
      <w:r>
        <w:rPr>
          <w:rFonts w:ascii="Arial" w:cs="Arial" w:eastAsia="Arial" w:hAnsi="Arial"/>
          <w:sz w:val="18"/>
          <w:szCs w:val="18"/>
          <w:color w:val="595959"/>
        </w:rPr>
        <w:t>Professor in electrical engineering and computer sciences at the University of California, Berkeley since 1976.</w:t>
      </w:r>
    </w:p>
    <w:p>
      <w:pPr>
        <w:spacing w:after="0" w:line="200" w:lineRule="exact"/>
        <w:rPr>
          <w:rFonts w:ascii="Arial" w:cs="Arial" w:eastAsia="Arial" w:hAnsi="Arial"/>
          <w:sz w:val="18"/>
          <w:szCs w:val="18"/>
          <w:color w:val="595959"/>
        </w:rPr>
      </w:pPr>
    </w:p>
    <w:p>
      <w:pPr>
        <w:jc w:val="both"/>
        <w:ind w:left="340" w:hanging="332"/>
        <w:spacing w:after="0" w:line="267" w:lineRule="auto"/>
        <w:tabs>
          <w:tab w:leader="none" w:pos="340" w:val="left"/>
        </w:tabs>
        <w:numPr>
          <w:ilvl w:val="0"/>
          <w:numId w:val="45"/>
        </w:numPr>
        <w:rPr>
          <w:rFonts w:ascii="Arial" w:cs="Arial" w:eastAsia="Arial" w:hAnsi="Arial"/>
          <w:sz w:val="18"/>
          <w:szCs w:val="18"/>
          <w:color w:val="595959"/>
        </w:rPr>
      </w:pPr>
      <w:r>
        <w:rPr>
          <w:rFonts w:ascii="Arial" w:cs="Arial" w:eastAsia="Arial" w:hAnsi="Arial"/>
          <w:sz w:val="18"/>
          <w:szCs w:val="18"/>
          <w:color w:val="595959"/>
        </w:rPr>
        <w:t>Taiwan Semiconductor Manufacturing Company Distinguished Chair Professor Emeritus and Professor of the Graduate School at the University of California, Berkeley since 2010.</w:t>
      </w:r>
    </w:p>
    <w:p>
      <w:pPr>
        <w:spacing w:after="0" w:line="213" w:lineRule="exact"/>
        <w:rPr>
          <w:rFonts w:ascii="Arial" w:cs="Arial" w:eastAsia="Arial" w:hAnsi="Arial"/>
          <w:sz w:val="18"/>
          <w:szCs w:val="18"/>
          <w:color w:val="595959"/>
        </w:rPr>
      </w:pPr>
    </w:p>
    <w:p>
      <w:pPr>
        <w:ind w:left="340" w:hanging="332"/>
        <w:spacing w:after="0"/>
        <w:tabs>
          <w:tab w:leader="none" w:pos="340" w:val="left"/>
        </w:tabs>
        <w:numPr>
          <w:ilvl w:val="0"/>
          <w:numId w:val="45"/>
        </w:numPr>
        <w:rPr>
          <w:rFonts w:ascii="Arial" w:cs="Arial" w:eastAsia="Arial" w:hAnsi="Arial"/>
          <w:sz w:val="18"/>
          <w:szCs w:val="18"/>
          <w:color w:val="595959"/>
        </w:rPr>
      </w:pPr>
      <w:r>
        <w:rPr>
          <w:rFonts w:ascii="Arial" w:cs="Arial" w:eastAsia="Arial" w:hAnsi="Arial"/>
          <w:sz w:val="18"/>
          <w:szCs w:val="18"/>
          <w:color w:val="595959"/>
        </w:rPr>
        <w:t>Developed FinFet in 1999.</w:t>
      </w:r>
    </w:p>
    <w:p>
      <w:pPr>
        <w:spacing w:after="0" w:line="90" w:lineRule="exact"/>
        <w:rPr>
          <w:rFonts w:ascii="Arial" w:cs="Arial" w:eastAsia="Arial" w:hAnsi="Arial"/>
          <w:sz w:val="18"/>
          <w:szCs w:val="18"/>
          <w:color w:val="595959"/>
        </w:rPr>
      </w:pPr>
    </w:p>
    <w:p>
      <w:pPr>
        <w:jc w:val="both"/>
        <w:ind w:left="340" w:hanging="332"/>
        <w:spacing w:after="0" w:line="271" w:lineRule="auto"/>
        <w:tabs>
          <w:tab w:leader="none" w:pos="340" w:val="left"/>
        </w:tabs>
        <w:numPr>
          <w:ilvl w:val="0"/>
          <w:numId w:val="45"/>
        </w:numPr>
        <w:rPr>
          <w:rFonts w:ascii="Arial" w:cs="Arial" w:eastAsia="Arial" w:hAnsi="Arial"/>
          <w:sz w:val="18"/>
          <w:szCs w:val="18"/>
          <w:color w:val="595959"/>
        </w:rPr>
      </w:pPr>
      <w:r>
        <w:rPr>
          <w:rFonts w:ascii="Arial" w:cs="Arial" w:eastAsia="Arial" w:hAnsi="Arial"/>
          <w:sz w:val="18"/>
          <w:szCs w:val="18"/>
          <w:color w:val="595959"/>
        </w:rPr>
        <w:t>Served as the Chief Technology Oﬃcer of Taiwan Semiconductor Manufacturing Company Ltd. from 2001 to 2007.</w:t>
      </w:r>
    </w:p>
    <w:p>
      <w:pPr>
        <w:jc w:val="both"/>
        <w:ind w:left="340" w:right="20" w:hanging="332"/>
        <w:spacing w:after="0" w:line="278" w:lineRule="auto"/>
        <w:tabs>
          <w:tab w:leader="none" w:pos="340" w:val="left"/>
        </w:tabs>
        <w:numPr>
          <w:ilvl w:val="0"/>
          <w:numId w:val="45"/>
        </w:numPr>
        <w:rPr>
          <w:rFonts w:ascii="Arial" w:cs="Arial" w:eastAsia="Arial" w:hAnsi="Arial"/>
          <w:sz w:val="18"/>
          <w:szCs w:val="18"/>
          <w:color w:val="595959"/>
        </w:rPr>
      </w:pPr>
      <w:r>
        <w:rPr>
          <w:rFonts w:ascii="Arial" w:cs="Arial" w:eastAsia="Arial" w:hAnsi="Arial"/>
          <w:sz w:val="18"/>
          <w:szCs w:val="18"/>
          <w:color w:val="595959"/>
        </w:rPr>
        <w:t>Member of the U.S. National Academy of Engineering and the Chinese Academy of Sciences, and Taiwan’s Academia Sinica.</w:t>
      </w:r>
    </w:p>
    <w:p>
      <w:pPr>
        <w:spacing w:after="0" w:line="28" w:lineRule="exact"/>
        <w:rPr>
          <w:rFonts w:ascii="Arial" w:cs="Arial" w:eastAsia="Arial" w:hAnsi="Arial"/>
          <w:sz w:val="18"/>
          <w:szCs w:val="18"/>
          <w:color w:val="595959"/>
        </w:rPr>
      </w:pPr>
    </w:p>
    <w:p>
      <w:pPr>
        <w:jc w:val="both"/>
        <w:ind w:left="340" w:hanging="332"/>
        <w:spacing w:after="0" w:line="238" w:lineRule="auto"/>
        <w:tabs>
          <w:tab w:leader="none" w:pos="340" w:val="left"/>
        </w:tabs>
        <w:numPr>
          <w:ilvl w:val="0"/>
          <w:numId w:val="45"/>
        </w:numPr>
        <w:rPr>
          <w:rFonts w:ascii="Arial" w:cs="Arial" w:eastAsia="Arial" w:hAnsi="Arial"/>
          <w:sz w:val="18"/>
          <w:szCs w:val="18"/>
          <w:color w:val="595959"/>
        </w:rPr>
      </w:pPr>
      <w:r>
        <w:rPr>
          <w:rFonts w:ascii="Arial" w:cs="Arial" w:eastAsia="Arial" w:hAnsi="Arial"/>
          <w:sz w:val="18"/>
          <w:szCs w:val="18"/>
          <w:color w:val="595959"/>
        </w:rPr>
        <w:t>Received a Master of Science degree and Ph.D. from the University of California, Berkeley and a Bachelor of Science degree from National Taiwan University, all in electrical engineering.</w:t>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595959"/>
        </w:rPr>
        <w:t>TRACY LIU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-116205</wp:posOffset>
            </wp:positionV>
            <wp:extent cx="925830" cy="12344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925830" cy="1234440"/>
                    </a:xfrm>
                    <a:prstGeom prst="rect">
                      <a:avLst/>
                    </a:prstGeom>
                    <a:noFill/>
                  </pic:spPr>
                </pic:pic>
              </a:graphicData>
            </a:graphic>
          </wp:anchor>
        </w:drawing>
      </w:r>
    </w:p>
    <w:p>
      <w:pPr>
        <w:ind w:left="1900"/>
        <w:spacing w:after="0"/>
        <w:rPr>
          <w:sz w:val="20"/>
          <w:szCs w:val="20"/>
          <w:color w:val="auto"/>
        </w:rPr>
      </w:pPr>
      <w:r>
        <w:rPr>
          <w:rFonts w:ascii="Arial" w:cs="Arial" w:eastAsia="Arial" w:hAnsi="Arial"/>
          <w:sz w:val="18"/>
          <w:szCs w:val="18"/>
          <w:color w:val="595959"/>
        </w:rPr>
        <w:t>Age: 56</w:t>
      </w:r>
    </w:p>
    <w:p>
      <w:pPr>
        <w:ind w:left="1900"/>
        <w:spacing w:after="0" w:line="234" w:lineRule="auto"/>
        <w:rPr>
          <w:sz w:val="20"/>
          <w:szCs w:val="20"/>
          <w:color w:val="auto"/>
        </w:rPr>
      </w:pPr>
      <w:r>
        <w:rPr>
          <w:rFonts w:ascii="Arial" w:cs="Arial" w:eastAsia="Arial" w:hAnsi="Arial"/>
          <w:sz w:val="18"/>
          <w:szCs w:val="18"/>
          <w:color w:val="595959"/>
        </w:rPr>
        <w:t>ACM Board Service</w:t>
      </w:r>
    </w:p>
    <w:p>
      <w:pPr>
        <w:spacing w:after="0" w:line="1" w:lineRule="exact"/>
        <w:rPr>
          <w:sz w:val="20"/>
          <w:szCs w:val="20"/>
          <w:color w:val="auto"/>
        </w:rPr>
      </w:pPr>
    </w:p>
    <w:p>
      <w:pPr>
        <w:ind w:left="2140" w:hanging="241"/>
        <w:spacing w:after="0"/>
        <w:tabs>
          <w:tab w:leader="none" w:pos="2140" w:val="left"/>
        </w:tabs>
        <w:numPr>
          <w:ilvl w:val="0"/>
          <w:numId w:val="46"/>
        </w:numPr>
        <w:rPr>
          <w:rFonts w:ascii="Arial" w:cs="Arial" w:eastAsia="Arial" w:hAnsi="Arial"/>
          <w:sz w:val="18"/>
          <w:szCs w:val="18"/>
          <w:color w:val="595959"/>
        </w:rPr>
      </w:pPr>
      <w:r>
        <w:rPr>
          <w:rFonts w:ascii="Arial" w:cs="Arial" w:eastAsia="Arial" w:hAnsi="Arial"/>
          <w:sz w:val="18"/>
          <w:szCs w:val="18"/>
          <w:color w:val="595959"/>
        </w:rPr>
        <w:t>Tenure: 5 years (2016)</w:t>
      </w:r>
    </w:p>
    <w:p>
      <w:pPr>
        <w:spacing w:after="0" w:line="49" w:lineRule="exact"/>
        <w:rPr>
          <w:rFonts w:ascii="Arial" w:cs="Arial" w:eastAsia="Arial" w:hAnsi="Arial"/>
          <w:sz w:val="18"/>
          <w:szCs w:val="18"/>
          <w:color w:val="595959"/>
        </w:rPr>
      </w:pPr>
    </w:p>
    <w:p>
      <w:pPr>
        <w:ind w:left="2140" w:hanging="241"/>
        <w:spacing w:after="0"/>
        <w:tabs>
          <w:tab w:leader="none" w:pos="2140" w:val="left"/>
        </w:tabs>
        <w:numPr>
          <w:ilvl w:val="0"/>
          <w:numId w:val="46"/>
        </w:numPr>
        <w:rPr>
          <w:rFonts w:ascii="Arial" w:cs="Arial" w:eastAsia="Arial" w:hAnsi="Arial"/>
          <w:sz w:val="18"/>
          <w:szCs w:val="18"/>
          <w:color w:val="595959"/>
        </w:rPr>
      </w:pPr>
      <w:r>
        <w:rPr>
          <w:rFonts w:ascii="Arial" w:cs="Arial" w:eastAsia="Arial" w:hAnsi="Arial"/>
          <w:sz w:val="18"/>
          <w:szCs w:val="18"/>
          <w:color w:val="595959"/>
        </w:rPr>
        <w:t>Committees:</w:t>
      </w:r>
    </w:p>
    <w:p>
      <w:pPr>
        <w:spacing w:after="0" w:line="49" w:lineRule="exact"/>
        <w:rPr>
          <w:rFonts w:ascii="Arial" w:cs="Arial" w:eastAsia="Arial" w:hAnsi="Arial"/>
          <w:sz w:val="18"/>
          <w:szCs w:val="18"/>
          <w:color w:val="595959"/>
        </w:rPr>
      </w:pPr>
    </w:p>
    <w:p>
      <w:pPr>
        <w:ind w:left="2320" w:hanging="162"/>
        <w:spacing w:after="0"/>
        <w:tabs>
          <w:tab w:leader="none" w:pos="2320" w:val="left"/>
        </w:tabs>
        <w:numPr>
          <w:ilvl w:val="1"/>
          <w:numId w:val="46"/>
        </w:numPr>
        <w:rPr>
          <w:rFonts w:ascii="Arial" w:cs="Arial" w:eastAsia="Arial" w:hAnsi="Arial"/>
          <w:sz w:val="14"/>
          <w:szCs w:val="14"/>
          <w:color w:val="595959"/>
        </w:rPr>
      </w:pPr>
      <w:r>
        <w:rPr>
          <w:rFonts w:ascii="Arial" w:cs="Arial" w:eastAsia="Arial" w:hAnsi="Arial"/>
          <w:sz w:val="18"/>
          <w:szCs w:val="18"/>
          <w:color w:val="595959"/>
        </w:rPr>
        <w:t>Audit (Chair)</w:t>
      </w:r>
    </w:p>
    <w:p>
      <w:pPr>
        <w:spacing w:after="0" w:line="45" w:lineRule="exact"/>
        <w:rPr>
          <w:rFonts w:ascii="Arial" w:cs="Arial" w:eastAsia="Arial" w:hAnsi="Arial"/>
          <w:sz w:val="14"/>
          <w:szCs w:val="14"/>
          <w:color w:val="595959"/>
        </w:rPr>
      </w:pPr>
    </w:p>
    <w:p>
      <w:pPr>
        <w:ind w:left="2320" w:hanging="162"/>
        <w:spacing w:after="0"/>
        <w:tabs>
          <w:tab w:leader="none" w:pos="2320" w:val="left"/>
        </w:tabs>
        <w:numPr>
          <w:ilvl w:val="1"/>
          <w:numId w:val="46"/>
        </w:numPr>
        <w:rPr>
          <w:rFonts w:ascii="Arial" w:cs="Arial" w:eastAsia="Arial" w:hAnsi="Arial"/>
          <w:sz w:val="14"/>
          <w:szCs w:val="14"/>
          <w:color w:val="595959"/>
        </w:rPr>
      </w:pPr>
      <w:r>
        <w:rPr>
          <w:rFonts w:ascii="Arial" w:cs="Arial" w:eastAsia="Arial" w:hAnsi="Arial"/>
          <w:sz w:val="18"/>
          <w:szCs w:val="18"/>
          <w:color w:val="595959"/>
        </w:rPr>
        <w:t>Compensation</w:t>
      </w:r>
    </w:p>
    <w:p>
      <w:pPr>
        <w:ind w:left="2320" w:hanging="162"/>
        <w:spacing w:after="0"/>
        <w:tabs>
          <w:tab w:leader="none" w:pos="2320" w:val="left"/>
        </w:tabs>
        <w:numPr>
          <w:ilvl w:val="1"/>
          <w:numId w:val="46"/>
        </w:numPr>
        <w:rPr>
          <w:rFonts w:ascii="Arial" w:cs="Arial" w:eastAsia="Arial" w:hAnsi="Arial"/>
          <w:sz w:val="14"/>
          <w:szCs w:val="14"/>
          <w:color w:val="595959"/>
        </w:rPr>
      </w:pPr>
      <w:r>
        <w:rPr>
          <w:rFonts w:ascii="Arial" w:cs="Arial" w:eastAsia="Arial" w:hAnsi="Arial"/>
          <w:sz w:val="18"/>
          <w:szCs w:val="18"/>
          <w:color w:val="595959"/>
        </w:rPr>
        <w:t>Nominating and Governance</w:t>
      </w:r>
    </w:p>
    <w:p>
      <w:pPr>
        <w:spacing w:after="0" w:line="28"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0070C0"/>
        </w:rPr>
        <w:t>INDEPENDENT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595959"/>
        </w:rPr>
        <w:t>Professional Experience</w:t>
      </w:r>
    </w:p>
    <w:p>
      <w:pPr>
        <w:spacing w:after="0" w:line="57" w:lineRule="exact"/>
        <w:rPr>
          <w:sz w:val="20"/>
          <w:szCs w:val="20"/>
          <w:color w:val="auto"/>
        </w:rPr>
      </w:pPr>
    </w:p>
    <w:p>
      <w:pPr>
        <w:ind w:left="340" w:hanging="331"/>
        <w:spacing w:after="0"/>
        <w:tabs>
          <w:tab w:leader="none" w:pos="340" w:val="left"/>
        </w:tabs>
        <w:numPr>
          <w:ilvl w:val="0"/>
          <w:numId w:val="47"/>
        </w:numPr>
        <w:rPr>
          <w:rFonts w:ascii="Arial" w:cs="Arial" w:eastAsia="Arial" w:hAnsi="Arial"/>
          <w:sz w:val="18"/>
          <w:szCs w:val="18"/>
          <w:color w:val="4D4D4F"/>
        </w:rPr>
      </w:pPr>
      <w:r>
        <w:rPr>
          <w:rFonts w:ascii="Arial" w:cs="Arial" w:eastAsia="Arial" w:hAnsi="Arial"/>
          <w:sz w:val="18"/>
          <w:szCs w:val="18"/>
          <w:color w:val="4D4D4F"/>
        </w:rPr>
        <w:t>Served as one of our directors since September 2016.</w:t>
      </w:r>
    </w:p>
    <w:p>
      <w:pPr>
        <w:spacing w:after="0" w:line="90" w:lineRule="exact"/>
        <w:rPr>
          <w:rFonts w:ascii="Arial" w:cs="Arial" w:eastAsia="Arial" w:hAnsi="Arial"/>
          <w:sz w:val="18"/>
          <w:szCs w:val="18"/>
          <w:color w:val="4D4D4F"/>
        </w:rPr>
      </w:pPr>
    </w:p>
    <w:p>
      <w:pPr>
        <w:ind w:left="340" w:hanging="331"/>
        <w:spacing w:after="0" w:line="281" w:lineRule="auto"/>
        <w:tabs>
          <w:tab w:leader="none" w:pos="340" w:val="left"/>
        </w:tabs>
        <w:numPr>
          <w:ilvl w:val="0"/>
          <w:numId w:val="47"/>
        </w:numPr>
        <w:rPr>
          <w:rFonts w:ascii="Arial" w:cs="Arial" w:eastAsia="Arial" w:hAnsi="Arial"/>
          <w:sz w:val="18"/>
          <w:szCs w:val="18"/>
          <w:color w:val="595959"/>
        </w:rPr>
      </w:pPr>
      <w:r>
        <w:rPr>
          <w:rFonts w:ascii="Arial" w:cs="Arial" w:eastAsia="Arial" w:hAnsi="Arial"/>
          <w:sz w:val="18"/>
          <w:szCs w:val="18"/>
          <w:color w:val="4D4D4F"/>
        </w:rPr>
        <w:t>Managing Partner of H&amp;M Int’l CPAs, LLP since January 2017.</w:t>
      </w:r>
    </w:p>
    <w:p>
      <w:pPr>
        <w:spacing w:after="0" w:line="257" w:lineRule="exact"/>
        <w:rPr>
          <w:rFonts w:ascii="Arial" w:cs="Arial" w:eastAsia="Arial" w:hAnsi="Arial"/>
          <w:sz w:val="18"/>
          <w:szCs w:val="18"/>
          <w:color w:val="595959"/>
        </w:rPr>
      </w:pPr>
    </w:p>
    <w:p>
      <w:pPr>
        <w:jc w:val="both"/>
        <w:ind w:left="340" w:hanging="331"/>
        <w:spacing w:after="0" w:line="267" w:lineRule="auto"/>
        <w:tabs>
          <w:tab w:leader="none" w:pos="340" w:val="left"/>
        </w:tabs>
        <w:numPr>
          <w:ilvl w:val="0"/>
          <w:numId w:val="47"/>
        </w:numPr>
        <w:rPr>
          <w:rFonts w:ascii="Arial" w:cs="Arial" w:eastAsia="Arial" w:hAnsi="Arial"/>
          <w:sz w:val="18"/>
          <w:szCs w:val="18"/>
          <w:color w:val="595959"/>
        </w:rPr>
      </w:pPr>
      <w:r>
        <w:rPr>
          <w:rFonts w:ascii="Arial" w:cs="Arial" w:eastAsia="Arial" w:hAnsi="Arial"/>
          <w:sz w:val="18"/>
          <w:szCs w:val="18"/>
          <w:color w:val="595959"/>
        </w:rPr>
        <w:t>Founder and owner of H&amp;M Financial Consulting from 2006 to 2016, where she provided international accounting and tax solutions to high-technology companies.</w:t>
      </w:r>
    </w:p>
    <w:p>
      <w:pPr>
        <w:spacing w:after="0" w:line="213" w:lineRule="exact"/>
        <w:rPr>
          <w:rFonts w:ascii="Arial" w:cs="Arial" w:eastAsia="Arial" w:hAnsi="Arial"/>
          <w:sz w:val="18"/>
          <w:szCs w:val="18"/>
          <w:color w:val="595959"/>
        </w:rPr>
      </w:pPr>
    </w:p>
    <w:p>
      <w:pPr>
        <w:jc w:val="both"/>
        <w:ind w:left="340" w:hanging="331"/>
        <w:spacing w:after="0" w:line="291" w:lineRule="auto"/>
        <w:tabs>
          <w:tab w:leader="none" w:pos="340" w:val="left"/>
        </w:tabs>
        <w:numPr>
          <w:ilvl w:val="0"/>
          <w:numId w:val="47"/>
        </w:numPr>
        <w:rPr>
          <w:rFonts w:ascii="Arial" w:cs="Arial" w:eastAsia="Arial" w:hAnsi="Arial"/>
          <w:sz w:val="18"/>
          <w:szCs w:val="18"/>
          <w:color w:val="595959"/>
        </w:rPr>
      </w:pPr>
      <w:r>
        <w:rPr>
          <w:rFonts w:ascii="Arial" w:cs="Arial" w:eastAsia="Arial" w:hAnsi="Arial"/>
          <w:sz w:val="18"/>
          <w:szCs w:val="18"/>
          <w:color w:val="595959"/>
        </w:rPr>
        <w:t>Received a Bachelor of Science from Nankai University and a Master of Accounting and Tax from Golden Gate University.</w:t>
      </w:r>
    </w:p>
    <w:p>
      <w:pPr>
        <w:spacing w:after="0" w:line="246" w:lineRule="exact"/>
        <w:rPr>
          <w:rFonts w:ascii="Arial" w:cs="Arial" w:eastAsia="Arial" w:hAnsi="Arial"/>
          <w:sz w:val="18"/>
          <w:szCs w:val="18"/>
          <w:color w:val="595959"/>
        </w:rPr>
      </w:pPr>
    </w:p>
    <w:p>
      <w:pPr>
        <w:ind w:left="340" w:hanging="331"/>
        <w:spacing w:after="0" w:line="246" w:lineRule="auto"/>
        <w:tabs>
          <w:tab w:leader="none" w:pos="340" w:val="left"/>
        </w:tabs>
        <w:numPr>
          <w:ilvl w:val="0"/>
          <w:numId w:val="47"/>
        </w:numPr>
        <w:rPr>
          <w:rFonts w:ascii="Arial" w:cs="Arial" w:eastAsia="Arial" w:hAnsi="Arial"/>
          <w:sz w:val="18"/>
          <w:szCs w:val="18"/>
          <w:color w:val="595959"/>
        </w:rPr>
      </w:pPr>
      <w:r>
        <w:rPr>
          <w:rFonts w:ascii="Arial" w:cs="Arial" w:eastAsia="Arial" w:hAnsi="Arial"/>
          <w:sz w:val="18"/>
          <w:szCs w:val="18"/>
          <w:color w:val="595959"/>
        </w:rPr>
        <w:t>Certified Public Accountant and a member of the American Institute of Certified Public Accountants.</w:t>
      </w:r>
    </w:p>
    <w:p>
      <w:pPr>
        <w:spacing w:after="0" w:line="2388" w:lineRule="exact"/>
        <w:rPr>
          <w:sz w:val="20"/>
          <w:szCs w:val="20"/>
          <w:color w:val="auto"/>
        </w:rPr>
      </w:pPr>
    </w:p>
    <w:p>
      <w:pPr>
        <w:sectPr>
          <w:pgSz w:w="11900" w:h="16838" w:orient="portrait"/>
          <w:cols w:equalWidth="0" w:num="2">
            <w:col w:w="5400" w:space="440"/>
            <w:col w:w="5400"/>
          </w:cols>
          <w:pgMar w:left="320" w:top="130" w:right="339" w:bottom="1440" w:gutter="0" w:footer="0" w:header="0"/>
        </w:sectPr>
      </w:pPr>
    </w:p>
    <w:tbl>
      <w:tblPr>
        <w:tblLayout w:type="fixed"/>
        <w:tblInd w:w="0" w:type="dxa"/>
        <w:tblCellMar>
          <w:top w:w="0" w:type="dxa"/>
          <w:left w:w="0" w:type="dxa"/>
          <w:bottom w:w="0" w:type="dxa"/>
          <w:right w:w="0" w:type="dxa"/>
        </w:tblCellMar>
      </w:tblPr>
      <w:tr>
        <w:trPr>
          <w:trHeight w:val="252"/>
        </w:trPr>
        <w:tc>
          <w:tcPr>
            <w:tcW w:w="1960" w:type="dxa"/>
            <w:vAlign w:val="bottom"/>
            <w:gridSpan w:val="2"/>
          </w:tcPr>
          <w:p>
            <w:pPr>
              <w:spacing w:after="0"/>
              <w:rPr>
                <w:sz w:val="20"/>
                <w:szCs w:val="20"/>
                <w:color w:val="auto"/>
              </w:rPr>
            </w:pPr>
            <w:r>
              <w:rPr>
                <w:rFonts w:ascii="Arial" w:cs="Arial" w:eastAsia="Arial" w:hAnsi="Arial"/>
                <w:sz w:val="18"/>
                <w:szCs w:val="18"/>
                <w:b w:val="1"/>
                <w:bCs w:val="1"/>
                <w:color w:val="595959"/>
              </w:rPr>
              <w:t>Relevant Skills</w:t>
            </w:r>
          </w:p>
        </w:tc>
        <w:tc>
          <w:tcPr>
            <w:tcW w:w="9280" w:type="dxa"/>
            <w:vAlign w:val="bottom"/>
            <w:gridSpan w:val="2"/>
          </w:tcPr>
          <w:p>
            <w:pPr>
              <w:ind w:left="3880"/>
              <w:spacing w:after="0"/>
              <w:rPr>
                <w:sz w:val="20"/>
                <w:szCs w:val="20"/>
                <w:color w:val="auto"/>
              </w:rPr>
            </w:pPr>
            <w:r>
              <w:rPr>
                <w:rFonts w:ascii="Arial" w:cs="Arial" w:eastAsia="Arial" w:hAnsi="Arial"/>
                <w:sz w:val="18"/>
                <w:szCs w:val="18"/>
                <w:b w:val="1"/>
                <w:bCs w:val="1"/>
                <w:color w:val="595959"/>
              </w:rPr>
              <w:t>Relevant Skills</w:t>
            </w:r>
          </w:p>
        </w:tc>
      </w:tr>
      <w:tr>
        <w:trPr>
          <w:trHeight w:val="330"/>
        </w:trPr>
        <w:tc>
          <w:tcPr>
            <w:tcW w:w="220" w:type="dxa"/>
            <w:vAlign w:val="bottom"/>
          </w:tcPr>
          <w:p>
            <w:pPr>
              <w:spacing w:after="0"/>
              <w:rPr>
                <w:sz w:val="20"/>
                <w:szCs w:val="20"/>
                <w:color w:val="auto"/>
              </w:rPr>
            </w:pPr>
            <w:r>
              <w:rPr>
                <w:rFonts w:ascii="Arial" w:cs="Arial" w:eastAsia="Arial" w:hAnsi="Arial"/>
                <w:sz w:val="18"/>
                <w:szCs w:val="18"/>
                <w:color w:val="595959"/>
              </w:rPr>
              <w:t>•</w:t>
            </w:r>
          </w:p>
        </w:tc>
        <w:tc>
          <w:tcPr>
            <w:tcW w:w="1740" w:type="dxa"/>
            <w:vAlign w:val="bottom"/>
          </w:tcPr>
          <w:p>
            <w:pPr>
              <w:ind w:left="120"/>
              <w:spacing w:after="0"/>
              <w:rPr>
                <w:sz w:val="20"/>
                <w:szCs w:val="20"/>
                <w:color w:val="auto"/>
              </w:rPr>
            </w:pPr>
            <w:r>
              <w:rPr>
                <w:rFonts w:ascii="Arial" w:cs="Arial" w:eastAsia="Arial" w:hAnsi="Arial"/>
                <w:sz w:val="18"/>
                <w:szCs w:val="18"/>
                <w:color w:val="595959"/>
              </w:rPr>
              <w:t>Innovation</w:t>
            </w:r>
          </w:p>
        </w:tc>
        <w:tc>
          <w:tcPr>
            <w:tcW w:w="4080" w:type="dxa"/>
            <w:vAlign w:val="bottom"/>
          </w:tcPr>
          <w:p>
            <w:pPr>
              <w:ind w:left="3880"/>
              <w:spacing w:after="0"/>
              <w:rPr>
                <w:sz w:val="20"/>
                <w:szCs w:val="20"/>
                <w:color w:val="auto"/>
              </w:rPr>
            </w:pPr>
            <w:r>
              <w:rPr>
                <w:rFonts w:ascii="Arial" w:cs="Arial" w:eastAsia="Arial" w:hAnsi="Arial"/>
                <w:sz w:val="18"/>
                <w:szCs w:val="18"/>
                <w:color w:val="595959"/>
              </w:rPr>
              <w:t>•</w:t>
            </w:r>
          </w:p>
        </w:tc>
        <w:tc>
          <w:tcPr>
            <w:tcW w:w="5200" w:type="dxa"/>
            <w:vAlign w:val="bottom"/>
          </w:tcPr>
          <w:p>
            <w:pPr>
              <w:ind w:left="140"/>
              <w:spacing w:after="0"/>
              <w:rPr>
                <w:sz w:val="20"/>
                <w:szCs w:val="20"/>
                <w:color w:val="auto"/>
              </w:rPr>
            </w:pPr>
            <w:r>
              <w:rPr>
                <w:rFonts w:ascii="Arial" w:cs="Arial" w:eastAsia="Arial" w:hAnsi="Arial"/>
                <w:sz w:val="18"/>
                <w:szCs w:val="18"/>
                <w:color w:val="595959"/>
              </w:rPr>
              <w:t>Finance</w:t>
            </w:r>
          </w:p>
        </w:tc>
      </w:tr>
      <w:tr>
        <w:trPr>
          <w:trHeight w:val="297"/>
        </w:trPr>
        <w:tc>
          <w:tcPr>
            <w:tcW w:w="220" w:type="dxa"/>
            <w:vAlign w:val="bottom"/>
          </w:tcPr>
          <w:p>
            <w:pPr>
              <w:spacing w:after="0"/>
              <w:rPr>
                <w:sz w:val="20"/>
                <w:szCs w:val="20"/>
                <w:color w:val="auto"/>
              </w:rPr>
            </w:pPr>
            <w:r>
              <w:rPr>
                <w:rFonts w:ascii="Arial" w:cs="Arial" w:eastAsia="Arial" w:hAnsi="Arial"/>
                <w:sz w:val="18"/>
                <w:szCs w:val="18"/>
                <w:color w:val="595959"/>
              </w:rPr>
              <w:t>•</w:t>
            </w:r>
          </w:p>
        </w:tc>
        <w:tc>
          <w:tcPr>
            <w:tcW w:w="1740" w:type="dxa"/>
            <w:vAlign w:val="bottom"/>
          </w:tcPr>
          <w:p>
            <w:pPr>
              <w:ind w:left="120"/>
              <w:spacing w:after="0"/>
              <w:rPr>
                <w:sz w:val="20"/>
                <w:szCs w:val="20"/>
                <w:color w:val="auto"/>
              </w:rPr>
            </w:pPr>
            <w:r>
              <w:rPr>
                <w:rFonts w:ascii="Arial" w:cs="Arial" w:eastAsia="Arial" w:hAnsi="Arial"/>
                <w:sz w:val="18"/>
                <w:szCs w:val="18"/>
                <w:color w:val="595959"/>
              </w:rPr>
              <w:t>Industry</w:t>
            </w:r>
          </w:p>
        </w:tc>
        <w:tc>
          <w:tcPr>
            <w:tcW w:w="4080" w:type="dxa"/>
            <w:vAlign w:val="bottom"/>
          </w:tcPr>
          <w:p>
            <w:pPr>
              <w:ind w:left="3880"/>
              <w:spacing w:after="0"/>
              <w:rPr>
                <w:sz w:val="20"/>
                <w:szCs w:val="20"/>
                <w:color w:val="auto"/>
              </w:rPr>
            </w:pPr>
            <w:r>
              <w:rPr>
                <w:rFonts w:ascii="Arial" w:cs="Arial" w:eastAsia="Arial" w:hAnsi="Arial"/>
                <w:sz w:val="18"/>
                <w:szCs w:val="18"/>
                <w:color w:val="595959"/>
              </w:rPr>
              <w:t>•</w:t>
            </w:r>
          </w:p>
        </w:tc>
        <w:tc>
          <w:tcPr>
            <w:tcW w:w="5200" w:type="dxa"/>
            <w:vAlign w:val="bottom"/>
          </w:tcPr>
          <w:p>
            <w:pPr>
              <w:ind w:left="140"/>
              <w:spacing w:after="0"/>
              <w:rPr>
                <w:sz w:val="20"/>
                <w:szCs w:val="20"/>
                <w:color w:val="auto"/>
              </w:rPr>
            </w:pPr>
            <w:r>
              <w:rPr>
                <w:rFonts w:ascii="Arial" w:cs="Arial" w:eastAsia="Arial" w:hAnsi="Arial"/>
                <w:sz w:val="18"/>
                <w:szCs w:val="18"/>
                <w:color w:val="595959"/>
              </w:rPr>
              <w:t>Leadership</w:t>
            </w:r>
          </w:p>
        </w:tc>
      </w:tr>
      <w:tr>
        <w:trPr>
          <w:trHeight w:val="277"/>
        </w:trPr>
        <w:tc>
          <w:tcPr>
            <w:tcW w:w="220" w:type="dxa"/>
            <w:vAlign w:val="bottom"/>
          </w:tcPr>
          <w:p>
            <w:pPr>
              <w:spacing w:after="0"/>
              <w:rPr>
                <w:sz w:val="20"/>
                <w:szCs w:val="20"/>
                <w:color w:val="auto"/>
              </w:rPr>
            </w:pPr>
            <w:r>
              <w:rPr>
                <w:rFonts w:ascii="Arial" w:cs="Arial" w:eastAsia="Arial" w:hAnsi="Arial"/>
                <w:sz w:val="18"/>
                <w:szCs w:val="18"/>
                <w:color w:val="595959"/>
              </w:rPr>
              <w:t>•</w:t>
            </w:r>
          </w:p>
        </w:tc>
        <w:tc>
          <w:tcPr>
            <w:tcW w:w="1740" w:type="dxa"/>
            <w:vAlign w:val="bottom"/>
          </w:tcPr>
          <w:p>
            <w:pPr>
              <w:ind w:left="120"/>
              <w:spacing w:after="0"/>
              <w:rPr>
                <w:sz w:val="20"/>
                <w:szCs w:val="20"/>
                <w:color w:val="auto"/>
              </w:rPr>
            </w:pPr>
            <w:r>
              <w:rPr>
                <w:rFonts w:ascii="Arial" w:cs="Arial" w:eastAsia="Arial" w:hAnsi="Arial"/>
                <w:sz w:val="18"/>
                <w:szCs w:val="18"/>
                <w:color w:val="595959"/>
              </w:rPr>
              <w:t>Education</w:t>
            </w:r>
          </w:p>
        </w:tc>
        <w:tc>
          <w:tcPr>
            <w:tcW w:w="4080" w:type="dxa"/>
            <w:vAlign w:val="bottom"/>
          </w:tcPr>
          <w:p>
            <w:pPr>
              <w:ind w:left="3880"/>
              <w:spacing w:after="0"/>
              <w:rPr>
                <w:sz w:val="20"/>
                <w:szCs w:val="20"/>
                <w:color w:val="auto"/>
              </w:rPr>
            </w:pPr>
            <w:r>
              <w:rPr>
                <w:rFonts w:ascii="Arial" w:cs="Arial" w:eastAsia="Arial" w:hAnsi="Arial"/>
                <w:sz w:val="18"/>
                <w:szCs w:val="18"/>
                <w:color w:val="595959"/>
              </w:rPr>
              <w:t>•</w:t>
            </w:r>
          </w:p>
        </w:tc>
        <w:tc>
          <w:tcPr>
            <w:tcW w:w="5200" w:type="dxa"/>
            <w:vAlign w:val="bottom"/>
          </w:tcPr>
          <w:p>
            <w:pPr>
              <w:ind w:left="140"/>
              <w:spacing w:after="0"/>
              <w:rPr>
                <w:sz w:val="20"/>
                <w:szCs w:val="20"/>
                <w:color w:val="auto"/>
              </w:rPr>
            </w:pPr>
            <w:r>
              <w:rPr>
                <w:rFonts w:ascii="Arial" w:cs="Arial" w:eastAsia="Arial" w:hAnsi="Arial"/>
                <w:sz w:val="18"/>
                <w:szCs w:val="18"/>
                <w:color w:val="595959"/>
              </w:rPr>
              <w:t>Global</w:t>
            </w:r>
          </w:p>
        </w:tc>
      </w:tr>
      <w:tr>
        <w:trPr>
          <w:trHeight w:val="445"/>
        </w:trPr>
        <w:tc>
          <w:tcPr>
            <w:tcW w:w="6040" w:type="dxa"/>
            <w:vAlign w:val="bottom"/>
            <w:gridSpan w:val="3"/>
          </w:tcPr>
          <w:p>
            <w:pPr>
              <w:spacing w:after="0"/>
              <w:rPr>
                <w:sz w:val="20"/>
                <w:szCs w:val="20"/>
                <w:color w:val="auto"/>
              </w:rPr>
            </w:pPr>
            <w:r>
              <w:rPr>
                <w:rFonts w:ascii="Arial" w:cs="Arial" w:eastAsia="Arial" w:hAnsi="Arial"/>
                <w:sz w:val="18"/>
                <w:szCs w:val="18"/>
                <w:b w:val="1"/>
                <w:bCs w:val="1"/>
                <w:color w:val="595959"/>
              </w:rPr>
              <w:t>Other Public Board Service</w:t>
            </w:r>
          </w:p>
        </w:tc>
        <w:tc>
          <w:tcPr>
            <w:tcW w:w="5200" w:type="dxa"/>
            <w:vAlign w:val="bottom"/>
          </w:tcPr>
          <w:p>
            <w:pPr>
              <w:spacing w:after="0"/>
              <w:rPr>
                <w:sz w:val="24"/>
                <w:szCs w:val="24"/>
                <w:color w:val="auto"/>
              </w:rPr>
            </w:pPr>
          </w:p>
        </w:tc>
      </w:tr>
      <w:tr>
        <w:trPr>
          <w:trHeight w:val="365"/>
        </w:trPr>
        <w:tc>
          <w:tcPr>
            <w:tcW w:w="220" w:type="dxa"/>
            <w:vAlign w:val="bottom"/>
          </w:tcPr>
          <w:p>
            <w:pPr>
              <w:ind w:left="60"/>
              <w:spacing w:after="0"/>
              <w:rPr>
                <w:sz w:val="20"/>
                <w:szCs w:val="20"/>
                <w:color w:val="auto"/>
              </w:rPr>
            </w:pPr>
            <w:r>
              <w:rPr>
                <w:rFonts w:ascii="Arial" w:cs="Arial" w:eastAsia="Arial" w:hAnsi="Arial"/>
                <w:sz w:val="18"/>
                <w:szCs w:val="18"/>
                <w:color w:val="595959"/>
              </w:rPr>
              <w:t>•</w:t>
            </w:r>
          </w:p>
        </w:tc>
        <w:tc>
          <w:tcPr>
            <w:tcW w:w="1740" w:type="dxa"/>
            <w:vAlign w:val="bottom"/>
          </w:tcPr>
          <w:p>
            <w:pPr>
              <w:ind w:left="120"/>
              <w:spacing w:after="0"/>
              <w:rPr>
                <w:sz w:val="20"/>
                <w:szCs w:val="20"/>
                <w:color w:val="auto"/>
              </w:rPr>
            </w:pPr>
            <w:r>
              <w:rPr>
                <w:rFonts w:ascii="Arial" w:cs="Arial" w:eastAsia="Arial" w:hAnsi="Arial"/>
                <w:sz w:val="18"/>
                <w:szCs w:val="18"/>
                <w:color w:val="595959"/>
              </w:rPr>
              <w:t>Ambarella, Inc.</w:t>
            </w:r>
          </w:p>
        </w:tc>
        <w:tc>
          <w:tcPr>
            <w:tcW w:w="4080" w:type="dxa"/>
            <w:vAlign w:val="bottom"/>
          </w:tcPr>
          <w:p>
            <w:pPr>
              <w:ind w:left="260"/>
              <w:spacing w:after="0"/>
              <w:rPr>
                <w:sz w:val="20"/>
                <w:szCs w:val="20"/>
                <w:color w:val="auto"/>
              </w:rPr>
            </w:pPr>
            <w:r>
              <w:rPr>
                <w:rFonts w:ascii="Arial" w:cs="Arial" w:eastAsia="Arial" w:hAnsi="Arial"/>
                <w:sz w:val="18"/>
                <w:szCs w:val="18"/>
                <w:color w:val="595959"/>
              </w:rPr>
              <w:t>2010-present</w:t>
            </w:r>
          </w:p>
        </w:tc>
        <w:tc>
          <w:tcPr>
            <w:tcW w:w="5200" w:type="dxa"/>
            <w:vAlign w:val="bottom"/>
          </w:tcPr>
          <w:p>
            <w:pPr>
              <w:spacing w:after="0"/>
              <w:rPr>
                <w:sz w:val="24"/>
                <w:szCs w:val="24"/>
                <w:color w:val="auto"/>
              </w:rPr>
            </w:pPr>
          </w:p>
        </w:tc>
      </w:tr>
      <w:tr>
        <w:trPr>
          <w:trHeight w:val="310"/>
        </w:trPr>
        <w:tc>
          <w:tcPr>
            <w:tcW w:w="220" w:type="dxa"/>
            <w:vAlign w:val="bottom"/>
          </w:tcPr>
          <w:p>
            <w:pPr>
              <w:ind w:left="60"/>
              <w:spacing w:after="0"/>
              <w:rPr>
                <w:sz w:val="20"/>
                <w:szCs w:val="20"/>
                <w:color w:val="auto"/>
              </w:rPr>
            </w:pPr>
            <w:r>
              <w:rPr>
                <w:rFonts w:ascii="Arial" w:cs="Arial" w:eastAsia="Arial" w:hAnsi="Arial"/>
                <w:sz w:val="18"/>
                <w:szCs w:val="18"/>
                <w:color w:val="595959"/>
              </w:rPr>
              <w:t>•</w:t>
            </w:r>
          </w:p>
        </w:tc>
        <w:tc>
          <w:tcPr>
            <w:tcW w:w="1740" w:type="dxa"/>
            <w:vAlign w:val="bottom"/>
          </w:tcPr>
          <w:p>
            <w:pPr>
              <w:ind w:left="120"/>
              <w:spacing w:after="0"/>
              <w:rPr>
                <w:sz w:val="20"/>
                <w:szCs w:val="20"/>
                <w:color w:val="auto"/>
              </w:rPr>
            </w:pPr>
            <w:r>
              <w:rPr>
                <w:rFonts w:ascii="Arial" w:cs="Arial" w:eastAsia="Arial" w:hAnsi="Arial"/>
                <w:sz w:val="18"/>
                <w:szCs w:val="18"/>
                <w:color w:val="595959"/>
              </w:rPr>
              <w:t>Inphi Corporation</w:t>
            </w:r>
          </w:p>
        </w:tc>
        <w:tc>
          <w:tcPr>
            <w:tcW w:w="4080" w:type="dxa"/>
            <w:vAlign w:val="bottom"/>
          </w:tcPr>
          <w:p>
            <w:pPr>
              <w:ind w:left="260"/>
              <w:spacing w:after="0"/>
              <w:rPr>
                <w:sz w:val="20"/>
                <w:szCs w:val="20"/>
                <w:color w:val="auto"/>
              </w:rPr>
            </w:pPr>
            <w:r>
              <w:rPr>
                <w:rFonts w:ascii="Arial" w:cs="Arial" w:eastAsia="Arial" w:hAnsi="Arial"/>
                <w:sz w:val="18"/>
                <w:szCs w:val="18"/>
                <w:color w:val="595959"/>
              </w:rPr>
              <w:t>2011-present</w:t>
            </w:r>
          </w:p>
        </w:tc>
        <w:tc>
          <w:tcPr>
            <w:tcW w:w="5200" w:type="dxa"/>
            <w:vAlign w:val="bottom"/>
          </w:tcPr>
          <w:p>
            <w:pPr>
              <w:spacing w:after="0"/>
              <w:rPr>
                <w:sz w:val="24"/>
                <w:szCs w:val="24"/>
                <w:color w:val="auto"/>
              </w:rPr>
            </w:pPr>
          </w:p>
        </w:tc>
      </w:tr>
      <w:tr>
        <w:trPr>
          <w:trHeight w:val="760"/>
        </w:trPr>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080" w:type="dxa"/>
            <w:vAlign w:val="bottom"/>
          </w:tcPr>
          <w:p>
            <w:pPr>
              <w:ind w:left="3580"/>
              <w:spacing w:after="0"/>
              <w:rPr>
                <w:sz w:val="20"/>
                <w:szCs w:val="20"/>
                <w:color w:val="auto"/>
              </w:rPr>
            </w:pPr>
            <w:r>
              <w:rPr>
                <w:rFonts w:ascii="Arial" w:cs="Arial" w:eastAsia="Arial" w:hAnsi="Arial"/>
                <w:sz w:val="14"/>
                <w:szCs w:val="14"/>
                <w:color w:val="auto"/>
              </w:rPr>
              <w:t>26</w:t>
            </w:r>
          </w:p>
        </w:tc>
        <w:tc>
          <w:tcPr>
            <w:tcW w:w="5200" w:type="dxa"/>
            <w:vAlign w:val="bottom"/>
          </w:tcPr>
          <w:p>
            <w:pPr>
              <w:spacing w:after="0"/>
              <w:rPr>
                <w:sz w:val="24"/>
                <w:szCs w:val="24"/>
                <w:color w:val="auto"/>
              </w:rPr>
            </w:pPr>
          </w:p>
        </w:tc>
      </w:tr>
      <w:tr>
        <w:trPr>
          <w:trHeight w:val="44"/>
        </w:trPr>
        <w:tc>
          <w:tcPr>
            <w:tcW w:w="22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4080" w:type="dxa"/>
            <w:vAlign w:val="bottom"/>
            <w:tcBorders>
              <w:bottom w:val="single" w:sz="8" w:color="auto"/>
            </w:tcBorders>
          </w:tcPr>
          <w:p>
            <w:pPr>
              <w:spacing w:after="0"/>
              <w:rPr>
                <w:sz w:val="3"/>
                <w:szCs w:val="3"/>
                <w:color w:val="auto"/>
              </w:rPr>
            </w:pPr>
          </w:p>
        </w:tc>
        <w:tc>
          <w:tcPr>
            <w:tcW w:w="52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30" w:right="339" w:bottom="1440" w:gutter="0" w:footer="0" w:header="0"/>
          <w:type w:val="continuous"/>
        </w:sectPr>
      </w:pPr>
    </w:p>
    <w:bookmarkStart w:id="32" w:name="page33"/>
    <w:bookmarkEnd w:id="32"/>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49"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595959"/>
        </w:rPr>
        <w:t>YINAN XIANG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916940" cy="12344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916940" cy="1234440"/>
                    </a:xfrm>
                    <a:prstGeom prst="rect">
                      <a:avLst/>
                    </a:prstGeom>
                    <a:noFill/>
                  </pic:spPr>
                </pic:pic>
              </a:graphicData>
            </a:graphic>
          </wp:anchor>
        </w:drawing>
      </w:r>
    </w:p>
    <w:p>
      <w:pPr>
        <w:spacing w:after="0" w:line="106" w:lineRule="exact"/>
        <w:rPr>
          <w:sz w:val="20"/>
          <w:szCs w:val="20"/>
          <w:color w:val="auto"/>
        </w:rPr>
      </w:pPr>
    </w:p>
    <w:p>
      <w:pPr>
        <w:ind w:left="1900"/>
        <w:spacing w:after="0"/>
        <w:rPr>
          <w:sz w:val="20"/>
          <w:szCs w:val="20"/>
          <w:color w:val="auto"/>
        </w:rPr>
      </w:pPr>
      <w:r>
        <w:rPr>
          <w:rFonts w:ascii="Arial" w:cs="Arial" w:eastAsia="Arial" w:hAnsi="Arial"/>
          <w:sz w:val="18"/>
          <w:szCs w:val="18"/>
          <w:color w:val="595959"/>
        </w:rPr>
        <w:t>Age: 46</w:t>
      </w:r>
    </w:p>
    <w:p>
      <w:pPr>
        <w:spacing w:after="0" w:line="99" w:lineRule="exact"/>
        <w:rPr>
          <w:sz w:val="20"/>
          <w:szCs w:val="20"/>
          <w:color w:val="auto"/>
        </w:rPr>
      </w:pPr>
    </w:p>
    <w:p>
      <w:pPr>
        <w:ind w:left="1900"/>
        <w:spacing w:after="0"/>
        <w:rPr>
          <w:sz w:val="20"/>
          <w:szCs w:val="20"/>
          <w:color w:val="auto"/>
        </w:rPr>
      </w:pPr>
      <w:r>
        <w:rPr>
          <w:rFonts w:ascii="Arial" w:cs="Arial" w:eastAsia="Arial" w:hAnsi="Arial"/>
          <w:sz w:val="18"/>
          <w:szCs w:val="18"/>
          <w:color w:val="595959"/>
        </w:rPr>
        <w:t>ACM Board Service</w:t>
      </w:r>
    </w:p>
    <w:p>
      <w:pPr>
        <w:ind w:left="2240" w:hanging="342"/>
        <w:spacing w:after="0"/>
        <w:tabs>
          <w:tab w:leader="none" w:pos="2240" w:val="left"/>
        </w:tabs>
        <w:numPr>
          <w:ilvl w:val="0"/>
          <w:numId w:val="48"/>
        </w:numPr>
        <w:rPr>
          <w:rFonts w:ascii="Arial" w:cs="Arial" w:eastAsia="Arial" w:hAnsi="Arial"/>
          <w:sz w:val="18"/>
          <w:szCs w:val="18"/>
          <w:color w:val="595959"/>
        </w:rPr>
      </w:pPr>
      <w:r>
        <w:rPr>
          <w:rFonts w:ascii="Arial" w:cs="Arial" w:eastAsia="Arial" w:hAnsi="Arial"/>
          <w:sz w:val="18"/>
          <w:szCs w:val="18"/>
          <w:color w:val="595959"/>
        </w:rPr>
        <w:t>Tenure: 4 years (2017)</w:t>
      </w:r>
    </w:p>
    <w:p>
      <w:pPr>
        <w:spacing w:after="0" w:line="49" w:lineRule="exact"/>
        <w:rPr>
          <w:rFonts w:ascii="Arial" w:cs="Arial" w:eastAsia="Arial" w:hAnsi="Arial"/>
          <w:sz w:val="18"/>
          <w:szCs w:val="18"/>
          <w:color w:val="595959"/>
        </w:rPr>
      </w:pPr>
    </w:p>
    <w:p>
      <w:pPr>
        <w:ind w:left="2240" w:hanging="342"/>
        <w:spacing w:after="0"/>
        <w:tabs>
          <w:tab w:leader="none" w:pos="2240" w:val="left"/>
        </w:tabs>
        <w:numPr>
          <w:ilvl w:val="0"/>
          <w:numId w:val="48"/>
        </w:numPr>
        <w:rPr>
          <w:rFonts w:ascii="Arial" w:cs="Arial" w:eastAsia="Arial" w:hAnsi="Arial"/>
          <w:sz w:val="18"/>
          <w:szCs w:val="18"/>
          <w:color w:val="595959"/>
        </w:rPr>
      </w:pPr>
      <w:r>
        <w:rPr>
          <w:rFonts w:ascii="Arial" w:cs="Arial" w:eastAsia="Arial" w:hAnsi="Arial"/>
          <w:sz w:val="18"/>
          <w:szCs w:val="18"/>
          <w:color w:val="595959"/>
        </w:rPr>
        <w:t>Audit Committee</w:t>
      </w:r>
    </w:p>
    <w:p>
      <w:pPr>
        <w:spacing w:after="0" w:line="200" w:lineRule="exact"/>
        <w:rPr>
          <w:sz w:val="20"/>
          <w:szCs w:val="20"/>
          <w:color w:val="auto"/>
        </w:rPr>
      </w:pPr>
    </w:p>
    <w:p>
      <w:pPr>
        <w:spacing w:after="0" w:line="246"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0070C0"/>
        </w:rPr>
        <w:t>INDEPENDENT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595959"/>
        </w:rPr>
        <w:t>Professional Experience</w:t>
      </w:r>
    </w:p>
    <w:p>
      <w:pPr>
        <w:spacing w:after="0" w:line="57" w:lineRule="exact"/>
        <w:rPr>
          <w:sz w:val="20"/>
          <w:szCs w:val="20"/>
          <w:color w:val="auto"/>
        </w:rPr>
      </w:pPr>
    </w:p>
    <w:p>
      <w:pPr>
        <w:ind w:left="340" w:hanging="332"/>
        <w:spacing w:after="0"/>
        <w:tabs>
          <w:tab w:leader="none" w:pos="340" w:val="left"/>
        </w:tabs>
        <w:numPr>
          <w:ilvl w:val="0"/>
          <w:numId w:val="49"/>
        </w:numPr>
        <w:rPr>
          <w:rFonts w:ascii="Arial" w:cs="Arial" w:eastAsia="Arial" w:hAnsi="Arial"/>
          <w:sz w:val="18"/>
          <w:szCs w:val="18"/>
          <w:color w:val="595959"/>
        </w:rPr>
      </w:pPr>
      <w:r>
        <w:rPr>
          <w:rFonts w:ascii="Arial" w:cs="Arial" w:eastAsia="Arial" w:hAnsi="Arial"/>
          <w:sz w:val="18"/>
          <w:szCs w:val="18"/>
          <w:color w:val="595959"/>
        </w:rPr>
        <w:t>Served as one of our directors since November 2017.</w:t>
      </w:r>
    </w:p>
    <w:p>
      <w:pPr>
        <w:spacing w:after="0" w:line="90" w:lineRule="exact"/>
        <w:rPr>
          <w:rFonts w:ascii="Arial" w:cs="Arial" w:eastAsia="Arial" w:hAnsi="Arial"/>
          <w:sz w:val="18"/>
          <w:szCs w:val="18"/>
          <w:color w:val="595959"/>
        </w:rPr>
      </w:pPr>
    </w:p>
    <w:p>
      <w:pPr>
        <w:jc w:val="both"/>
        <w:ind w:left="340" w:right="4739" w:hanging="332"/>
        <w:spacing w:after="0" w:line="289" w:lineRule="auto"/>
        <w:tabs>
          <w:tab w:leader="none" w:pos="340" w:val="left"/>
        </w:tabs>
        <w:numPr>
          <w:ilvl w:val="0"/>
          <w:numId w:val="49"/>
        </w:numPr>
        <w:rPr>
          <w:rFonts w:ascii="Arial" w:cs="Arial" w:eastAsia="Arial" w:hAnsi="Arial"/>
          <w:sz w:val="18"/>
          <w:szCs w:val="18"/>
          <w:color w:val="595959"/>
        </w:rPr>
      </w:pPr>
      <w:r>
        <w:rPr>
          <w:rFonts w:ascii="Arial" w:cs="Arial" w:eastAsia="Arial" w:hAnsi="Arial"/>
          <w:sz w:val="18"/>
          <w:szCs w:val="18"/>
          <w:color w:val="595959"/>
        </w:rPr>
        <w:t>Deputy General Manager of Shanghai S&amp;T Venture Capital (Group) Co. Ltd., or SSTVC, since October 2016.</w:t>
      </w:r>
    </w:p>
    <w:p>
      <w:pPr>
        <w:spacing w:after="0" w:line="1" w:lineRule="exact"/>
        <w:rPr>
          <w:rFonts w:ascii="Arial" w:cs="Arial" w:eastAsia="Arial" w:hAnsi="Arial"/>
          <w:sz w:val="18"/>
          <w:szCs w:val="18"/>
          <w:color w:val="595959"/>
        </w:rPr>
      </w:pPr>
    </w:p>
    <w:p>
      <w:pPr>
        <w:ind w:left="340" w:right="4759" w:hanging="332"/>
        <w:spacing w:after="0" w:line="289" w:lineRule="auto"/>
        <w:tabs>
          <w:tab w:leader="none" w:pos="340" w:val="left"/>
        </w:tabs>
        <w:numPr>
          <w:ilvl w:val="0"/>
          <w:numId w:val="49"/>
        </w:numPr>
        <w:rPr>
          <w:rFonts w:ascii="Arial" w:cs="Arial" w:eastAsia="Arial" w:hAnsi="Arial"/>
          <w:sz w:val="18"/>
          <w:szCs w:val="18"/>
          <w:color w:val="595959"/>
        </w:rPr>
      </w:pPr>
      <w:r>
        <w:rPr>
          <w:rFonts w:ascii="Arial" w:cs="Arial" w:eastAsia="Arial" w:hAnsi="Arial"/>
          <w:sz w:val="18"/>
          <w:szCs w:val="18"/>
          <w:color w:val="595959"/>
        </w:rPr>
        <w:t>Manager of the Project Investment Department of SSTVC from September 2014 to September 2016.</w:t>
      </w:r>
    </w:p>
    <w:p>
      <w:pPr>
        <w:spacing w:after="0" w:line="1" w:lineRule="exact"/>
        <w:rPr>
          <w:rFonts w:ascii="Arial" w:cs="Arial" w:eastAsia="Arial" w:hAnsi="Arial"/>
          <w:sz w:val="18"/>
          <w:szCs w:val="18"/>
          <w:color w:val="595959"/>
        </w:rPr>
      </w:pPr>
    </w:p>
    <w:p>
      <w:pPr>
        <w:jc w:val="both"/>
        <w:ind w:left="340" w:right="4739" w:hanging="332"/>
        <w:spacing w:after="0" w:line="278" w:lineRule="auto"/>
        <w:tabs>
          <w:tab w:leader="none" w:pos="340" w:val="left"/>
        </w:tabs>
        <w:numPr>
          <w:ilvl w:val="0"/>
          <w:numId w:val="49"/>
        </w:numPr>
        <w:rPr>
          <w:rFonts w:ascii="Arial" w:cs="Arial" w:eastAsia="Arial" w:hAnsi="Arial"/>
          <w:sz w:val="18"/>
          <w:szCs w:val="18"/>
          <w:color w:val="595959"/>
        </w:rPr>
      </w:pPr>
      <w:r>
        <w:rPr>
          <w:rFonts w:ascii="Arial" w:cs="Arial" w:eastAsia="Arial" w:hAnsi="Arial"/>
          <w:sz w:val="18"/>
          <w:szCs w:val="18"/>
          <w:color w:val="595959"/>
        </w:rPr>
        <w:t>Manager of Invest Department II of Shanghai Science and Technology Venture Capital Co., Ltd. from 2012 to August 2014.</w:t>
      </w:r>
    </w:p>
    <w:p>
      <w:pPr>
        <w:spacing w:after="0" w:line="28" w:lineRule="exact"/>
        <w:rPr>
          <w:rFonts w:ascii="Arial" w:cs="Arial" w:eastAsia="Arial" w:hAnsi="Arial"/>
          <w:sz w:val="18"/>
          <w:szCs w:val="18"/>
          <w:color w:val="595959"/>
        </w:rPr>
      </w:pPr>
    </w:p>
    <w:p>
      <w:pPr>
        <w:ind w:left="340" w:right="4759" w:hanging="332"/>
        <w:spacing w:after="0" w:line="246" w:lineRule="auto"/>
        <w:tabs>
          <w:tab w:leader="none" w:pos="340" w:val="left"/>
        </w:tabs>
        <w:numPr>
          <w:ilvl w:val="0"/>
          <w:numId w:val="49"/>
        </w:numPr>
        <w:rPr>
          <w:rFonts w:ascii="Arial" w:cs="Arial" w:eastAsia="Arial" w:hAnsi="Arial"/>
          <w:sz w:val="18"/>
          <w:szCs w:val="18"/>
          <w:color w:val="595959"/>
        </w:rPr>
      </w:pPr>
      <w:r>
        <w:rPr>
          <w:rFonts w:ascii="Arial" w:cs="Arial" w:eastAsia="Arial" w:hAnsi="Arial"/>
          <w:sz w:val="18"/>
          <w:szCs w:val="18"/>
          <w:color w:val="595959"/>
        </w:rPr>
        <w:t>Received a Bachelor of Science degree from Shanghai University of Finance and Economics.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595959"/>
        </w:rPr>
        <w:t>Relevant Skills</w:t>
      </w:r>
    </w:p>
    <w:p>
      <w:pPr>
        <w:spacing w:after="0" w:line="79" w:lineRule="exact"/>
        <w:rPr>
          <w:sz w:val="20"/>
          <w:szCs w:val="20"/>
          <w:color w:val="auto"/>
        </w:rPr>
      </w:pPr>
    </w:p>
    <w:p>
      <w:pPr>
        <w:ind w:left="340" w:hanging="332"/>
        <w:spacing w:after="0"/>
        <w:tabs>
          <w:tab w:leader="none" w:pos="340" w:val="left"/>
        </w:tabs>
        <w:numPr>
          <w:ilvl w:val="0"/>
          <w:numId w:val="50"/>
        </w:numPr>
        <w:rPr>
          <w:rFonts w:ascii="Arial" w:cs="Arial" w:eastAsia="Arial" w:hAnsi="Arial"/>
          <w:sz w:val="18"/>
          <w:szCs w:val="18"/>
          <w:color w:val="595959"/>
        </w:rPr>
      </w:pPr>
      <w:r>
        <w:rPr>
          <w:rFonts w:ascii="Arial" w:cs="Arial" w:eastAsia="Arial" w:hAnsi="Arial"/>
          <w:sz w:val="18"/>
          <w:szCs w:val="18"/>
          <w:color w:val="595959"/>
        </w:rPr>
        <w:t>Industry</w:t>
      </w:r>
    </w:p>
    <w:p>
      <w:pPr>
        <w:spacing w:after="0" w:line="136" w:lineRule="exact"/>
        <w:rPr>
          <w:rFonts w:ascii="Arial" w:cs="Arial" w:eastAsia="Arial" w:hAnsi="Arial"/>
          <w:sz w:val="18"/>
          <w:szCs w:val="18"/>
          <w:color w:val="595959"/>
        </w:rPr>
      </w:pPr>
    </w:p>
    <w:p>
      <w:pPr>
        <w:ind w:left="340" w:hanging="332"/>
        <w:spacing w:after="0"/>
        <w:tabs>
          <w:tab w:leader="none" w:pos="340" w:val="left"/>
        </w:tabs>
        <w:numPr>
          <w:ilvl w:val="0"/>
          <w:numId w:val="50"/>
        </w:numPr>
        <w:rPr>
          <w:rFonts w:ascii="Arial" w:cs="Arial" w:eastAsia="Arial" w:hAnsi="Arial"/>
          <w:sz w:val="18"/>
          <w:szCs w:val="18"/>
          <w:color w:val="595959"/>
        </w:rPr>
      </w:pPr>
      <w:r>
        <w:rPr>
          <w:rFonts w:ascii="Arial" w:cs="Arial" w:eastAsia="Arial" w:hAnsi="Arial"/>
          <w:sz w:val="18"/>
          <w:szCs w:val="18"/>
          <w:color w:val="595959"/>
        </w:rPr>
        <w:t>Finance</w:t>
      </w:r>
    </w:p>
    <w:p>
      <w:pPr>
        <w:spacing w:after="0" w:line="200" w:lineRule="exact"/>
        <w:rPr>
          <w:sz w:val="20"/>
          <w:szCs w:val="20"/>
          <w:color w:val="auto"/>
        </w:rPr>
      </w:pPr>
    </w:p>
    <w:p>
      <w:pPr>
        <w:spacing w:after="0" w:line="354"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0079C0"/>
        </w:rPr>
        <w:t>The board of directors recommends a vote</w:t>
      </w:r>
    </w:p>
    <w:p>
      <w:pPr>
        <w:spacing w:after="0" w:line="49" w:lineRule="exact"/>
        <w:rPr>
          <w:sz w:val="20"/>
          <w:szCs w:val="20"/>
          <w:color w:val="auto"/>
        </w:rPr>
      </w:pPr>
    </w:p>
    <w:p>
      <w:pPr>
        <w:jc w:val="center"/>
        <w:ind w:right="-1120"/>
        <w:spacing w:after="0"/>
        <w:rPr>
          <w:sz w:val="20"/>
          <w:szCs w:val="20"/>
          <w:color w:val="auto"/>
        </w:rPr>
      </w:pPr>
      <w:r>
        <w:rPr>
          <w:rFonts w:ascii="Arial" w:cs="Arial" w:eastAsia="Arial" w:hAnsi="Arial"/>
          <w:sz w:val="25"/>
          <w:szCs w:val="25"/>
          <w:b w:val="1"/>
          <w:bCs w:val="1"/>
          <w:color w:val="0079C0"/>
        </w:rPr>
        <w:t>FOR</w:t>
      </w:r>
    </w:p>
    <w:p>
      <w:pPr>
        <w:spacing w:after="0" w:line="2" w:lineRule="exact"/>
        <w:rPr>
          <w:sz w:val="20"/>
          <w:szCs w:val="20"/>
          <w:color w:val="auto"/>
        </w:rPr>
      </w:pPr>
    </w:p>
    <w:p>
      <w:pPr>
        <w:jc w:val="right"/>
        <w:ind w:right="1399"/>
        <w:spacing w:after="0"/>
        <w:rPr>
          <w:sz w:val="20"/>
          <w:szCs w:val="20"/>
          <w:color w:val="auto"/>
        </w:rPr>
      </w:pPr>
      <w:r>
        <w:rPr>
          <w:rFonts w:ascii="Arial" w:cs="Arial" w:eastAsia="Arial" w:hAnsi="Arial"/>
          <w:sz w:val="22"/>
          <w:szCs w:val="22"/>
          <w:b w:val="1"/>
          <w:bCs w:val="1"/>
          <w:color w:val="0079C0"/>
        </w:rPr>
        <w:t>each of the five nominees for election as directors.</w:t>
      </w:r>
    </w:p>
    <w:p>
      <w:pPr>
        <w:spacing w:after="0" w:line="387"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30" w:right="1440" w:bottom="1440" w:gutter="0" w:footer="0" w:header="0"/>
        </w:sectPr>
      </w:pPr>
    </w:p>
    <w:bookmarkStart w:id="33" w:name="page34"/>
    <w:bookmarkEnd w:id="33"/>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3E64"/>
        </w:rPr>
        <w:t>Beneficial Ownership of Common Stock</w:t>
      </w:r>
    </w:p>
    <w:p>
      <w:pPr>
        <w:spacing w:after="0" w:line="309" w:lineRule="exact"/>
        <w:rPr>
          <w:sz w:val="20"/>
          <w:szCs w:val="20"/>
          <w:color w:val="auto"/>
        </w:rPr>
      </w:pPr>
    </w:p>
    <w:p>
      <w:pPr>
        <w:spacing w:after="0" w:line="246" w:lineRule="auto"/>
        <w:rPr>
          <w:sz w:val="20"/>
          <w:szCs w:val="20"/>
          <w:color w:val="auto"/>
        </w:rPr>
      </w:pPr>
      <w:r>
        <w:rPr>
          <w:rFonts w:ascii="Arial" w:cs="Arial" w:eastAsia="Arial" w:hAnsi="Arial"/>
          <w:sz w:val="18"/>
          <w:szCs w:val="18"/>
          <w:color w:val="4D4D4F"/>
        </w:rPr>
        <w:t>The following table sets forth the number of outstanding shares of Class A and Class B common stock beneficially owned and the percentage of each class beneficially owned, as of the record date of April 8, 2021, by:</w:t>
      </w:r>
    </w:p>
    <w:p>
      <w:pPr>
        <w:spacing w:after="0" w:line="75" w:lineRule="exact"/>
        <w:rPr>
          <w:sz w:val="20"/>
          <w:szCs w:val="20"/>
          <w:color w:val="auto"/>
        </w:rPr>
      </w:pPr>
    </w:p>
    <w:p>
      <w:pPr>
        <w:ind w:left="340" w:hanging="332"/>
        <w:spacing w:after="0" w:line="246" w:lineRule="auto"/>
        <w:tabs>
          <w:tab w:leader="none" w:pos="340" w:val="left"/>
        </w:tabs>
        <w:numPr>
          <w:ilvl w:val="0"/>
          <w:numId w:val="51"/>
        </w:numPr>
        <w:rPr>
          <w:rFonts w:ascii="Arial" w:cs="Arial" w:eastAsia="Arial" w:hAnsi="Arial"/>
          <w:sz w:val="18"/>
          <w:szCs w:val="18"/>
          <w:color w:val="4D4D4F"/>
        </w:rPr>
      </w:pPr>
      <w:r>
        <w:rPr>
          <w:rFonts w:ascii="Arial" w:cs="Arial" w:eastAsia="Arial" w:hAnsi="Arial"/>
          <w:sz w:val="18"/>
          <w:szCs w:val="18"/>
          <w:color w:val="4D4D4F"/>
        </w:rPr>
        <w:t>each person known to us to be the beneficial owner of more than five percent of the then-outstanding Class A common stock (on an as-converted basis) or the then-outstanding Class B common stock;</w:t>
      </w:r>
    </w:p>
    <w:p>
      <w:pPr>
        <w:spacing w:after="0" w:line="61" w:lineRule="exact"/>
        <w:rPr>
          <w:rFonts w:ascii="Arial" w:cs="Arial" w:eastAsia="Arial" w:hAnsi="Arial"/>
          <w:sz w:val="18"/>
          <w:szCs w:val="18"/>
          <w:color w:val="4D4D4F"/>
        </w:rPr>
      </w:pPr>
    </w:p>
    <w:p>
      <w:pPr>
        <w:ind w:left="340" w:hanging="332"/>
        <w:spacing w:after="0"/>
        <w:tabs>
          <w:tab w:leader="none" w:pos="340" w:val="left"/>
        </w:tabs>
        <w:numPr>
          <w:ilvl w:val="0"/>
          <w:numId w:val="51"/>
        </w:numPr>
        <w:rPr>
          <w:rFonts w:ascii="Arial" w:cs="Arial" w:eastAsia="Arial" w:hAnsi="Arial"/>
          <w:sz w:val="18"/>
          <w:szCs w:val="18"/>
          <w:color w:val="4D4D4F"/>
        </w:rPr>
      </w:pPr>
      <w:r>
        <w:rPr>
          <w:rFonts w:ascii="Arial" w:cs="Arial" w:eastAsia="Arial" w:hAnsi="Arial"/>
          <w:sz w:val="18"/>
          <w:szCs w:val="18"/>
          <w:color w:val="4D4D4F"/>
        </w:rPr>
        <w:t>each director and NEO; and</w:t>
      </w:r>
    </w:p>
    <w:p>
      <w:pPr>
        <w:spacing w:after="0" w:line="90" w:lineRule="exact"/>
        <w:rPr>
          <w:rFonts w:ascii="Arial" w:cs="Arial" w:eastAsia="Arial" w:hAnsi="Arial"/>
          <w:sz w:val="18"/>
          <w:szCs w:val="18"/>
          <w:color w:val="4D4D4F"/>
        </w:rPr>
      </w:pPr>
    </w:p>
    <w:p>
      <w:pPr>
        <w:ind w:left="340" w:hanging="332"/>
        <w:spacing w:after="0"/>
        <w:tabs>
          <w:tab w:leader="none" w:pos="340" w:val="left"/>
        </w:tabs>
        <w:numPr>
          <w:ilvl w:val="0"/>
          <w:numId w:val="51"/>
        </w:numPr>
        <w:rPr>
          <w:rFonts w:ascii="Arial" w:cs="Arial" w:eastAsia="Arial" w:hAnsi="Arial"/>
          <w:sz w:val="18"/>
          <w:szCs w:val="18"/>
          <w:color w:val="4D4D4F"/>
        </w:rPr>
      </w:pPr>
      <w:r>
        <w:rPr>
          <w:rFonts w:ascii="Arial" w:cs="Arial" w:eastAsia="Arial" w:hAnsi="Arial"/>
          <w:sz w:val="18"/>
          <w:szCs w:val="18"/>
          <w:color w:val="4D4D4F"/>
        </w:rPr>
        <w:t>all of our directors and executive officers as a group.</w:t>
      </w:r>
    </w:p>
    <w:p>
      <w:pPr>
        <w:spacing w:after="0" w:line="9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4D4D4F"/>
        </w:rPr>
        <w:t xml:space="preserve">The number of shares of Class A and Class B common stock beneficially owned by each person is determined under the rules of the SEC. Under these rules, beneficial ownership includes any shares as to which the individual has sole or shared voting power or investment power and also any shares that the individual has the right to acquire by June 7, 2021 </w:t>
      </w:r>
      <w:r>
        <w:rPr>
          <w:rFonts w:ascii="Arial" w:cs="Arial" w:eastAsia="Arial" w:hAnsi="Arial"/>
          <w:sz w:val="18"/>
          <w:szCs w:val="18"/>
          <w:color w:val="404040"/>
        </w:rPr>
        <w:t>(sixty days after April 8, 2021</w:t>
      </w:r>
      <w:r>
        <w:rPr>
          <w:rFonts w:ascii="Arial" w:cs="Arial" w:eastAsia="Arial" w:hAnsi="Arial"/>
          <w:sz w:val="18"/>
          <w:szCs w:val="18"/>
          <w:color w:val="4D4D4F"/>
        </w:rPr>
        <w:t>) through the exercise or conversion of a security or other right. Unless otherwise indicated, each person has sole investment and voting power, or shares such power with a family member, with respect to the shares set forth in the following table. The inclusion in this table of any shares deemed beneficially owned does not constitute an admission of beneficial ownership of those shares for any other purpose.</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0" w:type="dxa"/>
            <w:vAlign w:val="bottom"/>
            <w:shd w:val="clear" w:color="auto" w:fill="003E64"/>
          </w:tcPr>
          <w:p>
            <w:pPr>
              <w:spacing w:after="0"/>
              <w:rPr>
                <w:sz w:val="20"/>
                <w:szCs w:val="20"/>
                <w:color w:val="auto"/>
              </w:rPr>
            </w:pPr>
          </w:p>
        </w:tc>
        <w:tc>
          <w:tcPr>
            <w:tcW w:w="1340" w:type="dxa"/>
            <w:vAlign w:val="bottom"/>
            <w:shd w:val="clear" w:color="auto" w:fill="003E64"/>
          </w:tcPr>
          <w:p>
            <w:pPr>
              <w:spacing w:after="0"/>
              <w:rPr>
                <w:sz w:val="20"/>
                <w:szCs w:val="20"/>
                <w:color w:val="auto"/>
              </w:rPr>
            </w:pPr>
          </w:p>
        </w:tc>
        <w:tc>
          <w:tcPr>
            <w:tcW w:w="1880" w:type="dxa"/>
            <w:vAlign w:val="bottom"/>
            <w:shd w:val="clear" w:color="auto" w:fill="003E64"/>
          </w:tcPr>
          <w:p>
            <w:pPr>
              <w:spacing w:after="0"/>
              <w:rPr>
                <w:sz w:val="20"/>
                <w:szCs w:val="20"/>
                <w:color w:val="auto"/>
              </w:rPr>
            </w:pPr>
          </w:p>
        </w:tc>
        <w:tc>
          <w:tcPr>
            <w:tcW w:w="2380" w:type="dxa"/>
            <w:vAlign w:val="bottom"/>
            <w:shd w:val="clear" w:color="auto" w:fill="003E64"/>
          </w:tcPr>
          <w:p>
            <w:pPr>
              <w:spacing w:after="0"/>
              <w:rPr>
                <w:sz w:val="20"/>
                <w:szCs w:val="20"/>
                <w:color w:val="auto"/>
              </w:rPr>
            </w:pPr>
          </w:p>
        </w:tc>
        <w:tc>
          <w:tcPr>
            <w:tcW w:w="1480" w:type="dxa"/>
            <w:vAlign w:val="bottom"/>
            <w:shd w:val="clear" w:color="auto" w:fill="003E64"/>
          </w:tcPr>
          <w:p>
            <w:pPr>
              <w:ind w:left="680"/>
              <w:spacing w:after="0"/>
              <w:rPr>
                <w:sz w:val="20"/>
                <w:szCs w:val="20"/>
                <w:color w:val="auto"/>
              </w:rPr>
            </w:pPr>
            <w:r>
              <w:rPr>
                <w:rFonts w:ascii="Arial" w:cs="Arial" w:eastAsia="Arial" w:hAnsi="Arial"/>
                <w:sz w:val="14"/>
                <w:szCs w:val="14"/>
                <w:b w:val="1"/>
                <w:bCs w:val="1"/>
                <w:color w:val="FFFFFF"/>
              </w:rPr>
              <w:t>Class A(1)</w:t>
            </w:r>
          </w:p>
        </w:tc>
        <w:tc>
          <w:tcPr>
            <w:tcW w:w="760" w:type="dxa"/>
            <w:vAlign w:val="bottom"/>
            <w:shd w:val="clear" w:color="auto" w:fill="003E64"/>
          </w:tcPr>
          <w:p>
            <w:pPr>
              <w:spacing w:after="0"/>
              <w:rPr>
                <w:sz w:val="20"/>
                <w:szCs w:val="20"/>
                <w:color w:val="auto"/>
              </w:rPr>
            </w:pPr>
          </w:p>
        </w:tc>
        <w:tc>
          <w:tcPr>
            <w:tcW w:w="1380" w:type="dxa"/>
            <w:vAlign w:val="bottom"/>
            <w:shd w:val="clear" w:color="auto" w:fill="003E64"/>
          </w:tcPr>
          <w:p>
            <w:pPr>
              <w:jc w:val="right"/>
              <w:ind w:right="88"/>
              <w:spacing w:after="0"/>
              <w:rPr>
                <w:sz w:val="20"/>
                <w:szCs w:val="20"/>
                <w:color w:val="auto"/>
              </w:rPr>
            </w:pPr>
            <w:r>
              <w:rPr>
                <w:rFonts w:ascii="Arial" w:cs="Arial" w:eastAsia="Arial" w:hAnsi="Arial"/>
                <w:sz w:val="14"/>
                <w:szCs w:val="14"/>
                <w:b w:val="1"/>
                <w:bCs w:val="1"/>
                <w:color w:val="FFFFFF"/>
              </w:rPr>
              <w:t>Class B</w:t>
            </w:r>
          </w:p>
        </w:tc>
        <w:tc>
          <w:tcPr>
            <w:tcW w:w="600" w:type="dxa"/>
            <w:vAlign w:val="bottom"/>
            <w:shd w:val="clear" w:color="auto" w:fill="003E64"/>
          </w:tcPr>
          <w:p>
            <w:pPr>
              <w:spacing w:after="0"/>
              <w:rPr>
                <w:sz w:val="20"/>
                <w:szCs w:val="20"/>
                <w:color w:val="auto"/>
              </w:rPr>
            </w:pPr>
          </w:p>
        </w:tc>
        <w:tc>
          <w:tcPr>
            <w:tcW w:w="1380" w:type="dxa"/>
            <w:vAlign w:val="bottom"/>
            <w:vMerge w:val="restart"/>
            <w:shd w:val="clear" w:color="auto" w:fill="003E64"/>
          </w:tcPr>
          <w:p>
            <w:pPr>
              <w:jc w:val="right"/>
              <w:ind w:right="48"/>
              <w:spacing w:after="0"/>
              <w:rPr>
                <w:sz w:val="20"/>
                <w:szCs w:val="20"/>
                <w:color w:val="auto"/>
              </w:rPr>
            </w:pPr>
            <w:r>
              <w:rPr>
                <w:rFonts w:ascii="Arial" w:cs="Arial" w:eastAsia="Arial" w:hAnsi="Arial"/>
                <w:sz w:val="14"/>
                <w:szCs w:val="14"/>
                <w:b w:val="1"/>
                <w:bCs w:val="1"/>
                <w:color w:val="FFFFFF"/>
              </w:rPr>
              <w:t>% of Total Voting</w:t>
            </w:r>
          </w:p>
        </w:tc>
        <w:tc>
          <w:tcPr>
            <w:tcW w:w="0" w:type="dxa"/>
            <w:vAlign w:val="bottom"/>
          </w:tcPr>
          <w:p>
            <w:pPr>
              <w:spacing w:after="0"/>
              <w:rPr>
                <w:sz w:val="1"/>
                <w:szCs w:val="1"/>
                <w:color w:val="auto"/>
              </w:rPr>
            </w:pPr>
          </w:p>
        </w:tc>
      </w:tr>
      <w:tr>
        <w:trPr>
          <w:trHeight w:val="53"/>
        </w:trPr>
        <w:tc>
          <w:tcPr>
            <w:tcW w:w="40" w:type="dxa"/>
            <w:vAlign w:val="bottom"/>
            <w:shd w:val="clear" w:color="auto" w:fill="003E64"/>
          </w:tcPr>
          <w:p>
            <w:pPr>
              <w:spacing w:after="0"/>
              <w:rPr>
                <w:sz w:val="4"/>
                <w:szCs w:val="4"/>
                <w:color w:val="auto"/>
              </w:rPr>
            </w:pPr>
          </w:p>
        </w:tc>
        <w:tc>
          <w:tcPr>
            <w:tcW w:w="1340" w:type="dxa"/>
            <w:vAlign w:val="bottom"/>
            <w:shd w:val="clear" w:color="auto" w:fill="003E64"/>
          </w:tcPr>
          <w:p>
            <w:pPr>
              <w:spacing w:after="0"/>
              <w:rPr>
                <w:sz w:val="4"/>
                <w:szCs w:val="4"/>
                <w:color w:val="auto"/>
              </w:rPr>
            </w:pPr>
          </w:p>
        </w:tc>
        <w:tc>
          <w:tcPr>
            <w:tcW w:w="1880" w:type="dxa"/>
            <w:vAlign w:val="bottom"/>
            <w:shd w:val="clear" w:color="auto" w:fill="003E64"/>
          </w:tcPr>
          <w:p>
            <w:pPr>
              <w:spacing w:after="0"/>
              <w:rPr>
                <w:sz w:val="4"/>
                <w:szCs w:val="4"/>
                <w:color w:val="auto"/>
              </w:rPr>
            </w:pPr>
          </w:p>
        </w:tc>
        <w:tc>
          <w:tcPr>
            <w:tcW w:w="2380" w:type="dxa"/>
            <w:vAlign w:val="bottom"/>
            <w:shd w:val="clear" w:color="auto" w:fill="003E64"/>
          </w:tcPr>
          <w:p>
            <w:pPr>
              <w:spacing w:after="0"/>
              <w:rPr>
                <w:sz w:val="4"/>
                <w:szCs w:val="4"/>
                <w:color w:val="auto"/>
              </w:rPr>
            </w:pPr>
          </w:p>
        </w:tc>
        <w:tc>
          <w:tcPr>
            <w:tcW w:w="1480" w:type="dxa"/>
            <w:vAlign w:val="bottom"/>
            <w:shd w:val="clear" w:color="auto" w:fill="003E64"/>
          </w:tcPr>
          <w:p>
            <w:pPr>
              <w:spacing w:after="0"/>
              <w:rPr>
                <w:sz w:val="4"/>
                <w:szCs w:val="4"/>
                <w:color w:val="auto"/>
              </w:rPr>
            </w:pPr>
          </w:p>
        </w:tc>
        <w:tc>
          <w:tcPr>
            <w:tcW w:w="760" w:type="dxa"/>
            <w:vAlign w:val="bottom"/>
            <w:shd w:val="clear" w:color="auto" w:fill="003E64"/>
          </w:tcPr>
          <w:p>
            <w:pPr>
              <w:spacing w:after="0"/>
              <w:rPr>
                <w:sz w:val="4"/>
                <w:szCs w:val="4"/>
                <w:color w:val="auto"/>
              </w:rPr>
            </w:pPr>
          </w:p>
        </w:tc>
        <w:tc>
          <w:tcPr>
            <w:tcW w:w="1380" w:type="dxa"/>
            <w:vAlign w:val="bottom"/>
            <w:shd w:val="clear" w:color="auto" w:fill="003E64"/>
          </w:tcPr>
          <w:p>
            <w:pPr>
              <w:spacing w:after="0"/>
              <w:rPr>
                <w:sz w:val="4"/>
                <w:szCs w:val="4"/>
                <w:color w:val="auto"/>
              </w:rPr>
            </w:pPr>
          </w:p>
        </w:tc>
        <w:tc>
          <w:tcPr>
            <w:tcW w:w="600" w:type="dxa"/>
            <w:vAlign w:val="bottom"/>
            <w:shd w:val="clear" w:color="auto" w:fill="003E64"/>
          </w:tcPr>
          <w:p>
            <w:pPr>
              <w:spacing w:after="0"/>
              <w:rPr>
                <w:sz w:val="4"/>
                <w:szCs w:val="4"/>
                <w:color w:val="auto"/>
              </w:rPr>
            </w:pPr>
          </w:p>
        </w:tc>
        <w:tc>
          <w:tcPr>
            <w:tcW w:w="1380" w:type="dxa"/>
            <w:vAlign w:val="bottom"/>
            <w:vMerge w:val="continue"/>
            <w:shd w:val="clear" w:color="auto" w:fill="003E64"/>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40" w:type="dxa"/>
            <w:vAlign w:val="bottom"/>
            <w:shd w:val="clear" w:color="auto" w:fill="003E64"/>
          </w:tcPr>
          <w:p>
            <w:pPr>
              <w:spacing w:after="0"/>
              <w:rPr>
                <w:sz w:val="17"/>
                <w:szCs w:val="17"/>
                <w:color w:val="auto"/>
              </w:rPr>
            </w:pPr>
          </w:p>
        </w:tc>
        <w:tc>
          <w:tcPr>
            <w:tcW w:w="5600" w:type="dxa"/>
            <w:vAlign w:val="bottom"/>
            <w:gridSpan w:val="3"/>
            <w:shd w:val="clear" w:color="auto" w:fill="003E64"/>
          </w:tcPr>
          <w:p>
            <w:pPr>
              <w:spacing w:after="0"/>
              <w:rPr>
                <w:sz w:val="20"/>
                <w:szCs w:val="20"/>
                <w:color w:val="auto"/>
              </w:rPr>
            </w:pPr>
            <w:r>
              <w:rPr>
                <w:rFonts w:ascii="Arial" w:cs="Arial" w:eastAsia="Arial" w:hAnsi="Arial"/>
                <w:sz w:val="14"/>
                <w:szCs w:val="14"/>
                <w:b w:val="1"/>
                <w:bCs w:val="1"/>
                <w:color w:val="FFFFFF"/>
              </w:rPr>
              <w:t>Beneficial Owner</w:t>
            </w:r>
          </w:p>
        </w:tc>
        <w:tc>
          <w:tcPr>
            <w:tcW w:w="1480" w:type="dxa"/>
            <w:vAlign w:val="bottom"/>
            <w:shd w:val="clear" w:color="auto" w:fill="003E64"/>
          </w:tcPr>
          <w:p>
            <w:pPr>
              <w:ind w:left="380"/>
              <w:spacing w:after="0"/>
              <w:rPr>
                <w:sz w:val="20"/>
                <w:szCs w:val="20"/>
                <w:color w:val="auto"/>
              </w:rPr>
            </w:pPr>
            <w:r>
              <w:rPr>
                <w:rFonts w:ascii="Arial" w:cs="Arial" w:eastAsia="Arial" w:hAnsi="Arial"/>
                <w:sz w:val="14"/>
                <w:szCs w:val="14"/>
                <w:b w:val="1"/>
                <w:bCs w:val="1"/>
                <w:color w:val="FFFFFF"/>
              </w:rPr>
              <w:t>Shares</w:t>
            </w:r>
          </w:p>
        </w:tc>
        <w:tc>
          <w:tcPr>
            <w:tcW w:w="760" w:type="dxa"/>
            <w:vAlign w:val="bottom"/>
            <w:shd w:val="clear" w:color="auto" w:fill="003E64"/>
          </w:tcPr>
          <w:p>
            <w:pPr>
              <w:jc w:val="right"/>
              <w:ind w:right="448"/>
              <w:spacing w:after="0"/>
              <w:rPr>
                <w:sz w:val="20"/>
                <w:szCs w:val="20"/>
                <w:color w:val="auto"/>
              </w:rPr>
            </w:pPr>
            <w:r>
              <w:rPr>
                <w:rFonts w:ascii="Arial" w:cs="Arial" w:eastAsia="Arial" w:hAnsi="Arial"/>
                <w:sz w:val="14"/>
                <w:szCs w:val="14"/>
                <w:b w:val="1"/>
                <w:bCs w:val="1"/>
                <w:color w:val="FFFFFF"/>
              </w:rPr>
              <w:t>%</w:t>
            </w:r>
          </w:p>
        </w:tc>
        <w:tc>
          <w:tcPr>
            <w:tcW w:w="1380" w:type="dxa"/>
            <w:vAlign w:val="bottom"/>
            <w:shd w:val="clear" w:color="auto" w:fill="003E64"/>
          </w:tcPr>
          <w:p>
            <w:pPr>
              <w:jc w:val="right"/>
              <w:ind w:right="508"/>
              <w:spacing w:after="0"/>
              <w:rPr>
                <w:sz w:val="20"/>
                <w:szCs w:val="20"/>
                <w:color w:val="auto"/>
              </w:rPr>
            </w:pPr>
            <w:r>
              <w:rPr>
                <w:rFonts w:ascii="Arial" w:cs="Arial" w:eastAsia="Arial" w:hAnsi="Arial"/>
                <w:sz w:val="14"/>
                <w:szCs w:val="14"/>
                <w:b w:val="1"/>
                <w:bCs w:val="1"/>
                <w:color w:val="FFFFFF"/>
              </w:rPr>
              <w:t>Shares</w:t>
            </w:r>
          </w:p>
        </w:tc>
        <w:tc>
          <w:tcPr>
            <w:tcW w:w="600" w:type="dxa"/>
            <w:vAlign w:val="bottom"/>
            <w:shd w:val="clear" w:color="auto" w:fill="003E64"/>
          </w:tcPr>
          <w:p>
            <w:pPr>
              <w:jc w:val="right"/>
              <w:ind w:right="268"/>
              <w:spacing w:after="0"/>
              <w:rPr>
                <w:sz w:val="20"/>
                <w:szCs w:val="20"/>
                <w:color w:val="auto"/>
              </w:rPr>
            </w:pPr>
            <w:r>
              <w:rPr>
                <w:rFonts w:ascii="Arial" w:cs="Arial" w:eastAsia="Arial" w:hAnsi="Arial"/>
                <w:sz w:val="14"/>
                <w:szCs w:val="14"/>
                <w:b w:val="1"/>
                <w:bCs w:val="1"/>
                <w:color w:val="FFFFFF"/>
              </w:rPr>
              <w:t>%</w:t>
            </w:r>
          </w:p>
        </w:tc>
        <w:tc>
          <w:tcPr>
            <w:tcW w:w="1380" w:type="dxa"/>
            <w:vAlign w:val="bottom"/>
            <w:shd w:val="clear" w:color="auto" w:fill="003E64"/>
          </w:tcPr>
          <w:p>
            <w:pPr>
              <w:jc w:val="right"/>
              <w:ind w:right="308"/>
              <w:spacing w:after="0"/>
              <w:rPr>
                <w:sz w:val="20"/>
                <w:szCs w:val="20"/>
                <w:color w:val="auto"/>
              </w:rPr>
            </w:pPr>
            <w:r>
              <w:rPr>
                <w:rFonts w:ascii="Arial" w:cs="Arial" w:eastAsia="Arial" w:hAnsi="Arial"/>
                <w:sz w:val="14"/>
                <w:szCs w:val="14"/>
                <w:b w:val="1"/>
                <w:bCs w:val="1"/>
                <w:color w:val="FFFFFF"/>
              </w:rPr>
              <w:t>Power(2)</w:t>
            </w: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5600" w:type="dxa"/>
            <w:vAlign w:val="bottom"/>
            <w:gridSpan w:val="3"/>
          </w:tcPr>
          <w:p>
            <w:pPr>
              <w:spacing w:after="0"/>
              <w:rPr>
                <w:sz w:val="20"/>
                <w:szCs w:val="20"/>
                <w:color w:val="auto"/>
              </w:rPr>
            </w:pPr>
            <w:r>
              <w:rPr>
                <w:rFonts w:ascii="Arial" w:cs="Arial" w:eastAsia="Arial" w:hAnsi="Arial"/>
                <w:sz w:val="14"/>
                <w:szCs w:val="14"/>
                <w:b w:val="1"/>
                <w:bCs w:val="1"/>
                <w:i w:val="1"/>
                <w:iCs w:val="1"/>
                <w:color w:val="4D4D4F"/>
              </w:rPr>
              <w:t>5% Stockholders</w:t>
            </w:r>
          </w:p>
        </w:tc>
        <w:tc>
          <w:tcPr>
            <w:tcW w:w="1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340" w:type="dxa"/>
            <w:vAlign w:val="bottom"/>
            <w:shd w:val="clear" w:color="auto" w:fill="4D4D4F"/>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40" w:type="dxa"/>
            <w:vAlign w:val="bottom"/>
          </w:tcPr>
          <w:p>
            <w:pPr>
              <w:spacing w:after="0"/>
              <w:rPr>
                <w:sz w:val="20"/>
                <w:szCs w:val="20"/>
                <w:color w:val="auto"/>
              </w:rPr>
            </w:pPr>
          </w:p>
        </w:tc>
        <w:tc>
          <w:tcPr>
            <w:tcW w:w="5600" w:type="dxa"/>
            <w:vAlign w:val="bottom"/>
            <w:gridSpan w:val="3"/>
          </w:tcPr>
          <w:p>
            <w:pPr>
              <w:spacing w:after="0"/>
              <w:rPr>
                <w:sz w:val="20"/>
                <w:szCs w:val="20"/>
                <w:color w:val="auto"/>
              </w:rPr>
            </w:pPr>
            <w:r>
              <w:rPr>
                <w:rFonts w:ascii="Arial" w:cs="Arial" w:eastAsia="Arial" w:hAnsi="Arial"/>
                <w:sz w:val="14"/>
                <w:szCs w:val="14"/>
                <w:color w:val="4D4D4F"/>
              </w:rPr>
              <w:t>Shanghai Science and Technology Venture Capital Co., Ltd.(3)</w:t>
            </w:r>
          </w:p>
        </w:tc>
        <w:tc>
          <w:tcPr>
            <w:tcW w:w="1480" w:type="dxa"/>
            <w:vAlign w:val="bottom"/>
          </w:tcPr>
          <w:p>
            <w:pPr>
              <w:jc w:val="center"/>
              <w:ind w:right="168"/>
              <w:spacing w:after="0"/>
              <w:rPr>
                <w:sz w:val="20"/>
                <w:szCs w:val="20"/>
                <w:color w:val="auto"/>
              </w:rPr>
            </w:pPr>
            <w:r>
              <w:rPr>
                <w:rFonts w:ascii="Arial" w:cs="Arial" w:eastAsia="Arial" w:hAnsi="Arial"/>
                <w:sz w:val="14"/>
                <w:szCs w:val="14"/>
                <w:color w:val="4D4D4F"/>
              </w:rPr>
              <w:t>1,506,170</w:t>
            </w:r>
          </w:p>
        </w:tc>
        <w:tc>
          <w:tcPr>
            <w:tcW w:w="760" w:type="dxa"/>
            <w:vAlign w:val="bottom"/>
            <w:vMerge w:val="restart"/>
          </w:tcPr>
          <w:p>
            <w:pPr>
              <w:jc w:val="center"/>
              <w:ind w:right="8"/>
              <w:spacing w:after="0"/>
              <w:rPr>
                <w:sz w:val="20"/>
                <w:szCs w:val="20"/>
                <w:color w:val="auto"/>
              </w:rPr>
            </w:pPr>
            <w:r>
              <w:rPr>
                <w:rFonts w:ascii="Arial" w:cs="Arial" w:eastAsia="Arial" w:hAnsi="Arial"/>
                <w:sz w:val="14"/>
                <w:szCs w:val="14"/>
                <w:color w:val="4D4D4F"/>
              </w:rPr>
              <w:t>8.7%</w:t>
            </w:r>
          </w:p>
        </w:tc>
        <w:tc>
          <w:tcPr>
            <w:tcW w:w="1380" w:type="dxa"/>
            <w:vAlign w:val="bottom"/>
          </w:tcPr>
          <w:p>
            <w:pPr>
              <w:jc w:val="center"/>
              <w:ind w:right="188"/>
              <w:spacing w:after="0"/>
              <w:rPr>
                <w:sz w:val="20"/>
                <w:szCs w:val="20"/>
                <w:color w:val="auto"/>
              </w:rPr>
            </w:pPr>
            <w:r>
              <w:rPr>
                <w:rFonts w:ascii="Arial" w:cs="Arial" w:eastAsia="Arial" w:hAnsi="Arial"/>
                <w:sz w:val="14"/>
                <w:szCs w:val="14"/>
                <w:color w:val="4D4D4F"/>
              </w:rPr>
              <w:t>—</w:t>
            </w:r>
          </w:p>
        </w:tc>
        <w:tc>
          <w:tcPr>
            <w:tcW w:w="600" w:type="dxa"/>
            <w:vAlign w:val="bottom"/>
            <w:vMerge w:val="restart"/>
          </w:tcPr>
          <w:p>
            <w:pPr>
              <w:jc w:val="right"/>
              <w:ind w:right="88"/>
              <w:spacing w:after="0"/>
              <w:rPr>
                <w:sz w:val="20"/>
                <w:szCs w:val="20"/>
                <w:color w:val="auto"/>
              </w:rPr>
            </w:pPr>
            <w:r>
              <w:rPr>
                <w:rFonts w:ascii="Arial" w:cs="Arial" w:eastAsia="Arial" w:hAnsi="Arial"/>
                <w:sz w:val="14"/>
                <w:szCs w:val="14"/>
                <w:color w:val="4D4D4F"/>
              </w:rPr>
              <w:t>—</w:t>
            </w:r>
          </w:p>
        </w:tc>
        <w:tc>
          <w:tcPr>
            <w:tcW w:w="1380" w:type="dxa"/>
            <w:vAlign w:val="bottom"/>
            <w:vMerge w:val="restart"/>
          </w:tcPr>
          <w:p>
            <w:pPr>
              <w:jc w:val="right"/>
              <w:ind w:right="68"/>
              <w:spacing w:after="0"/>
              <w:rPr>
                <w:sz w:val="20"/>
                <w:szCs w:val="20"/>
                <w:color w:val="auto"/>
              </w:rPr>
            </w:pPr>
            <w:r>
              <w:rPr>
                <w:rFonts w:ascii="Arial" w:cs="Arial" w:eastAsia="Arial" w:hAnsi="Arial"/>
                <w:sz w:val="14"/>
                <w:szCs w:val="14"/>
                <w:color w:val="4D4D4F"/>
              </w:rPr>
              <w:t>2.9%</w:t>
            </w:r>
          </w:p>
        </w:tc>
        <w:tc>
          <w:tcPr>
            <w:tcW w:w="0" w:type="dxa"/>
            <w:vAlign w:val="bottom"/>
          </w:tcPr>
          <w:p>
            <w:pPr>
              <w:spacing w:after="0"/>
              <w:rPr>
                <w:sz w:val="1"/>
                <w:szCs w:val="1"/>
                <w:color w:val="auto"/>
              </w:rPr>
            </w:pPr>
          </w:p>
        </w:tc>
      </w:tr>
      <w:tr>
        <w:trPr>
          <w:trHeight w:val="168"/>
        </w:trPr>
        <w:tc>
          <w:tcPr>
            <w:tcW w:w="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40" w:type="dxa"/>
            <w:vAlign w:val="bottom"/>
            <w:shd w:val="clear" w:color="auto" w:fill="CCEEFF"/>
          </w:tcPr>
          <w:p>
            <w:pPr>
              <w:spacing w:after="0"/>
              <w:rPr>
                <w:sz w:val="21"/>
                <w:szCs w:val="21"/>
                <w:color w:val="auto"/>
              </w:rPr>
            </w:pPr>
          </w:p>
        </w:tc>
        <w:tc>
          <w:tcPr>
            <w:tcW w:w="5600" w:type="dxa"/>
            <w:vAlign w:val="bottom"/>
            <w:gridSpan w:val="3"/>
            <w:shd w:val="clear" w:color="auto" w:fill="CCEEFF"/>
          </w:tcPr>
          <w:p>
            <w:pPr>
              <w:spacing w:after="0"/>
              <w:rPr>
                <w:sz w:val="20"/>
                <w:szCs w:val="20"/>
                <w:color w:val="auto"/>
              </w:rPr>
            </w:pPr>
            <w:r>
              <w:rPr>
                <w:rFonts w:ascii="Arial" w:cs="Arial" w:eastAsia="Arial" w:hAnsi="Arial"/>
                <w:sz w:val="14"/>
                <w:szCs w:val="14"/>
                <w:color w:val="4D4D4F"/>
              </w:rPr>
              <w:t>Pudong Science and Technology (Cayman) Co., Ltd.(4)</w:t>
            </w:r>
          </w:p>
        </w:tc>
        <w:tc>
          <w:tcPr>
            <w:tcW w:w="1480" w:type="dxa"/>
            <w:vAlign w:val="bottom"/>
            <w:shd w:val="clear" w:color="auto" w:fill="CCEEFF"/>
          </w:tcPr>
          <w:p>
            <w:pPr>
              <w:jc w:val="center"/>
              <w:ind w:right="168"/>
              <w:spacing w:after="0"/>
              <w:rPr>
                <w:sz w:val="20"/>
                <w:szCs w:val="20"/>
                <w:color w:val="auto"/>
              </w:rPr>
            </w:pPr>
            <w:r>
              <w:rPr>
                <w:rFonts w:ascii="Arial" w:cs="Arial" w:eastAsia="Arial" w:hAnsi="Arial"/>
                <w:sz w:val="14"/>
                <w:szCs w:val="14"/>
                <w:color w:val="4D4D4F"/>
              </w:rPr>
              <w:t>1,119,576</w:t>
            </w:r>
          </w:p>
        </w:tc>
        <w:tc>
          <w:tcPr>
            <w:tcW w:w="760" w:type="dxa"/>
            <w:vAlign w:val="bottom"/>
            <w:shd w:val="clear" w:color="auto" w:fill="CCEEFF"/>
          </w:tcPr>
          <w:p>
            <w:pPr>
              <w:jc w:val="center"/>
              <w:ind w:right="8"/>
              <w:spacing w:after="0"/>
              <w:rPr>
                <w:sz w:val="20"/>
                <w:szCs w:val="20"/>
                <w:color w:val="auto"/>
              </w:rPr>
            </w:pPr>
            <w:r>
              <w:rPr>
                <w:rFonts w:ascii="Arial" w:cs="Arial" w:eastAsia="Arial" w:hAnsi="Arial"/>
                <w:sz w:val="14"/>
                <w:szCs w:val="14"/>
                <w:color w:val="4D4D4F"/>
              </w:rPr>
              <w:t>6.5</w:t>
            </w:r>
          </w:p>
        </w:tc>
        <w:tc>
          <w:tcPr>
            <w:tcW w:w="1380" w:type="dxa"/>
            <w:vAlign w:val="bottom"/>
            <w:shd w:val="clear" w:color="auto" w:fill="CCEEFF"/>
          </w:tcPr>
          <w:p>
            <w:pPr>
              <w:jc w:val="center"/>
              <w:ind w:right="188"/>
              <w:spacing w:after="0"/>
              <w:rPr>
                <w:sz w:val="20"/>
                <w:szCs w:val="20"/>
                <w:color w:val="auto"/>
              </w:rPr>
            </w:pPr>
            <w:r>
              <w:rPr>
                <w:rFonts w:ascii="Arial" w:cs="Arial" w:eastAsia="Arial" w:hAnsi="Arial"/>
                <w:sz w:val="14"/>
                <w:szCs w:val="14"/>
                <w:color w:val="4D4D4F"/>
              </w:rPr>
              <w:t>—</w:t>
            </w:r>
          </w:p>
        </w:tc>
        <w:tc>
          <w:tcPr>
            <w:tcW w:w="600" w:type="dxa"/>
            <w:vAlign w:val="bottom"/>
            <w:shd w:val="clear" w:color="auto" w:fill="CCEEFF"/>
          </w:tcPr>
          <w:p>
            <w:pPr>
              <w:jc w:val="center"/>
              <w:ind w:left="48"/>
              <w:spacing w:after="0"/>
              <w:rPr>
                <w:sz w:val="20"/>
                <w:szCs w:val="20"/>
                <w:color w:val="auto"/>
              </w:rPr>
            </w:pPr>
            <w:r>
              <w:rPr>
                <w:rFonts w:ascii="Arial" w:cs="Arial" w:eastAsia="Arial" w:hAnsi="Arial"/>
                <w:sz w:val="14"/>
                <w:szCs w:val="14"/>
                <w:color w:val="4D4D4F"/>
              </w:rPr>
              <w:t>—</w:t>
            </w:r>
          </w:p>
        </w:tc>
        <w:tc>
          <w:tcPr>
            <w:tcW w:w="1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4D4D4F"/>
              </w:rPr>
              <w:t>2.1</w:t>
            </w: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5600" w:type="dxa"/>
            <w:vAlign w:val="bottom"/>
            <w:gridSpan w:val="3"/>
          </w:tcPr>
          <w:p>
            <w:pPr>
              <w:spacing w:after="0"/>
              <w:rPr>
                <w:sz w:val="20"/>
                <w:szCs w:val="20"/>
                <w:color w:val="auto"/>
              </w:rPr>
            </w:pPr>
            <w:r>
              <w:rPr>
                <w:rFonts w:ascii="Arial" w:cs="Arial" w:eastAsia="Arial" w:hAnsi="Arial"/>
                <w:sz w:val="14"/>
                <w:szCs w:val="14"/>
                <w:b w:val="1"/>
                <w:bCs w:val="1"/>
                <w:i w:val="1"/>
                <w:iCs w:val="1"/>
                <w:color w:val="4D4D4F"/>
              </w:rPr>
              <w:t>Named Executive Oﬃcers and Directors</w:t>
            </w:r>
          </w:p>
        </w:tc>
        <w:tc>
          <w:tcPr>
            <w:tcW w:w="1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1340" w:type="dxa"/>
            <w:vAlign w:val="bottom"/>
            <w:tcBorders>
              <w:top w:val="single" w:sz="8" w:color="4D4D4F"/>
            </w:tcBorders>
          </w:tcPr>
          <w:p>
            <w:pPr>
              <w:spacing w:after="0"/>
              <w:rPr>
                <w:sz w:val="2"/>
                <w:szCs w:val="2"/>
                <w:color w:val="auto"/>
              </w:rPr>
            </w:pPr>
          </w:p>
        </w:tc>
        <w:tc>
          <w:tcPr>
            <w:tcW w:w="1880" w:type="dxa"/>
            <w:vAlign w:val="bottom"/>
            <w:tcBorders>
              <w:top w:val="single" w:sz="8" w:color="4D4D4F"/>
            </w:tcBorders>
          </w:tcPr>
          <w:p>
            <w:pPr>
              <w:spacing w:after="0"/>
              <w:rPr>
                <w:sz w:val="2"/>
                <w:szCs w:val="2"/>
                <w:color w:val="auto"/>
              </w:rPr>
            </w:pPr>
          </w:p>
        </w:tc>
        <w:tc>
          <w:tcPr>
            <w:tcW w:w="23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0" w:type="dxa"/>
            <w:vAlign w:val="bottom"/>
            <w:shd w:val="clear" w:color="auto" w:fill="CCEEFF"/>
          </w:tcPr>
          <w:p>
            <w:pPr>
              <w:spacing w:after="0"/>
              <w:rPr>
                <w:sz w:val="21"/>
                <w:szCs w:val="21"/>
                <w:color w:val="auto"/>
              </w:rPr>
            </w:pPr>
          </w:p>
        </w:tc>
        <w:tc>
          <w:tcPr>
            <w:tcW w:w="5600" w:type="dxa"/>
            <w:vAlign w:val="bottom"/>
            <w:gridSpan w:val="3"/>
            <w:shd w:val="clear" w:color="auto" w:fill="CCEEFF"/>
          </w:tcPr>
          <w:p>
            <w:pPr>
              <w:spacing w:after="0"/>
              <w:rPr>
                <w:sz w:val="20"/>
                <w:szCs w:val="20"/>
                <w:color w:val="auto"/>
              </w:rPr>
            </w:pPr>
            <w:r>
              <w:rPr>
                <w:rFonts w:ascii="Arial" w:cs="Arial" w:eastAsia="Arial" w:hAnsi="Arial"/>
                <w:sz w:val="14"/>
                <w:szCs w:val="14"/>
                <w:color w:val="4D4D4F"/>
              </w:rPr>
              <w:t>David H. Wang(5)</w:t>
            </w:r>
          </w:p>
        </w:tc>
        <w:tc>
          <w:tcPr>
            <w:tcW w:w="1480" w:type="dxa"/>
            <w:vAlign w:val="bottom"/>
            <w:shd w:val="clear" w:color="auto" w:fill="CCEEFF"/>
          </w:tcPr>
          <w:p>
            <w:pPr>
              <w:jc w:val="center"/>
              <w:ind w:right="168"/>
              <w:spacing w:after="0"/>
              <w:rPr>
                <w:sz w:val="20"/>
                <w:szCs w:val="20"/>
                <w:color w:val="auto"/>
              </w:rPr>
            </w:pPr>
            <w:r>
              <w:rPr>
                <w:rFonts w:ascii="Arial" w:cs="Arial" w:eastAsia="Arial" w:hAnsi="Arial"/>
                <w:sz w:val="14"/>
                <w:szCs w:val="14"/>
                <w:color w:val="4D4D4F"/>
              </w:rPr>
              <w:t>2,813,396</w:t>
            </w:r>
          </w:p>
        </w:tc>
        <w:tc>
          <w:tcPr>
            <w:tcW w:w="760" w:type="dxa"/>
            <w:vAlign w:val="bottom"/>
            <w:shd w:val="clear" w:color="auto" w:fill="CCEEFF"/>
          </w:tcPr>
          <w:p>
            <w:pPr>
              <w:jc w:val="center"/>
              <w:ind w:right="8"/>
              <w:spacing w:after="0"/>
              <w:rPr>
                <w:sz w:val="20"/>
                <w:szCs w:val="20"/>
                <w:color w:val="auto"/>
              </w:rPr>
            </w:pPr>
            <w:r>
              <w:rPr>
                <w:rFonts w:ascii="Arial" w:cs="Arial" w:eastAsia="Arial" w:hAnsi="Arial"/>
                <w:sz w:val="14"/>
                <w:szCs w:val="14"/>
                <w:color w:val="4D4D4F"/>
              </w:rPr>
              <w:t>16.3</w:t>
            </w:r>
          </w:p>
        </w:tc>
        <w:tc>
          <w:tcPr>
            <w:tcW w:w="1380" w:type="dxa"/>
            <w:vAlign w:val="bottom"/>
            <w:shd w:val="clear" w:color="auto" w:fill="CCEEFF"/>
          </w:tcPr>
          <w:p>
            <w:pPr>
              <w:jc w:val="center"/>
              <w:ind w:right="188"/>
              <w:spacing w:after="0"/>
              <w:rPr>
                <w:sz w:val="20"/>
                <w:szCs w:val="20"/>
                <w:color w:val="auto"/>
              </w:rPr>
            </w:pPr>
            <w:r>
              <w:rPr>
                <w:rFonts w:ascii="Arial" w:cs="Arial" w:eastAsia="Arial" w:hAnsi="Arial"/>
                <w:sz w:val="14"/>
                <w:szCs w:val="14"/>
                <w:color w:val="4D4D4F"/>
              </w:rPr>
              <w:t>1,388,936</w:t>
            </w:r>
          </w:p>
        </w:tc>
        <w:tc>
          <w:tcPr>
            <w:tcW w:w="600" w:type="dxa"/>
            <w:vAlign w:val="bottom"/>
            <w:shd w:val="clear" w:color="auto" w:fill="CCEEFF"/>
          </w:tcPr>
          <w:p>
            <w:pPr>
              <w:jc w:val="center"/>
              <w:ind w:left="48"/>
              <w:spacing w:after="0"/>
              <w:rPr>
                <w:sz w:val="20"/>
                <w:szCs w:val="20"/>
                <w:color w:val="auto"/>
              </w:rPr>
            </w:pPr>
            <w:r>
              <w:rPr>
                <w:rFonts w:ascii="Arial" w:cs="Arial" w:eastAsia="Arial" w:hAnsi="Arial"/>
                <w:sz w:val="14"/>
                <w:szCs w:val="14"/>
                <w:color w:val="4D4D4F"/>
              </w:rPr>
              <w:t>78.5%</w:t>
            </w:r>
          </w:p>
        </w:tc>
        <w:tc>
          <w:tcPr>
            <w:tcW w:w="1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4D4D4F"/>
              </w:rPr>
              <w:t>55.4</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600" w:type="dxa"/>
            <w:vAlign w:val="bottom"/>
            <w:gridSpan w:val="3"/>
          </w:tcPr>
          <w:p>
            <w:pPr>
              <w:spacing w:after="0"/>
              <w:rPr>
                <w:sz w:val="20"/>
                <w:szCs w:val="20"/>
                <w:color w:val="auto"/>
              </w:rPr>
            </w:pPr>
            <w:r>
              <w:rPr>
                <w:rFonts w:ascii="Arial" w:cs="Arial" w:eastAsia="Arial" w:hAnsi="Arial"/>
                <w:sz w:val="14"/>
                <w:szCs w:val="14"/>
                <w:color w:val="4D4D4F"/>
              </w:rPr>
              <w:t>Yinan Xiang(6)</w:t>
            </w:r>
          </w:p>
        </w:tc>
        <w:tc>
          <w:tcPr>
            <w:tcW w:w="1480" w:type="dxa"/>
            <w:vAlign w:val="bottom"/>
          </w:tcPr>
          <w:p>
            <w:pPr>
              <w:jc w:val="center"/>
              <w:ind w:right="168"/>
              <w:spacing w:after="0"/>
              <w:rPr>
                <w:sz w:val="20"/>
                <w:szCs w:val="20"/>
                <w:color w:val="auto"/>
              </w:rPr>
            </w:pPr>
            <w:r>
              <w:rPr>
                <w:rFonts w:ascii="Arial" w:cs="Arial" w:eastAsia="Arial" w:hAnsi="Arial"/>
                <w:sz w:val="14"/>
                <w:szCs w:val="14"/>
                <w:color w:val="4D4D4F"/>
              </w:rPr>
              <w:t>1,506,170</w:t>
            </w:r>
          </w:p>
        </w:tc>
        <w:tc>
          <w:tcPr>
            <w:tcW w:w="760" w:type="dxa"/>
            <w:vAlign w:val="bottom"/>
          </w:tcPr>
          <w:p>
            <w:pPr>
              <w:jc w:val="center"/>
              <w:spacing w:after="0"/>
              <w:rPr>
                <w:sz w:val="20"/>
                <w:szCs w:val="20"/>
                <w:color w:val="auto"/>
              </w:rPr>
            </w:pPr>
            <w:r>
              <w:rPr>
                <w:rFonts w:ascii="Arial" w:cs="Arial" w:eastAsia="Arial" w:hAnsi="Arial"/>
                <w:sz w:val="14"/>
                <w:szCs w:val="14"/>
                <w:color w:val="4D4D4F"/>
              </w:rPr>
              <w:t>8.7</w:t>
            </w:r>
          </w:p>
        </w:tc>
        <w:tc>
          <w:tcPr>
            <w:tcW w:w="1380" w:type="dxa"/>
            <w:vAlign w:val="bottom"/>
          </w:tcPr>
          <w:p>
            <w:pPr>
              <w:jc w:val="center"/>
              <w:ind w:right="188"/>
              <w:spacing w:after="0"/>
              <w:rPr>
                <w:sz w:val="20"/>
                <w:szCs w:val="20"/>
                <w:color w:val="auto"/>
              </w:rPr>
            </w:pPr>
            <w:r>
              <w:rPr>
                <w:rFonts w:ascii="Arial" w:cs="Arial" w:eastAsia="Arial" w:hAnsi="Arial"/>
                <w:sz w:val="14"/>
                <w:szCs w:val="14"/>
                <w:color w:val="4D4D4F"/>
              </w:rPr>
              <w:t>—</w:t>
            </w:r>
          </w:p>
        </w:tc>
        <w:tc>
          <w:tcPr>
            <w:tcW w:w="600" w:type="dxa"/>
            <w:vAlign w:val="bottom"/>
          </w:tcPr>
          <w:p>
            <w:pPr>
              <w:jc w:val="center"/>
              <w:ind w:left="48"/>
              <w:spacing w:after="0"/>
              <w:rPr>
                <w:sz w:val="20"/>
                <w:szCs w:val="20"/>
                <w:color w:val="auto"/>
              </w:rPr>
            </w:pPr>
            <w:r>
              <w:rPr>
                <w:rFonts w:ascii="Arial" w:cs="Arial" w:eastAsia="Arial" w:hAnsi="Arial"/>
                <w:sz w:val="14"/>
                <w:szCs w:val="14"/>
                <w:color w:val="4D4D4F"/>
              </w:rPr>
              <w:t>—</w:t>
            </w:r>
          </w:p>
        </w:tc>
        <w:tc>
          <w:tcPr>
            <w:tcW w:w="1380" w:type="dxa"/>
            <w:vAlign w:val="bottom"/>
          </w:tcPr>
          <w:p>
            <w:pPr>
              <w:jc w:val="right"/>
              <w:ind w:right="208"/>
              <w:spacing w:after="0"/>
              <w:rPr>
                <w:sz w:val="20"/>
                <w:szCs w:val="20"/>
                <w:color w:val="auto"/>
              </w:rPr>
            </w:pPr>
            <w:r>
              <w:rPr>
                <w:rFonts w:ascii="Arial" w:cs="Arial" w:eastAsia="Arial" w:hAnsi="Arial"/>
                <w:sz w:val="14"/>
                <w:szCs w:val="14"/>
                <w:color w:val="4D4D4F"/>
              </w:rPr>
              <w:t>2.9</w:t>
            </w:r>
          </w:p>
        </w:tc>
        <w:tc>
          <w:tcPr>
            <w:tcW w:w="0" w:type="dxa"/>
            <w:vAlign w:val="bottom"/>
          </w:tcPr>
          <w:p>
            <w:pPr>
              <w:spacing w:after="0"/>
              <w:rPr>
                <w:sz w:val="1"/>
                <w:szCs w:val="1"/>
                <w:color w:val="auto"/>
              </w:rPr>
            </w:pPr>
          </w:p>
        </w:tc>
      </w:tr>
      <w:tr>
        <w:trPr>
          <w:trHeight w:val="249"/>
        </w:trPr>
        <w:tc>
          <w:tcPr>
            <w:tcW w:w="40" w:type="dxa"/>
            <w:vAlign w:val="bottom"/>
            <w:shd w:val="clear" w:color="auto" w:fill="CCEEFF"/>
          </w:tcPr>
          <w:p>
            <w:pPr>
              <w:spacing w:after="0"/>
              <w:rPr>
                <w:sz w:val="21"/>
                <w:szCs w:val="21"/>
                <w:color w:val="auto"/>
              </w:rPr>
            </w:pPr>
          </w:p>
        </w:tc>
        <w:tc>
          <w:tcPr>
            <w:tcW w:w="5600" w:type="dxa"/>
            <w:vAlign w:val="bottom"/>
            <w:gridSpan w:val="3"/>
            <w:shd w:val="clear" w:color="auto" w:fill="CCEEFF"/>
          </w:tcPr>
          <w:p>
            <w:pPr>
              <w:spacing w:after="0"/>
              <w:rPr>
                <w:sz w:val="20"/>
                <w:szCs w:val="20"/>
                <w:color w:val="auto"/>
              </w:rPr>
            </w:pPr>
            <w:r>
              <w:rPr>
                <w:rFonts w:ascii="Arial" w:cs="Arial" w:eastAsia="Arial" w:hAnsi="Arial"/>
                <w:sz w:val="14"/>
                <w:szCs w:val="14"/>
                <w:color w:val="4D4D4F"/>
              </w:rPr>
              <w:t>Zhengfan Yang(7)</w:t>
            </w:r>
          </w:p>
        </w:tc>
        <w:tc>
          <w:tcPr>
            <w:tcW w:w="1480" w:type="dxa"/>
            <w:vAlign w:val="bottom"/>
            <w:shd w:val="clear" w:color="auto" w:fill="CCEEFF"/>
          </w:tcPr>
          <w:p>
            <w:pPr>
              <w:jc w:val="center"/>
              <w:ind w:right="168"/>
              <w:spacing w:after="0"/>
              <w:rPr>
                <w:sz w:val="20"/>
                <w:szCs w:val="20"/>
                <w:color w:val="auto"/>
              </w:rPr>
            </w:pPr>
            <w:r>
              <w:rPr>
                <w:rFonts w:ascii="Arial" w:cs="Arial" w:eastAsia="Arial" w:hAnsi="Arial"/>
                <w:sz w:val="14"/>
                <w:szCs w:val="14"/>
                <w:color w:val="4D4D4F"/>
              </w:rPr>
              <w:t>833,334</w:t>
            </w: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4D4D4F"/>
              </w:rPr>
              <w:t>4.8</w:t>
            </w:r>
          </w:p>
        </w:tc>
        <w:tc>
          <w:tcPr>
            <w:tcW w:w="1380" w:type="dxa"/>
            <w:vAlign w:val="bottom"/>
            <w:shd w:val="clear" w:color="auto" w:fill="CCEEFF"/>
          </w:tcPr>
          <w:p>
            <w:pPr>
              <w:jc w:val="center"/>
              <w:ind w:right="188"/>
              <w:spacing w:after="0"/>
              <w:rPr>
                <w:sz w:val="20"/>
                <w:szCs w:val="20"/>
                <w:color w:val="auto"/>
              </w:rPr>
            </w:pPr>
            <w:r>
              <w:rPr>
                <w:rFonts w:ascii="Arial" w:cs="Arial" w:eastAsia="Arial" w:hAnsi="Arial"/>
                <w:sz w:val="14"/>
                <w:szCs w:val="14"/>
                <w:color w:val="4D4D4F"/>
              </w:rPr>
              <w:t>—</w:t>
            </w:r>
          </w:p>
        </w:tc>
        <w:tc>
          <w:tcPr>
            <w:tcW w:w="600" w:type="dxa"/>
            <w:vAlign w:val="bottom"/>
            <w:shd w:val="clear" w:color="auto" w:fill="CCEEFF"/>
          </w:tcPr>
          <w:p>
            <w:pPr>
              <w:jc w:val="center"/>
              <w:ind w:left="48"/>
              <w:spacing w:after="0"/>
              <w:rPr>
                <w:sz w:val="20"/>
                <w:szCs w:val="20"/>
                <w:color w:val="auto"/>
              </w:rPr>
            </w:pPr>
            <w:r>
              <w:rPr>
                <w:rFonts w:ascii="Arial" w:cs="Arial" w:eastAsia="Arial" w:hAnsi="Arial"/>
                <w:sz w:val="14"/>
                <w:szCs w:val="14"/>
                <w:color w:val="4D4D4F"/>
              </w:rPr>
              <w:t>—</w:t>
            </w:r>
          </w:p>
        </w:tc>
        <w:tc>
          <w:tcPr>
            <w:tcW w:w="1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4D4D4F"/>
              </w:rPr>
              <w:t>1.6</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600" w:type="dxa"/>
            <w:vAlign w:val="bottom"/>
            <w:gridSpan w:val="3"/>
          </w:tcPr>
          <w:p>
            <w:pPr>
              <w:spacing w:after="0"/>
              <w:rPr>
                <w:sz w:val="20"/>
                <w:szCs w:val="20"/>
                <w:color w:val="auto"/>
              </w:rPr>
            </w:pPr>
            <w:r>
              <w:rPr>
                <w:rFonts w:ascii="Arial" w:cs="Arial" w:eastAsia="Arial" w:hAnsi="Arial"/>
                <w:sz w:val="14"/>
                <w:szCs w:val="14"/>
                <w:color w:val="4D4D4F"/>
              </w:rPr>
              <w:t>Haiping Dun(8)</w:t>
            </w:r>
          </w:p>
        </w:tc>
        <w:tc>
          <w:tcPr>
            <w:tcW w:w="1480" w:type="dxa"/>
            <w:vAlign w:val="bottom"/>
          </w:tcPr>
          <w:p>
            <w:pPr>
              <w:jc w:val="center"/>
              <w:ind w:right="168"/>
              <w:spacing w:after="0"/>
              <w:rPr>
                <w:sz w:val="20"/>
                <w:szCs w:val="20"/>
                <w:color w:val="auto"/>
              </w:rPr>
            </w:pPr>
            <w:r>
              <w:rPr>
                <w:rFonts w:ascii="Arial" w:cs="Arial" w:eastAsia="Arial" w:hAnsi="Arial"/>
                <w:sz w:val="14"/>
                <w:szCs w:val="14"/>
                <w:color w:val="4D4D4F"/>
              </w:rPr>
              <w:t>572,113</w:t>
            </w:r>
          </w:p>
        </w:tc>
        <w:tc>
          <w:tcPr>
            <w:tcW w:w="760" w:type="dxa"/>
            <w:vAlign w:val="bottom"/>
          </w:tcPr>
          <w:p>
            <w:pPr>
              <w:jc w:val="center"/>
              <w:spacing w:after="0"/>
              <w:rPr>
                <w:sz w:val="20"/>
                <w:szCs w:val="20"/>
                <w:color w:val="auto"/>
              </w:rPr>
            </w:pPr>
            <w:r>
              <w:rPr>
                <w:rFonts w:ascii="Arial" w:cs="Arial" w:eastAsia="Arial" w:hAnsi="Arial"/>
                <w:sz w:val="14"/>
                <w:szCs w:val="14"/>
                <w:color w:val="4D4D4F"/>
              </w:rPr>
              <w:t>3.3</w:t>
            </w:r>
          </w:p>
        </w:tc>
        <w:tc>
          <w:tcPr>
            <w:tcW w:w="1380" w:type="dxa"/>
            <w:vAlign w:val="bottom"/>
          </w:tcPr>
          <w:p>
            <w:pPr>
              <w:jc w:val="center"/>
              <w:ind w:right="188"/>
              <w:spacing w:after="0"/>
              <w:rPr>
                <w:sz w:val="20"/>
                <w:szCs w:val="20"/>
                <w:color w:val="auto"/>
              </w:rPr>
            </w:pPr>
            <w:r>
              <w:rPr>
                <w:rFonts w:ascii="Arial" w:cs="Arial" w:eastAsia="Arial" w:hAnsi="Arial"/>
                <w:sz w:val="14"/>
                <w:szCs w:val="14"/>
                <w:color w:val="4D4D4F"/>
              </w:rPr>
              <w:t>100,000</w:t>
            </w:r>
          </w:p>
        </w:tc>
        <w:tc>
          <w:tcPr>
            <w:tcW w:w="600" w:type="dxa"/>
            <w:vAlign w:val="bottom"/>
          </w:tcPr>
          <w:p>
            <w:pPr>
              <w:jc w:val="center"/>
              <w:ind w:left="48"/>
              <w:spacing w:after="0"/>
              <w:rPr>
                <w:sz w:val="20"/>
                <w:szCs w:val="20"/>
                <w:color w:val="auto"/>
              </w:rPr>
            </w:pPr>
            <w:r>
              <w:rPr>
                <w:rFonts w:ascii="Arial" w:cs="Arial" w:eastAsia="Arial" w:hAnsi="Arial"/>
                <w:sz w:val="14"/>
                <w:szCs w:val="14"/>
                <w:color w:val="4D4D4F"/>
              </w:rPr>
              <w:t>5.7</w:t>
            </w:r>
          </w:p>
        </w:tc>
        <w:tc>
          <w:tcPr>
            <w:tcW w:w="1380" w:type="dxa"/>
            <w:vAlign w:val="bottom"/>
          </w:tcPr>
          <w:p>
            <w:pPr>
              <w:jc w:val="right"/>
              <w:ind w:right="208"/>
              <w:spacing w:after="0"/>
              <w:rPr>
                <w:sz w:val="20"/>
                <w:szCs w:val="20"/>
                <w:color w:val="auto"/>
              </w:rPr>
            </w:pPr>
            <w:r>
              <w:rPr>
                <w:rFonts w:ascii="Arial" w:cs="Arial" w:eastAsia="Arial" w:hAnsi="Arial"/>
                <w:sz w:val="14"/>
                <w:szCs w:val="14"/>
                <w:color w:val="4D4D4F"/>
              </w:rPr>
              <w:t>4.7</w:t>
            </w:r>
          </w:p>
        </w:tc>
        <w:tc>
          <w:tcPr>
            <w:tcW w:w="0" w:type="dxa"/>
            <w:vAlign w:val="bottom"/>
          </w:tcPr>
          <w:p>
            <w:pPr>
              <w:spacing w:after="0"/>
              <w:rPr>
                <w:sz w:val="1"/>
                <w:szCs w:val="1"/>
                <w:color w:val="auto"/>
              </w:rPr>
            </w:pPr>
          </w:p>
        </w:tc>
      </w:tr>
      <w:tr>
        <w:trPr>
          <w:trHeight w:val="249"/>
        </w:trPr>
        <w:tc>
          <w:tcPr>
            <w:tcW w:w="40" w:type="dxa"/>
            <w:vAlign w:val="bottom"/>
            <w:shd w:val="clear" w:color="auto" w:fill="CCEEFF"/>
          </w:tcPr>
          <w:p>
            <w:pPr>
              <w:spacing w:after="0"/>
              <w:rPr>
                <w:sz w:val="21"/>
                <w:szCs w:val="21"/>
                <w:color w:val="auto"/>
              </w:rPr>
            </w:pPr>
          </w:p>
        </w:tc>
        <w:tc>
          <w:tcPr>
            <w:tcW w:w="5600" w:type="dxa"/>
            <w:vAlign w:val="bottom"/>
            <w:gridSpan w:val="3"/>
            <w:shd w:val="clear" w:color="auto" w:fill="CCEEFF"/>
          </w:tcPr>
          <w:p>
            <w:pPr>
              <w:spacing w:after="0"/>
              <w:rPr>
                <w:sz w:val="20"/>
                <w:szCs w:val="20"/>
                <w:color w:val="auto"/>
              </w:rPr>
            </w:pPr>
            <w:r>
              <w:rPr>
                <w:rFonts w:ascii="Arial" w:cs="Arial" w:eastAsia="Arial" w:hAnsi="Arial"/>
                <w:sz w:val="14"/>
                <w:szCs w:val="14"/>
                <w:color w:val="4D4D4F"/>
              </w:rPr>
              <w:t>Jian Wang(9)</w:t>
            </w:r>
          </w:p>
        </w:tc>
        <w:tc>
          <w:tcPr>
            <w:tcW w:w="1480" w:type="dxa"/>
            <w:vAlign w:val="bottom"/>
            <w:shd w:val="clear" w:color="auto" w:fill="CCEEFF"/>
          </w:tcPr>
          <w:p>
            <w:pPr>
              <w:jc w:val="center"/>
              <w:ind w:right="168"/>
              <w:spacing w:after="0"/>
              <w:rPr>
                <w:sz w:val="20"/>
                <w:szCs w:val="20"/>
                <w:color w:val="auto"/>
              </w:rPr>
            </w:pPr>
            <w:r>
              <w:rPr>
                <w:rFonts w:ascii="Arial" w:cs="Arial" w:eastAsia="Arial" w:hAnsi="Arial"/>
                <w:sz w:val="14"/>
                <w:szCs w:val="14"/>
                <w:color w:val="4D4D4F"/>
              </w:rPr>
              <w:t>178,345</w:t>
            </w: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4D4D4F"/>
              </w:rPr>
              <w:t>1.0</w:t>
            </w:r>
          </w:p>
        </w:tc>
        <w:tc>
          <w:tcPr>
            <w:tcW w:w="138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4D4D4F"/>
              </w:rPr>
              <w:t>50,001</w:t>
            </w:r>
          </w:p>
        </w:tc>
        <w:tc>
          <w:tcPr>
            <w:tcW w:w="600" w:type="dxa"/>
            <w:vAlign w:val="bottom"/>
            <w:shd w:val="clear" w:color="auto" w:fill="CCEEFF"/>
          </w:tcPr>
          <w:p>
            <w:pPr>
              <w:jc w:val="center"/>
              <w:ind w:left="48"/>
              <w:spacing w:after="0"/>
              <w:rPr>
                <w:sz w:val="20"/>
                <w:szCs w:val="20"/>
                <w:color w:val="auto"/>
              </w:rPr>
            </w:pPr>
            <w:r>
              <w:rPr>
                <w:rFonts w:ascii="Arial" w:cs="Arial" w:eastAsia="Arial" w:hAnsi="Arial"/>
                <w:sz w:val="14"/>
                <w:szCs w:val="14"/>
                <w:color w:val="4D4D4F"/>
              </w:rPr>
              <w:t>2.6</w:t>
            </w:r>
          </w:p>
        </w:tc>
        <w:tc>
          <w:tcPr>
            <w:tcW w:w="1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4D4D4F"/>
              </w:rPr>
              <w:t>2.1</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600" w:type="dxa"/>
            <w:vAlign w:val="bottom"/>
            <w:gridSpan w:val="3"/>
          </w:tcPr>
          <w:p>
            <w:pPr>
              <w:spacing w:after="0"/>
              <w:rPr>
                <w:sz w:val="20"/>
                <w:szCs w:val="20"/>
                <w:color w:val="auto"/>
              </w:rPr>
            </w:pPr>
            <w:r>
              <w:rPr>
                <w:rFonts w:ascii="Arial" w:cs="Arial" w:eastAsia="Arial" w:hAnsi="Arial"/>
                <w:sz w:val="14"/>
                <w:szCs w:val="14"/>
                <w:color w:val="4D4D4F"/>
              </w:rPr>
              <w:t>Chenming Hu(10)</w:t>
            </w:r>
          </w:p>
        </w:tc>
        <w:tc>
          <w:tcPr>
            <w:tcW w:w="1480" w:type="dxa"/>
            <w:vAlign w:val="bottom"/>
          </w:tcPr>
          <w:p>
            <w:pPr>
              <w:jc w:val="center"/>
              <w:ind w:right="168"/>
              <w:spacing w:after="0"/>
              <w:rPr>
                <w:sz w:val="20"/>
                <w:szCs w:val="20"/>
                <w:color w:val="auto"/>
              </w:rPr>
            </w:pPr>
            <w:r>
              <w:rPr>
                <w:rFonts w:ascii="Arial" w:cs="Arial" w:eastAsia="Arial" w:hAnsi="Arial"/>
                <w:sz w:val="14"/>
                <w:szCs w:val="14"/>
                <w:color w:val="4D4D4F"/>
              </w:rPr>
              <w:t>87,770</w:t>
            </w:r>
          </w:p>
        </w:tc>
        <w:tc>
          <w:tcPr>
            <w:tcW w:w="760" w:type="dxa"/>
            <w:vAlign w:val="bottom"/>
          </w:tcPr>
          <w:p>
            <w:pPr>
              <w:jc w:val="center"/>
              <w:spacing w:after="0"/>
              <w:rPr>
                <w:sz w:val="20"/>
                <w:szCs w:val="20"/>
                <w:color w:val="auto"/>
              </w:rPr>
            </w:pPr>
            <w:r>
              <w:rPr>
                <w:rFonts w:ascii="Arial" w:cs="Arial" w:eastAsia="Arial" w:hAnsi="Arial"/>
                <w:sz w:val="14"/>
                <w:szCs w:val="14"/>
                <w:color w:val="4D4D4F"/>
                <w:w w:val="72"/>
              </w:rPr>
              <w:t>*</w:t>
            </w:r>
          </w:p>
        </w:tc>
        <w:tc>
          <w:tcPr>
            <w:tcW w:w="1380" w:type="dxa"/>
            <w:vAlign w:val="bottom"/>
          </w:tcPr>
          <w:p>
            <w:pPr>
              <w:jc w:val="center"/>
              <w:ind w:right="188"/>
              <w:spacing w:after="0"/>
              <w:rPr>
                <w:sz w:val="20"/>
                <w:szCs w:val="20"/>
                <w:color w:val="auto"/>
              </w:rPr>
            </w:pPr>
            <w:r>
              <w:rPr>
                <w:rFonts w:ascii="Arial" w:cs="Arial" w:eastAsia="Arial" w:hAnsi="Arial"/>
                <w:sz w:val="14"/>
                <w:szCs w:val="14"/>
                <w:color w:val="4D4D4F"/>
              </w:rPr>
              <w:t>—</w:t>
            </w:r>
          </w:p>
        </w:tc>
        <w:tc>
          <w:tcPr>
            <w:tcW w:w="600" w:type="dxa"/>
            <w:vAlign w:val="bottom"/>
          </w:tcPr>
          <w:p>
            <w:pPr>
              <w:jc w:val="center"/>
              <w:ind w:left="48"/>
              <w:spacing w:after="0"/>
              <w:rPr>
                <w:sz w:val="20"/>
                <w:szCs w:val="20"/>
                <w:color w:val="auto"/>
              </w:rPr>
            </w:pPr>
            <w:r>
              <w:rPr>
                <w:rFonts w:ascii="Arial" w:cs="Arial" w:eastAsia="Arial" w:hAnsi="Arial"/>
                <w:sz w:val="14"/>
                <w:szCs w:val="14"/>
                <w:color w:val="4D4D4F"/>
              </w:rPr>
              <w:t>—</w:t>
            </w:r>
          </w:p>
        </w:tc>
        <w:tc>
          <w:tcPr>
            <w:tcW w:w="1380" w:type="dxa"/>
            <w:vAlign w:val="bottom"/>
          </w:tcPr>
          <w:p>
            <w:pPr>
              <w:jc w:val="center"/>
              <w:ind w:left="528"/>
              <w:spacing w:after="0"/>
              <w:rPr>
                <w:sz w:val="20"/>
                <w:szCs w:val="20"/>
                <w:color w:val="auto"/>
              </w:rPr>
            </w:pPr>
            <w:r>
              <w:rPr>
                <w:rFonts w:ascii="Arial" w:cs="Arial" w:eastAsia="Arial" w:hAnsi="Arial"/>
                <w:sz w:val="14"/>
                <w:szCs w:val="14"/>
                <w:color w:val="4D4D4F"/>
              </w:rPr>
              <w:t>*</w:t>
            </w:r>
          </w:p>
        </w:tc>
        <w:tc>
          <w:tcPr>
            <w:tcW w:w="0" w:type="dxa"/>
            <w:vAlign w:val="bottom"/>
          </w:tcPr>
          <w:p>
            <w:pPr>
              <w:spacing w:after="0"/>
              <w:rPr>
                <w:sz w:val="1"/>
                <w:szCs w:val="1"/>
                <w:color w:val="auto"/>
              </w:rPr>
            </w:pPr>
          </w:p>
        </w:tc>
      </w:tr>
      <w:tr>
        <w:trPr>
          <w:trHeight w:val="249"/>
        </w:trPr>
        <w:tc>
          <w:tcPr>
            <w:tcW w:w="40" w:type="dxa"/>
            <w:vAlign w:val="bottom"/>
            <w:shd w:val="clear" w:color="auto" w:fill="CCEEFF"/>
          </w:tcPr>
          <w:p>
            <w:pPr>
              <w:spacing w:after="0"/>
              <w:rPr>
                <w:sz w:val="21"/>
                <w:szCs w:val="21"/>
                <w:color w:val="auto"/>
              </w:rPr>
            </w:pPr>
          </w:p>
        </w:tc>
        <w:tc>
          <w:tcPr>
            <w:tcW w:w="5600" w:type="dxa"/>
            <w:vAlign w:val="bottom"/>
            <w:gridSpan w:val="3"/>
            <w:shd w:val="clear" w:color="auto" w:fill="CCEEFF"/>
          </w:tcPr>
          <w:p>
            <w:pPr>
              <w:spacing w:after="0"/>
              <w:rPr>
                <w:sz w:val="20"/>
                <w:szCs w:val="20"/>
                <w:color w:val="auto"/>
              </w:rPr>
            </w:pPr>
            <w:r>
              <w:rPr>
                <w:rFonts w:ascii="Arial" w:cs="Arial" w:eastAsia="Arial" w:hAnsi="Arial"/>
                <w:sz w:val="14"/>
                <w:szCs w:val="14"/>
                <w:color w:val="4D4D4F"/>
              </w:rPr>
              <w:t>Fuping Chen(11)</w:t>
            </w:r>
          </w:p>
        </w:tc>
        <w:tc>
          <w:tcPr>
            <w:tcW w:w="1480" w:type="dxa"/>
            <w:vAlign w:val="bottom"/>
            <w:shd w:val="clear" w:color="auto" w:fill="CCEEFF"/>
          </w:tcPr>
          <w:p>
            <w:pPr>
              <w:jc w:val="center"/>
              <w:ind w:right="168"/>
              <w:spacing w:after="0"/>
              <w:rPr>
                <w:sz w:val="20"/>
                <w:szCs w:val="20"/>
                <w:color w:val="auto"/>
              </w:rPr>
            </w:pPr>
            <w:r>
              <w:rPr>
                <w:rFonts w:ascii="Arial" w:cs="Arial" w:eastAsia="Arial" w:hAnsi="Arial"/>
                <w:sz w:val="14"/>
                <w:szCs w:val="14"/>
                <w:color w:val="4D4D4F"/>
              </w:rPr>
              <w:t>79,345</w:t>
            </w: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4D4D4F"/>
                <w:w w:val="72"/>
              </w:rPr>
              <w:t>*</w:t>
            </w:r>
          </w:p>
        </w:tc>
        <w:tc>
          <w:tcPr>
            <w:tcW w:w="1380" w:type="dxa"/>
            <w:vAlign w:val="bottom"/>
            <w:shd w:val="clear" w:color="auto" w:fill="CCEEFF"/>
          </w:tcPr>
          <w:p>
            <w:pPr>
              <w:jc w:val="center"/>
              <w:ind w:right="188"/>
              <w:spacing w:after="0"/>
              <w:rPr>
                <w:sz w:val="20"/>
                <w:szCs w:val="20"/>
                <w:color w:val="auto"/>
              </w:rPr>
            </w:pPr>
            <w:r>
              <w:rPr>
                <w:rFonts w:ascii="Arial" w:cs="Arial" w:eastAsia="Arial" w:hAnsi="Arial"/>
                <w:sz w:val="14"/>
                <w:szCs w:val="14"/>
                <w:color w:val="4D4D4F"/>
              </w:rPr>
              <w:t>—</w:t>
            </w:r>
          </w:p>
        </w:tc>
        <w:tc>
          <w:tcPr>
            <w:tcW w:w="600" w:type="dxa"/>
            <w:vAlign w:val="bottom"/>
            <w:shd w:val="clear" w:color="auto" w:fill="CCEEFF"/>
          </w:tcPr>
          <w:p>
            <w:pPr>
              <w:jc w:val="center"/>
              <w:ind w:left="48"/>
              <w:spacing w:after="0"/>
              <w:rPr>
                <w:sz w:val="20"/>
                <w:szCs w:val="20"/>
                <w:color w:val="auto"/>
              </w:rPr>
            </w:pPr>
            <w:r>
              <w:rPr>
                <w:rFonts w:ascii="Arial" w:cs="Arial" w:eastAsia="Arial" w:hAnsi="Arial"/>
                <w:sz w:val="14"/>
                <w:szCs w:val="14"/>
                <w:color w:val="4D4D4F"/>
              </w:rPr>
              <w:t>—</w:t>
            </w:r>
          </w:p>
        </w:tc>
        <w:tc>
          <w:tcPr>
            <w:tcW w:w="1380" w:type="dxa"/>
            <w:vAlign w:val="bottom"/>
            <w:shd w:val="clear" w:color="auto" w:fill="CCEEFF"/>
          </w:tcPr>
          <w:p>
            <w:pPr>
              <w:jc w:val="center"/>
              <w:ind w:left="528"/>
              <w:spacing w:after="0"/>
              <w:rPr>
                <w:sz w:val="20"/>
                <w:szCs w:val="20"/>
                <w:color w:val="auto"/>
              </w:rPr>
            </w:pPr>
            <w:r>
              <w:rPr>
                <w:rFonts w:ascii="Arial" w:cs="Arial" w:eastAsia="Arial" w:hAnsi="Arial"/>
                <w:sz w:val="14"/>
                <w:szCs w:val="14"/>
                <w:color w:val="4D4D4F"/>
              </w:rPr>
              <w:t>*</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600" w:type="dxa"/>
            <w:vAlign w:val="bottom"/>
            <w:gridSpan w:val="3"/>
          </w:tcPr>
          <w:p>
            <w:pPr>
              <w:spacing w:after="0"/>
              <w:rPr>
                <w:sz w:val="20"/>
                <w:szCs w:val="20"/>
                <w:color w:val="auto"/>
              </w:rPr>
            </w:pPr>
            <w:r>
              <w:rPr>
                <w:rFonts w:ascii="Arial" w:cs="Arial" w:eastAsia="Arial" w:hAnsi="Arial"/>
                <w:sz w:val="14"/>
                <w:szCs w:val="14"/>
                <w:color w:val="4D4D4F"/>
              </w:rPr>
              <w:t>Tracy Liu(12)</w:t>
            </w:r>
          </w:p>
        </w:tc>
        <w:tc>
          <w:tcPr>
            <w:tcW w:w="1480" w:type="dxa"/>
            <w:vAlign w:val="bottom"/>
          </w:tcPr>
          <w:p>
            <w:pPr>
              <w:jc w:val="center"/>
              <w:ind w:right="168"/>
              <w:spacing w:after="0"/>
              <w:rPr>
                <w:sz w:val="20"/>
                <w:szCs w:val="20"/>
                <w:color w:val="auto"/>
              </w:rPr>
            </w:pPr>
            <w:r>
              <w:rPr>
                <w:rFonts w:ascii="Arial" w:cs="Arial" w:eastAsia="Arial" w:hAnsi="Arial"/>
                <w:sz w:val="14"/>
                <w:szCs w:val="14"/>
                <w:color w:val="4D4D4F"/>
              </w:rPr>
              <w:t>76,340</w:t>
            </w:r>
          </w:p>
        </w:tc>
        <w:tc>
          <w:tcPr>
            <w:tcW w:w="760" w:type="dxa"/>
            <w:vAlign w:val="bottom"/>
          </w:tcPr>
          <w:p>
            <w:pPr>
              <w:jc w:val="center"/>
              <w:spacing w:after="0"/>
              <w:rPr>
                <w:sz w:val="20"/>
                <w:szCs w:val="20"/>
                <w:color w:val="auto"/>
              </w:rPr>
            </w:pPr>
            <w:r>
              <w:rPr>
                <w:rFonts w:ascii="Arial" w:cs="Arial" w:eastAsia="Arial" w:hAnsi="Arial"/>
                <w:sz w:val="14"/>
                <w:szCs w:val="14"/>
                <w:color w:val="4D4D4F"/>
                <w:w w:val="72"/>
              </w:rPr>
              <w:t>*</w:t>
            </w:r>
          </w:p>
        </w:tc>
        <w:tc>
          <w:tcPr>
            <w:tcW w:w="1380" w:type="dxa"/>
            <w:vAlign w:val="bottom"/>
          </w:tcPr>
          <w:p>
            <w:pPr>
              <w:jc w:val="center"/>
              <w:ind w:right="188"/>
              <w:spacing w:after="0"/>
              <w:rPr>
                <w:sz w:val="20"/>
                <w:szCs w:val="20"/>
                <w:color w:val="auto"/>
              </w:rPr>
            </w:pPr>
            <w:r>
              <w:rPr>
                <w:rFonts w:ascii="Arial" w:cs="Arial" w:eastAsia="Arial" w:hAnsi="Arial"/>
                <w:sz w:val="14"/>
                <w:szCs w:val="14"/>
                <w:color w:val="4D4D4F"/>
              </w:rPr>
              <w:t>—</w:t>
            </w:r>
          </w:p>
        </w:tc>
        <w:tc>
          <w:tcPr>
            <w:tcW w:w="600" w:type="dxa"/>
            <w:vAlign w:val="bottom"/>
          </w:tcPr>
          <w:p>
            <w:pPr>
              <w:jc w:val="center"/>
              <w:ind w:left="48"/>
              <w:spacing w:after="0"/>
              <w:rPr>
                <w:sz w:val="20"/>
                <w:szCs w:val="20"/>
                <w:color w:val="auto"/>
              </w:rPr>
            </w:pPr>
            <w:r>
              <w:rPr>
                <w:rFonts w:ascii="Arial" w:cs="Arial" w:eastAsia="Arial" w:hAnsi="Arial"/>
                <w:sz w:val="14"/>
                <w:szCs w:val="14"/>
                <w:color w:val="4D4D4F"/>
              </w:rPr>
              <w:t>—</w:t>
            </w:r>
          </w:p>
        </w:tc>
        <w:tc>
          <w:tcPr>
            <w:tcW w:w="1380" w:type="dxa"/>
            <w:vAlign w:val="bottom"/>
          </w:tcPr>
          <w:p>
            <w:pPr>
              <w:jc w:val="center"/>
              <w:ind w:left="528"/>
              <w:spacing w:after="0"/>
              <w:rPr>
                <w:sz w:val="20"/>
                <w:szCs w:val="20"/>
                <w:color w:val="auto"/>
              </w:rPr>
            </w:pPr>
            <w:r>
              <w:rPr>
                <w:rFonts w:ascii="Arial" w:cs="Arial" w:eastAsia="Arial" w:hAnsi="Arial"/>
                <w:sz w:val="14"/>
                <w:szCs w:val="14"/>
                <w:color w:val="4D4D4F"/>
              </w:rPr>
              <w:t>*</w:t>
            </w:r>
          </w:p>
        </w:tc>
        <w:tc>
          <w:tcPr>
            <w:tcW w:w="0" w:type="dxa"/>
            <w:vAlign w:val="bottom"/>
          </w:tcPr>
          <w:p>
            <w:pPr>
              <w:spacing w:after="0"/>
              <w:rPr>
                <w:sz w:val="1"/>
                <w:szCs w:val="1"/>
                <w:color w:val="auto"/>
              </w:rPr>
            </w:pPr>
          </w:p>
        </w:tc>
      </w:tr>
      <w:tr>
        <w:trPr>
          <w:trHeight w:val="249"/>
        </w:trPr>
        <w:tc>
          <w:tcPr>
            <w:tcW w:w="40" w:type="dxa"/>
            <w:vAlign w:val="bottom"/>
            <w:shd w:val="clear" w:color="auto" w:fill="CCEEFF"/>
          </w:tcPr>
          <w:p>
            <w:pPr>
              <w:spacing w:after="0"/>
              <w:rPr>
                <w:sz w:val="21"/>
                <w:szCs w:val="21"/>
                <w:color w:val="auto"/>
              </w:rPr>
            </w:pPr>
          </w:p>
        </w:tc>
        <w:tc>
          <w:tcPr>
            <w:tcW w:w="5600" w:type="dxa"/>
            <w:vAlign w:val="bottom"/>
            <w:gridSpan w:val="3"/>
            <w:shd w:val="clear" w:color="auto" w:fill="CCEEFF"/>
          </w:tcPr>
          <w:p>
            <w:pPr>
              <w:spacing w:after="0"/>
              <w:rPr>
                <w:sz w:val="20"/>
                <w:szCs w:val="20"/>
                <w:color w:val="auto"/>
              </w:rPr>
            </w:pPr>
            <w:r>
              <w:rPr>
                <w:rFonts w:ascii="Arial" w:cs="Arial" w:eastAsia="Arial" w:hAnsi="Arial"/>
                <w:sz w:val="14"/>
                <w:szCs w:val="14"/>
                <w:color w:val="4D4D4F"/>
              </w:rPr>
              <w:t>Lisa Feng(13)</w:t>
            </w:r>
          </w:p>
        </w:tc>
        <w:tc>
          <w:tcPr>
            <w:tcW w:w="1480" w:type="dxa"/>
            <w:vAlign w:val="bottom"/>
            <w:shd w:val="clear" w:color="auto" w:fill="CCEEFF"/>
          </w:tcPr>
          <w:p>
            <w:pPr>
              <w:jc w:val="center"/>
              <w:ind w:right="168"/>
              <w:spacing w:after="0"/>
              <w:rPr>
                <w:sz w:val="20"/>
                <w:szCs w:val="20"/>
                <w:color w:val="auto"/>
              </w:rPr>
            </w:pPr>
            <w:r>
              <w:rPr>
                <w:rFonts w:ascii="Arial" w:cs="Arial" w:eastAsia="Arial" w:hAnsi="Arial"/>
                <w:sz w:val="14"/>
                <w:szCs w:val="14"/>
                <w:color w:val="4D4D4F"/>
              </w:rPr>
              <w:t>45,929</w:t>
            </w: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4D4D4F"/>
                <w:w w:val="72"/>
              </w:rPr>
              <w:t>*</w:t>
            </w:r>
          </w:p>
        </w:tc>
        <w:tc>
          <w:tcPr>
            <w:tcW w:w="1380" w:type="dxa"/>
            <w:vAlign w:val="bottom"/>
            <w:shd w:val="clear" w:color="auto" w:fill="CCEEFF"/>
          </w:tcPr>
          <w:p>
            <w:pPr>
              <w:jc w:val="center"/>
              <w:ind w:right="188"/>
              <w:spacing w:after="0"/>
              <w:rPr>
                <w:sz w:val="20"/>
                <w:szCs w:val="20"/>
                <w:color w:val="auto"/>
              </w:rPr>
            </w:pPr>
            <w:r>
              <w:rPr>
                <w:rFonts w:ascii="Arial" w:cs="Arial" w:eastAsia="Arial" w:hAnsi="Arial"/>
                <w:sz w:val="14"/>
                <w:szCs w:val="14"/>
                <w:color w:val="4D4D4F"/>
              </w:rPr>
              <w:t>—</w:t>
            </w:r>
          </w:p>
        </w:tc>
        <w:tc>
          <w:tcPr>
            <w:tcW w:w="600" w:type="dxa"/>
            <w:vAlign w:val="bottom"/>
            <w:shd w:val="clear" w:color="auto" w:fill="CCEEFF"/>
          </w:tcPr>
          <w:p>
            <w:pPr>
              <w:jc w:val="center"/>
              <w:ind w:left="48"/>
              <w:spacing w:after="0"/>
              <w:rPr>
                <w:sz w:val="20"/>
                <w:szCs w:val="20"/>
                <w:color w:val="auto"/>
              </w:rPr>
            </w:pPr>
            <w:r>
              <w:rPr>
                <w:rFonts w:ascii="Arial" w:cs="Arial" w:eastAsia="Arial" w:hAnsi="Arial"/>
                <w:sz w:val="14"/>
                <w:szCs w:val="14"/>
                <w:color w:val="4D4D4F"/>
              </w:rPr>
              <w:t>—</w:t>
            </w:r>
          </w:p>
        </w:tc>
        <w:tc>
          <w:tcPr>
            <w:tcW w:w="1380" w:type="dxa"/>
            <w:vAlign w:val="bottom"/>
            <w:shd w:val="clear" w:color="auto" w:fill="CCEEFF"/>
          </w:tcPr>
          <w:p>
            <w:pPr>
              <w:jc w:val="center"/>
              <w:ind w:left="528"/>
              <w:spacing w:after="0"/>
              <w:rPr>
                <w:sz w:val="20"/>
                <w:szCs w:val="20"/>
                <w:color w:val="auto"/>
              </w:rPr>
            </w:pPr>
            <w:r>
              <w:rPr>
                <w:rFonts w:ascii="Arial" w:cs="Arial" w:eastAsia="Arial" w:hAnsi="Arial"/>
                <w:sz w:val="14"/>
                <w:szCs w:val="14"/>
                <w:color w:val="4D4D4F"/>
              </w:rPr>
              <w:t>*</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600" w:type="dxa"/>
            <w:vAlign w:val="bottom"/>
            <w:gridSpan w:val="3"/>
          </w:tcPr>
          <w:p>
            <w:pPr>
              <w:spacing w:after="0"/>
              <w:rPr>
                <w:sz w:val="20"/>
                <w:szCs w:val="20"/>
                <w:color w:val="auto"/>
              </w:rPr>
            </w:pPr>
            <w:r>
              <w:rPr>
                <w:rFonts w:ascii="Arial" w:cs="Arial" w:eastAsia="Arial" w:hAnsi="Arial"/>
                <w:sz w:val="14"/>
                <w:szCs w:val="14"/>
                <w:color w:val="4D4D4F"/>
              </w:rPr>
              <w:t>Mark McKechnie(14)</w:t>
            </w:r>
          </w:p>
        </w:tc>
        <w:tc>
          <w:tcPr>
            <w:tcW w:w="1480" w:type="dxa"/>
            <w:vAlign w:val="bottom"/>
          </w:tcPr>
          <w:p>
            <w:pPr>
              <w:jc w:val="center"/>
              <w:ind w:right="168"/>
              <w:spacing w:after="0"/>
              <w:rPr>
                <w:sz w:val="20"/>
                <w:szCs w:val="20"/>
                <w:color w:val="auto"/>
              </w:rPr>
            </w:pPr>
            <w:r>
              <w:rPr>
                <w:rFonts w:ascii="Arial" w:cs="Arial" w:eastAsia="Arial" w:hAnsi="Arial"/>
                <w:sz w:val="14"/>
                <w:szCs w:val="14"/>
                <w:color w:val="4D4D4F"/>
              </w:rPr>
              <w:t>24,346</w:t>
            </w:r>
          </w:p>
        </w:tc>
        <w:tc>
          <w:tcPr>
            <w:tcW w:w="760" w:type="dxa"/>
            <w:vAlign w:val="bottom"/>
          </w:tcPr>
          <w:p>
            <w:pPr>
              <w:jc w:val="right"/>
              <w:ind w:right="308"/>
              <w:spacing w:after="0"/>
              <w:rPr>
                <w:sz w:val="20"/>
                <w:szCs w:val="20"/>
                <w:color w:val="auto"/>
              </w:rPr>
            </w:pPr>
            <w:r>
              <w:rPr>
                <w:rFonts w:ascii="Arial" w:cs="Arial" w:eastAsia="Arial" w:hAnsi="Arial"/>
                <w:sz w:val="14"/>
                <w:szCs w:val="14"/>
                <w:color w:val="4D4D4F"/>
              </w:rPr>
              <w:t>*</w:t>
            </w:r>
          </w:p>
        </w:tc>
        <w:tc>
          <w:tcPr>
            <w:tcW w:w="1380" w:type="dxa"/>
            <w:vAlign w:val="bottom"/>
          </w:tcPr>
          <w:p>
            <w:pPr>
              <w:jc w:val="center"/>
              <w:ind w:right="188"/>
              <w:spacing w:after="0"/>
              <w:rPr>
                <w:sz w:val="20"/>
                <w:szCs w:val="20"/>
                <w:color w:val="auto"/>
              </w:rPr>
            </w:pPr>
            <w:r>
              <w:rPr>
                <w:rFonts w:ascii="Arial" w:cs="Arial" w:eastAsia="Arial" w:hAnsi="Arial"/>
                <w:sz w:val="14"/>
                <w:szCs w:val="14"/>
                <w:color w:val="4D4D4F"/>
              </w:rPr>
              <w:t>—</w:t>
            </w:r>
          </w:p>
        </w:tc>
        <w:tc>
          <w:tcPr>
            <w:tcW w:w="600" w:type="dxa"/>
            <w:vAlign w:val="bottom"/>
          </w:tcPr>
          <w:p>
            <w:pPr>
              <w:jc w:val="center"/>
              <w:ind w:left="48"/>
              <w:spacing w:after="0"/>
              <w:rPr>
                <w:sz w:val="20"/>
                <w:szCs w:val="20"/>
                <w:color w:val="auto"/>
              </w:rPr>
            </w:pPr>
            <w:r>
              <w:rPr>
                <w:rFonts w:ascii="Arial" w:cs="Arial" w:eastAsia="Arial" w:hAnsi="Arial"/>
                <w:sz w:val="14"/>
                <w:szCs w:val="14"/>
                <w:color w:val="4D4D4F"/>
              </w:rPr>
              <w:t>—</w:t>
            </w:r>
          </w:p>
        </w:tc>
        <w:tc>
          <w:tcPr>
            <w:tcW w:w="1380" w:type="dxa"/>
            <w:vAlign w:val="bottom"/>
          </w:tcPr>
          <w:p>
            <w:pPr>
              <w:jc w:val="center"/>
              <w:ind w:left="528"/>
              <w:spacing w:after="0"/>
              <w:rPr>
                <w:sz w:val="20"/>
                <w:szCs w:val="20"/>
                <w:color w:val="auto"/>
              </w:rPr>
            </w:pPr>
            <w:r>
              <w:rPr>
                <w:rFonts w:ascii="Arial" w:cs="Arial" w:eastAsia="Arial" w:hAnsi="Arial"/>
                <w:sz w:val="14"/>
                <w:szCs w:val="14"/>
                <w:color w:val="4D4D4F"/>
              </w:rPr>
              <w:t>*</w:t>
            </w:r>
          </w:p>
        </w:tc>
        <w:tc>
          <w:tcPr>
            <w:tcW w:w="0" w:type="dxa"/>
            <w:vAlign w:val="bottom"/>
          </w:tcPr>
          <w:p>
            <w:pPr>
              <w:spacing w:after="0"/>
              <w:rPr>
                <w:sz w:val="1"/>
                <w:szCs w:val="1"/>
                <w:color w:val="auto"/>
              </w:rPr>
            </w:pPr>
          </w:p>
        </w:tc>
      </w:tr>
      <w:tr>
        <w:trPr>
          <w:trHeight w:val="210"/>
        </w:trPr>
        <w:tc>
          <w:tcPr>
            <w:tcW w:w="40" w:type="dxa"/>
            <w:vAlign w:val="bottom"/>
            <w:shd w:val="clear" w:color="auto" w:fill="CCEEFF"/>
          </w:tcPr>
          <w:p>
            <w:pPr>
              <w:spacing w:after="0"/>
              <w:rPr>
                <w:sz w:val="18"/>
                <w:szCs w:val="18"/>
                <w:color w:val="auto"/>
              </w:rPr>
            </w:pPr>
          </w:p>
        </w:tc>
        <w:tc>
          <w:tcPr>
            <w:tcW w:w="5600" w:type="dxa"/>
            <w:vAlign w:val="bottom"/>
            <w:gridSpan w:val="3"/>
            <w:shd w:val="clear" w:color="auto" w:fill="CCEEFF"/>
          </w:tcPr>
          <w:p>
            <w:pPr>
              <w:spacing w:after="0"/>
              <w:rPr>
                <w:sz w:val="20"/>
                <w:szCs w:val="20"/>
                <w:color w:val="auto"/>
              </w:rPr>
            </w:pPr>
            <w:r>
              <w:rPr>
                <w:rFonts w:ascii="Arial" w:cs="Arial" w:eastAsia="Arial" w:hAnsi="Arial"/>
                <w:sz w:val="14"/>
                <w:szCs w:val="14"/>
                <w:color w:val="4D4D4F"/>
              </w:rPr>
              <w:t>All executive officers and directors as a group (11 persons)(15)</w:t>
            </w:r>
          </w:p>
        </w:tc>
        <w:tc>
          <w:tcPr>
            <w:tcW w:w="1480" w:type="dxa"/>
            <w:vAlign w:val="bottom"/>
            <w:shd w:val="clear" w:color="auto" w:fill="CCEEFF"/>
          </w:tcPr>
          <w:p>
            <w:pPr>
              <w:jc w:val="center"/>
              <w:ind w:right="168"/>
              <w:spacing w:after="0"/>
              <w:rPr>
                <w:sz w:val="20"/>
                <w:szCs w:val="20"/>
                <w:color w:val="auto"/>
              </w:rPr>
            </w:pPr>
            <w:r>
              <w:rPr>
                <w:rFonts w:ascii="Arial" w:cs="Arial" w:eastAsia="Arial" w:hAnsi="Arial"/>
                <w:sz w:val="14"/>
                <w:szCs w:val="14"/>
                <w:color w:val="4D4D4F"/>
              </w:rPr>
              <w:t>6,223,533</w:t>
            </w:r>
          </w:p>
        </w:tc>
        <w:tc>
          <w:tcPr>
            <w:tcW w:w="760" w:type="dxa"/>
            <w:vAlign w:val="bottom"/>
            <w:shd w:val="clear" w:color="auto" w:fill="CCEEFF"/>
          </w:tcPr>
          <w:p>
            <w:pPr>
              <w:jc w:val="center"/>
              <w:ind w:right="8"/>
              <w:spacing w:after="0"/>
              <w:rPr>
                <w:sz w:val="20"/>
                <w:szCs w:val="20"/>
                <w:color w:val="auto"/>
              </w:rPr>
            </w:pPr>
            <w:r>
              <w:rPr>
                <w:rFonts w:ascii="Arial" w:cs="Arial" w:eastAsia="Arial" w:hAnsi="Arial"/>
                <w:sz w:val="14"/>
                <w:szCs w:val="14"/>
                <w:color w:val="4D4D4F"/>
              </w:rPr>
              <w:t>36.1</w:t>
            </w:r>
          </w:p>
        </w:tc>
        <w:tc>
          <w:tcPr>
            <w:tcW w:w="1380" w:type="dxa"/>
            <w:vAlign w:val="bottom"/>
            <w:shd w:val="clear" w:color="auto" w:fill="CCEEFF"/>
          </w:tcPr>
          <w:p>
            <w:pPr>
              <w:jc w:val="center"/>
              <w:ind w:right="188"/>
              <w:spacing w:after="0"/>
              <w:rPr>
                <w:sz w:val="20"/>
                <w:szCs w:val="20"/>
                <w:color w:val="auto"/>
              </w:rPr>
            </w:pPr>
            <w:r>
              <w:rPr>
                <w:rFonts w:ascii="Arial" w:cs="Arial" w:eastAsia="Arial" w:hAnsi="Arial"/>
                <w:sz w:val="14"/>
                <w:szCs w:val="14"/>
                <w:color w:val="4D4D4F"/>
              </w:rPr>
              <w:t>1,535,937</w:t>
            </w:r>
          </w:p>
        </w:tc>
        <w:tc>
          <w:tcPr>
            <w:tcW w:w="600" w:type="dxa"/>
            <w:vAlign w:val="bottom"/>
            <w:shd w:val="clear" w:color="auto" w:fill="CCEEFF"/>
          </w:tcPr>
          <w:p>
            <w:pPr>
              <w:jc w:val="center"/>
              <w:ind w:left="48"/>
              <w:spacing w:after="0"/>
              <w:rPr>
                <w:sz w:val="20"/>
                <w:szCs w:val="20"/>
                <w:color w:val="auto"/>
              </w:rPr>
            </w:pPr>
            <w:r>
              <w:rPr>
                <w:rFonts w:ascii="Arial" w:cs="Arial" w:eastAsia="Arial" w:hAnsi="Arial"/>
                <w:sz w:val="14"/>
                <w:szCs w:val="14"/>
                <w:color w:val="4D4D4F"/>
              </w:rPr>
              <w:t>86.8</w:t>
            </w:r>
          </w:p>
        </w:tc>
        <w:tc>
          <w:tcPr>
            <w:tcW w:w="1380" w:type="dxa"/>
            <w:vAlign w:val="bottom"/>
            <w:shd w:val="clear" w:color="auto" w:fill="CCEEFF"/>
          </w:tcPr>
          <w:p>
            <w:pPr>
              <w:jc w:val="center"/>
              <w:ind w:left="508"/>
              <w:spacing w:after="0"/>
              <w:rPr>
                <w:sz w:val="20"/>
                <w:szCs w:val="20"/>
                <w:color w:val="auto"/>
              </w:rPr>
            </w:pPr>
            <w:r>
              <w:rPr>
                <w:rFonts w:ascii="Arial" w:cs="Arial" w:eastAsia="Arial" w:hAnsi="Arial"/>
                <w:sz w:val="14"/>
                <w:szCs w:val="14"/>
                <w:color w:val="4D4D4F"/>
              </w:rPr>
              <w:t>67.2</w:t>
            </w:r>
          </w:p>
        </w:tc>
        <w:tc>
          <w:tcPr>
            <w:tcW w:w="0" w:type="dxa"/>
            <w:vAlign w:val="bottom"/>
          </w:tcPr>
          <w:p>
            <w:pPr>
              <w:spacing w:after="0"/>
              <w:rPr>
                <w:sz w:val="1"/>
                <w:szCs w:val="1"/>
                <w:color w:val="auto"/>
              </w:rPr>
            </w:pPr>
          </w:p>
        </w:tc>
      </w:tr>
      <w:tr>
        <w:trPr>
          <w:trHeight w:val="39"/>
        </w:trPr>
        <w:tc>
          <w:tcPr>
            <w:tcW w:w="4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1880" w:type="dxa"/>
            <w:vAlign w:val="bottom"/>
            <w:shd w:val="clear" w:color="auto" w:fill="CCEEFF"/>
          </w:tcPr>
          <w:p>
            <w:pPr>
              <w:spacing w:after="0"/>
              <w:rPr>
                <w:sz w:val="3"/>
                <w:szCs w:val="3"/>
                <w:color w:val="auto"/>
              </w:rPr>
            </w:pPr>
          </w:p>
        </w:tc>
        <w:tc>
          <w:tcPr>
            <w:tcW w:w="2380" w:type="dxa"/>
            <w:vAlign w:val="bottom"/>
            <w:shd w:val="clear" w:color="auto" w:fill="CCEEFF"/>
          </w:tcPr>
          <w:p>
            <w:pPr>
              <w:spacing w:after="0"/>
              <w:rPr>
                <w:sz w:val="3"/>
                <w:szCs w:val="3"/>
                <w:color w:val="auto"/>
              </w:rPr>
            </w:pPr>
          </w:p>
        </w:tc>
        <w:tc>
          <w:tcPr>
            <w:tcW w:w="148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-2673985</wp:posOffset>
            </wp:positionV>
            <wp:extent cx="268287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79" w:lineRule="exact"/>
        <w:rPr>
          <w:sz w:val="20"/>
          <w:szCs w:val="20"/>
          <w:color w:val="auto"/>
        </w:rPr>
      </w:pPr>
    </w:p>
    <w:p>
      <w:pPr>
        <w:ind w:left="340" w:hanging="332"/>
        <w:spacing w:after="0"/>
        <w:tabs>
          <w:tab w:leader="none" w:pos="340" w:val="left"/>
        </w:tabs>
        <w:numPr>
          <w:ilvl w:val="0"/>
          <w:numId w:val="52"/>
        </w:numPr>
        <w:rPr>
          <w:rFonts w:ascii="Arial" w:cs="Arial" w:eastAsia="Arial" w:hAnsi="Arial"/>
          <w:sz w:val="14"/>
          <w:szCs w:val="14"/>
          <w:color w:val="4D4D4F"/>
        </w:rPr>
      </w:pPr>
      <w:r>
        <w:rPr>
          <w:rFonts w:ascii="Arial" w:cs="Arial" w:eastAsia="Arial" w:hAnsi="Arial"/>
          <w:sz w:val="14"/>
          <w:szCs w:val="14"/>
          <w:color w:val="4D4D4F"/>
        </w:rPr>
        <w:t>Less than 1%.</w:t>
      </w:r>
    </w:p>
    <w:p>
      <w:pPr>
        <w:spacing w:after="0" w:line="55" w:lineRule="exact"/>
        <w:rPr>
          <w:sz w:val="20"/>
          <w:szCs w:val="20"/>
          <w:color w:val="auto"/>
        </w:rPr>
      </w:pPr>
    </w:p>
    <w:p>
      <w:pPr>
        <w:ind w:left="340" w:hanging="332"/>
        <w:spacing w:after="0" w:line="258" w:lineRule="auto"/>
        <w:tabs>
          <w:tab w:leader="none" w:pos="340" w:val="left"/>
        </w:tabs>
        <w:numPr>
          <w:ilvl w:val="0"/>
          <w:numId w:val="53"/>
        </w:numPr>
        <w:rPr>
          <w:rFonts w:ascii="Arial" w:cs="Arial" w:eastAsia="Arial" w:hAnsi="Arial"/>
          <w:sz w:val="14"/>
          <w:szCs w:val="14"/>
          <w:color w:val="4D4D4F"/>
        </w:rPr>
      </w:pPr>
      <w:r>
        <w:rPr>
          <w:rFonts w:ascii="Arial" w:cs="Arial" w:eastAsia="Arial" w:hAnsi="Arial"/>
          <w:sz w:val="14"/>
          <w:szCs w:val="14"/>
          <w:color w:val="4D4D4F"/>
        </w:rPr>
        <w:t>Includes the number of shares of Class A common stock issuable upon conversion of shares of Class B common stock, which are convertible at any time into shares of Class A common stock.</w:t>
      </w:r>
    </w:p>
    <w:p>
      <w:pPr>
        <w:spacing w:after="0" w:line="31" w:lineRule="exact"/>
        <w:rPr>
          <w:rFonts w:ascii="Arial" w:cs="Arial" w:eastAsia="Arial" w:hAnsi="Arial"/>
          <w:sz w:val="14"/>
          <w:szCs w:val="14"/>
          <w:color w:val="4D4D4F"/>
        </w:rPr>
      </w:pPr>
    </w:p>
    <w:p>
      <w:pPr>
        <w:ind w:left="340" w:hanging="332"/>
        <w:spacing w:after="0" w:line="258" w:lineRule="auto"/>
        <w:tabs>
          <w:tab w:leader="none" w:pos="340" w:val="left"/>
        </w:tabs>
        <w:numPr>
          <w:ilvl w:val="0"/>
          <w:numId w:val="53"/>
        </w:numPr>
        <w:rPr>
          <w:rFonts w:ascii="Arial" w:cs="Arial" w:eastAsia="Arial" w:hAnsi="Arial"/>
          <w:sz w:val="14"/>
          <w:szCs w:val="14"/>
          <w:color w:val="4D4D4F"/>
        </w:rPr>
      </w:pPr>
      <w:r>
        <w:rPr>
          <w:rFonts w:ascii="Arial" w:cs="Arial" w:eastAsia="Arial" w:hAnsi="Arial"/>
          <w:sz w:val="14"/>
          <w:szCs w:val="14"/>
          <w:color w:val="4D4D4F"/>
        </w:rPr>
        <w:t>Percentage of total voting power represents voting power with respect to all shares of Class A and Class B common stock, voting as a single class. Holders are entitled to one vote per share of Class A common stock and twenty votes per share of Class B common stock.</w:t>
      </w:r>
    </w:p>
    <w:p>
      <w:pPr>
        <w:spacing w:after="0" w:line="31" w:lineRule="exact"/>
        <w:rPr>
          <w:rFonts w:ascii="Arial" w:cs="Arial" w:eastAsia="Arial" w:hAnsi="Arial"/>
          <w:sz w:val="14"/>
          <w:szCs w:val="14"/>
          <w:color w:val="4D4D4F"/>
        </w:rPr>
      </w:pPr>
    </w:p>
    <w:p>
      <w:pPr>
        <w:ind w:left="340" w:right="20" w:hanging="332"/>
        <w:spacing w:after="0" w:line="258" w:lineRule="auto"/>
        <w:tabs>
          <w:tab w:leader="none" w:pos="340" w:val="left"/>
        </w:tabs>
        <w:numPr>
          <w:ilvl w:val="0"/>
          <w:numId w:val="53"/>
        </w:numPr>
        <w:rPr>
          <w:rFonts w:ascii="Arial" w:cs="Arial" w:eastAsia="Arial" w:hAnsi="Arial"/>
          <w:sz w:val="14"/>
          <w:szCs w:val="14"/>
          <w:color w:val="4D4D4F"/>
        </w:rPr>
      </w:pPr>
      <w:r>
        <w:rPr>
          <w:rFonts w:ascii="Arial" w:cs="Arial" w:eastAsia="Arial" w:hAnsi="Arial"/>
          <w:sz w:val="14"/>
          <w:szCs w:val="14"/>
          <w:color w:val="4D4D4F"/>
        </w:rPr>
        <w:t>Weiguo Shen is the Chairman and General Manager of Shanghai Science and Technology Venture Co., Ltd., or SSTVC, and may be deemed to beneficially own the shares held by SSTVC. The address of SSTVC and Mr. Shen is Floor 39, #669 Xin Zha Road, Jing An District, Shanghai, PRC.</w:t>
      </w:r>
    </w:p>
    <w:p>
      <w:pPr>
        <w:spacing w:after="0" w:line="31" w:lineRule="exact"/>
        <w:rPr>
          <w:rFonts w:ascii="Arial" w:cs="Arial" w:eastAsia="Arial" w:hAnsi="Arial"/>
          <w:sz w:val="14"/>
          <w:szCs w:val="14"/>
          <w:color w:val="4D4D4F"/>
        </w:rPr>
      </w:pPr>
    </w:p>
    <w:p>
      <w:pPr>
        <w:jc w:val="both"/>
        <w:ind w:left="340" w:hanging="332"/>
        <w:spacing w:after="0" w:line="249" w:lineRule="auto"/>
        <w:tabs>
          <w:tab w:leader="none" w:pos="340" w:val="left"/>
        </w:tabs>
        <w:numPr>
          <w:ilvl w:val="0"/>
          <w:numId w:val="53"/>
        </w:numPr>
        <w:rPr>
          <w:rFonts w:ascii="Arial" w:cs="Arial" w:eastAsia="Arial" w:hAnsi="Arial"/>
          <w:sz w:val="14"/>
          <w:szCs w:val="14"/>
          <w:color w:val="4D4D4F"/>
        </w:rPr>
      </w:pPr>
      <w:r>
        <w:rPr>
          <w:rFonts w:ascii="Arial" w:cs="Arial" w:eastAsia="Arial" w:hAnsi="Arial"/>
          <w:sz w:val="14"/>
          <w:szCs w:val="14"/>
          <w:color w:val="4D4D4F"/>
        </w:rPr>
        <w:t>Pudong Science and Technology (Cayman) Co., Ltd., or PST, is a wholly owned subsidiary of Shanghai Pudong High-Tech Investment Co., Ltd. Long Ji is the Corporate Representative of Pudong High-Tech Investment Co., Ltd. and may be deemed to beneficially own the shares held by PST. The address of PST, its parent and Mr. Ji is No. 439, 13 Building, Chunxiao Road, Zhangjiang Hi-tech Park, Pudong District, Shanghai.</w:t>
      </w:r>
    </w:p>
    <w:p>
      <w:pPr>
        <w:spacing w:after="0" w:line="38" w:lineRule="exact"/>
        <w:rPr>
          <w:rFonts w:ascii="Arial" w:cs="Arial" w:eastAsia="Arial" w:hAnsi="Arial"/>
          <w:sz w:val="14"/>
          <w:szCs w:val="14"/>
          <w:color w:val="4D4D4F"/>
        </w:rPr>
      </w:pPr>
    </w:p>
    <w:p>
      <w:pPr>
        <w:jc w:val="both"/>
        <w:ind w:left="340" w:hanging="332"/>
        <w:spacing w:after="0" w:line="245" w:lineRule="auto"/>
        <w:tabs>
          <w:tab w:leader="none" w:pos="340" w:val="left"/>
        </w:tabs>
        <w:numPr>
          <w:ilvl w:val="0"/>
          <w:numId w:val="53"/>
        </w:numPr>
        <w:rPr>
          <w:rFonts w:ascii="Arial" w:cs="Arial" w:eastAsia="Arial" w:hAnsi="Arial"/>
          <w:sz w:val="14"/>
          <w:szCs w:val="14"/>
          <w:color w:val="4D4D4F"/>
        </w:rPr>
      </w:pPr>
      <w:r>
        <w:rPr>
          <w:rFonts w:ascii="Arial" w:cs="Arial" w:eastAsia="Arial" w:hAnsi="Arial"/>
          <w:sz w:val="14"/>
          <w:szCs w:val="14"/>
          <w:color w:val="4D4D4F"/>
        </w:rPr>
        <w:t>Includes (a) 206,667 shares of Class A common stock held by Dr. Wang and Jing Chen, as Trustees for the Wang-Chen Family Living Trust; (b) 60,000 shares of Class A common stock held by Dr. Wang and Jing Chen, as Trustees for The David Hui Wang and Jing Chen Family Irrevocable Trust for Wang Children; (c) 1,388,936 shares of Class A common stock issuable upon conversion of Class B common stock, of which shares of Class B common stock a total of 117,334 are held by Dr. Wang’s son, Brian Wang, 117,334 are held by Dr. Wang’s daughter, Sophia Wang, and 7,334 are held by Dr. Wang and Jing Chen, as Trustees for The David Hui Wang and Jing Chen Family Irrevocable Trust for Wang Children; and (d) 941,174 shares of Class A common stock issuable upon the exercise of options exercisable by June 7, 2021.</w:t>
      </w:r>
    </w:p>
    <w:p>
      <w:pPr>
        <w:spacing w:after="0" w:line="42" w:lineRule="exact"/>
        <w:rPr>
          <w:rFonts w:ascii="Arial" w:cs="Arial" w:eastAsia="Arial" w:hAnsi="Arial"/>
          <w:sz w:val="14"/>
          <w:szCs w:val="14"/>
          <w:color w:val="4D4D4F"/>
        </w:rPr>
      </w:pPr>
    </w:p>
    <w:p>
      <w:pPr>
        <w:jc w:val="both"/>
        <w:ind w:left="340" w:hanging="332"/>
        <w:spacing w:after="0" w:line="249" w:lineRule="auto"/>
        <w:tabs>
          <w:tab w:leader="none" w:pos="340" w:val="left"/>
        </w:tabs>
        <w:numPr>
          <w:ilvl w:val="0"/>
          <w:numId w:val="53"/>
        </w:numPr>
        <w:rPr>
          <w:rFonts w:ascii="Arial" w:cs="Arial" w:eastAsia="Arial" w:hAnsi="Arial"/>
          <w:sz w:val="14"/>
          <w:szCs w:val="14"/>
          <w:color w:val="4D4D4F"/>
        </w:rPr>
      </w:pPr>
      <w:r>
        <w:rPr>
          <w:rFonts w:ascii="Arial" w:cs="Arial" w:eastAsia="Arial" w:hAnsi="Arial"/>
          <w:sz w:val="14"/>
          <w:szCs w:val="14"/>
          <w:color w:val="4D4D4F"/>
        </w:rPr>
        <w:t>Consists of shares owned by SSTVC (see note (3) above). As described under “Corporate Governance—Director Nomination Rights,” SSTVC had exercised a contractual right by designating Ms. Xiang for nomination to the board and Ms. Xiang has been elected to the board. Ms. Xiang disclaims beneficial ownership of the shares owned by SSTVC except to the extent of her pecuniary interest therein.</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4"/>
          <w:szCs w:val="14"/>
          <w:i w:val="1"/>
          <w:iCs w:val="1"/>
          <w:color w:val="4D4D4F"/>
        </w:rPr>
        <w:t>[Footnotes continued on next page]</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4" w:name="page35"/>
    <w:bookmarkEnd w:id="34"/>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77" w:lineRule="exact"/>
        <w:rPr>
          <w:sz w:val="20"/>
          <w:szCs w:val="20"/>
          <w:color w:val="auto"/>
        </w:rPr>
      </w:pPr>
    </w:p>
    <w:p>
      <w:pPr>
        <w:jc w:val="both"/>
        <w:ind w:left="340" w:hanging="332"/>
        <w:spacing w:after="0" w:line="244" w:lineRule="auto"/>
        <w:tabs>
          <w:tab w:leader="none" w:pos="340" w:val="left"/>
        </w:tabs>
        <w:numPr>
          <w:ilvl w:val="0"/>
          <w:numId w:val="54"/>
        </w:numPr>
        <w:rPr>
          <w:rFonts w:ascii="Arial" w:cs="Arial" w:eastAsia="Arial" w:hAnsi="Arial"/>
          <w:sz w:val="14"/>
          <w:szCs w:val="14"/>
          <w:color w:val="4D4D4F"/>
        </w:rPr>
      </w:pPr>
      <w:r>
        <w:rPr>
          <w:rFonts w:ascii="Arial" w:cs="Arial" w:eastAsia="Arial" w:hAnsi="Arial"/>
          <w:sz w:val="14"/>
          <w:szCs w:val="14"/>
          <w:color w:val="4D4D4F"/>
        </w:rPr>
        <w:t>Consists of shares owned by Xinxin (Hongkong) Capital Co., Limited, or Xinxin, a wholly owned subsidiary of Xunxin (Shanghai) Capital Co., Ltd., which is a wholly owned subsidiary of China IC Industry Investment Fund. Sino IC Capital Co., Limited is the management company of China IC Industry Investment Fund and Kai Ren is the Vice President of Sino IC Capital Co., Limited and may be deemed to beneficially own the shares held by Xinxin. The address of Xinxin, Xunxin (Shanghai) Capital Co., Limited, Sino IC Capital Co., Limited, China IC Industry Investment Fund and Kai Ren is 3rd Floor North, No. 7 Financial Street, Xicheng District, Beijing 100033. As described under “Corporate Governance—Director Nomination Rights,” Xinxin had exercised a contractual right by designating Mr. Yang for nomination to the board and Mr. Yang had been elected to the board. Mr. Yang is not standing for re-election at this Annual Meeting. Mr. Yang disclaims beneficial ownership of the shares owned by Xinxin (Hongkong) Capital Co., Limited except to the extent of his pecuniary interest therein.</w:t>
      </w:r>
    </w:p>
    <w:p>
      <w:pPr>
        <w:spacing w:after="0" w:line="42" w:lineRule="exact"/>
        <w:rPr>
          <w:rFonts w:ascii="Arial" w:cs="Arial" w:eastAsia="Arial" w:hAnsi="Arial"/>
          <w:sz w:val="14"/>
          <w:szCs w:val="14"/>
          <w:color w:val="4D4D4F"/>
        </w:rPr>
      </w:pPr>
    </w:p>
    <w:p>
      <w:pPr>
        <w:ind w:left="340" w:hanging="332"/>
        <w:spacing w:after="0" w:line="258" w:lineRule="auto"/>
        <w:tabs>
          <w:tab w:leader="none" w:pos="340" w:val="left"/>
        </w:tabs>
        <w:numPr>
          <w:ilvl w:val="0"/>
          <w:numId w:val="54"/>
        </w:numPr>
        <w:rPr>
          <w:rFonts w:ascii="Arial" w:cs="Arial" w:eastAsia="Arial" w:hAnsi="Arial"/>
          <w:sz w:val="14"/>
          <w:szCs w:val="14"/>
          <w:color w:val="4D4D4F"/>
        </w:rPr>
      </w:pPr>
      <w:r>
        <w:rPr>
          <w:rFonts w:ascii="Arial" w:cs="Arial" w:eastAsia="Arial" w:hAnsi="Arial"/>
          <w:sz w:val="14"/>
          <w:szCs w:val="14"/>
          <w:color w:val="4D4D4F"/>
        </w:rPr>
        <w:t>Includes (a) 187,083 shares of Class A common stock issuable under options exercisable by June 7, 2021 and (b) 100,000 shares of Class A common stock issuable upon conversion of Class B common stock.</w:t>
      </w:r>
    </w:p>
    <w:p>
      <w:pPr>
        <w:spacing w:after="0" w:line="31" w:lineRule="exact"/>
        <w:rPr>
          <w:rFonts w:ascii="Arial" w:cs="Arial" w:eastAsia="Arial" w:hAnsi="Arial"/>
          <w:sz w:val="14"/>
          <w:szCs w:val="14"/>
          <w:color w:val="4D4D4F"/>
        </w:rPr>
      </w:pPr>
    </w:p>
    <w:p>
      <w:pPr>
        <w:ind w:left="340" w:hanging="332"/>
        <w:spacing w:after="0" w:line="258" w:lineRule="auto"/>
        <w:tabs>
          <w:tab w:leader="none" w:pos="340" w:val="left"/>
        </w:tabs>
        <w:numPr>
          <w:ilvl w:val="0"/>
          <w:numId w:val="54"/>
        </w:numPr>
        <w:rPr>
          <w:rFonts w:ascii="Arial" w:cs="Arial" w:eastAsia="Arial" w:hAnsi="Arial"/>
          <w:sz w:val="14"/>
          <w:szCs w:val="14"/>
          <w:color w:val="4D4D4F"/>
        </w:rPr>
      </w:pPr>
      <w:r>
        <w:rPr>
          <w:rFonts w:ascii="Arial" w:cs="Arial" w:eastAsia="Arial" w:hAnsi="Arial"/>
          <w:sz w:val="14"/>
          <w:szCs w:val="14"/>
          <w:color w:val="4D4D4F"/>
        </w:rPr>
        <w:t>Includes (a) 43,958 shares of Class A common stock issuable under options exercisable by June 7, 2021 and (b) 50,001 shares of Class A common stock issuable upon conversion of Class B common stock</w:t>
      </w:r>
    </w:p>
    <w:p>
      <w:pPr>
        <w:spacing w:after="0" w:line="31" w:lineRule="exact"/>
        <w:rPr>
          <w:rFonts w:ascii="Arial" w:cs="Arial" w:eastAsia="Arial" w:hAnsi="Arial"/>
          <w:sz w:val="14"/>
          <w:szCs w:val="14"/>
          <w:color w:val="4D4D4F"/>
        </w:rPr>
      </w:pPr>
    </w:p>
    <w:p>
      <w:pPr>
        <w:ind w:left="340" w:hanging="332"/>
        <w:spacing w:after="0"/>
        <w:tabs>
          <w:tab w:leader="none" w:pos="340" w:val="left"/>
        </w:tabs>
        <w:numPr>
          <w:ilvl w:val="0"/>
          <w:numId w:val="54"/>
        </w:numPr>
        <w:rPr>
          <w:rFonts w:ascii="Arial" w:cs="Arial" w:eastAsia="Arial" w:hAnsi="Arial"/>
          <w:sz w:val="14"/>
          <w:szCs w:val="14"/>
          <w:color w:val="4D4D4F"/>
        </w:rPr>
      </w:pPr>
      <w:r>
        <w:rPr>
          <w:rFonts w:ascii="Arial" w:cs="Arial" w:eastAsia="Arial" w:hAnsi="Arial"/>
          <w:sz w:val="14"/>
          <w:szCs w:val="14"/>
          <w:color w:val="4D4D4F"/>
        </w:rPr>
        <w:t>Includes 23,334 shares of Class A common stock issuable under options exercisable by June 7, 2021.</w:t>
      </w:r>
    </w:p>
    <w:p>
      <w:pPr>
        <w:spacing w:after="0" w:line="55" w:lineRule="exact"/>
        <w:rPr>
          <w:rFonts w:ascii="Arial" w:cs="Arial" w:eastAsia="Arial" w:hAnsi="Arial"/>
          <w:sz w:val="14"/>
          <w:szCs w:val="14"/>
          <w:color w:val="4D4D4F"/>
        </w:rPr>
      </w:pPr>
    </w:p>
    <w:p>
      <w:pPr>
        <w:ind w:left="340" w:hanging="332"/>
        <w:spacing w:after="0"/>
        <w:tabs>
          <w:tab w:leader="none" w:pos="340" w:val="left"/>
        </w:tabs>
        <w:numPr>
          <w:ilvl w:val="0"/>
          <w:numId w:val="54"/>
        </w:numPr>
        <w:rPr>
          <w:rFonts w:ascii="Arial" w:cs="Arial" w:eastAsia="Arial" w:hAnsi="Arial"/>
          <w:sz w:val="14"/>
          <w:szCs w:val="14"/>
          <w:color w:val="4D4D4F"/>
        </w:rPr>
      </w:pPr>
      <w:r>
        <w:rPr>
          <w:rFonts w:ascii="Arial" w:cs="Arial" w:eastAsia="Arial" w:hAnsi="Arial"/>
          <w:sz w:val="14"/>
          <w:szCs w:val="14"/>
          <w:color w:val="4D4D4F"/>
        </w:rPr>
        <w:t>Includes 79,345 shares of Class A common stock issuable under options exercisable by June 7, 2021.</w:t>
      </w:r>
    </w:p>
    <w:p>
      <w:pPr>
        <w:spacing w:after="0" w:line="55" w:lineRule="exact"/>
        <w:rPr>
          <w:rFonts w:ascii="Arial" w:cs="Arial" w:eastAsia="Arial" w:hAnsi="Arial"/>
          <w:sz w:val="14"/>
          <w:szCs w:val="14"/>
          <w:color w:val="4D4D4F"/>
        </w:rPr>
      </w:pPr>
    </w:p>
    <w:p>
      <w:pPr>
        <w:ind w:left="340" w:hanging="332"/>
        <w:spacing w:after="0"/>
        <w:tabs>
          <w:tab w:leader="none" w:pos="340" w:val="left"/>
        </w:tabs>
        <w:numPr>
          <w:ilvl w:val="0"/>
          <w:numId w:val="54"/>
        </w:numPr>
        <w:rPr>
          <w:rFonts w:ascii="Arial" w:cs="Arial" w:eastAsia="Arial" w:hAnsi="Arial"/>
          <w:sz w:val="14"/>
          <w:szCs w:val="14"/>
          <w:color w:val="4D4D4F"/>
        </w:rPr>
      </w:pPr>
      <w:r>
        <w:rPr>
          <w:rFonts w:ascii="Arial" w:cs="Arial" w:eastAsia="Arial" w:hAnsi="Arial"/>
          <w:sz w:val="14"/>
          <w:szCs w:val="14"/>
          <w:color w:val="4D4D4F"/>
        </w:rPr>
        <w:t>Includes 39,416 shares of Class A common stock issuable under options exercisable by June 7, 2021.</w:t>
      </w:r>
    </w:p>
    <w:p>
      <w:pPr>
        <w:spacing w:after="0" w:line="55" w:lineRule="exact"/>
        <w:rPr>
          <w:rFonts w:ascii="Arial" w:cs="Arial" w:eastAsia="Arial" w:hAnsi="Arial"/>
          <w:sz w:val="14"/>
          <w:szCs w:val="14"/>
          <w:color w:val="4D4D4F"/>
        </w:rPr>
      </w:pPr>
    </w:p>
    <w:p>
      <w:pPr>
        <w:ind w:left="340" w:hanging="332"/>
        <w:spacing w:after="0"/>
        <w:tabs>
          <w:tab w:leader="none" w:pos="340" w:val="left"/>
        </w:tabs>
        <w:numPr>
          <w:ilvl w:val="0"/>
          <w:numId w:val="54"/>
        </w:numPr>
        <w:rPr>
          <w:rFonts w:ascii="Arial" w:cs="Arial" w:eastAsia="Arial" w:hAnsi="Arial"/>
          <w:sz w:val="14"/>
          <w:szCs w:val="14"/>
          <w:color w:val="4D4D4F"/>
        </w:rPr>
      </w:pPr>
      <w:r>
        <w:rPr>
          <w:rFonts w:ascii="Arial" w:cs="Arial" w:eastAsia="Arial" w:hAnsi="Arial"/>
          <w:sz w:val="14"/>
          <w:szCs w:val="14"/>
          <w:color w:val="4D4D4F"/>
        </w:rPr>
        <w:t>Includes 31,669 shares of Class A common stock issuable under options exercisable by June 7, 2021.</w:t>
      </w:r>
    </w:p>
    <w:p>
      <w:pPr>
        <w:spacing w:after="0" w:line="55" w:lineRule="exact"/>
        <w:rPr>
          <w:rFonts w:ascii="Arial" w:cs="Arial" w:eastAsia="Arial" w:hAnsi="Arial"/>
          <w:sz w:val="14"/>
          <w:szCs w:val="14"/>
          <w:color w:val="4D4D4F"/>
        </w:rPr>
      </w:pPr>
    </w:p>
    <w:p>
      <w:pPr>
        <w:ind w:left="340" w:hanging="332"/>
        <w:spacing w:after="0"/>
        <w:tabs>
          <w:tab w:leader="none" w:pos="340" w:val="left"/>
        </w:tabs>
        <w:numPr>
          <w:ilvl w:val="0"/>
          <w:numId w:val="54"/>
        </w:numPr>
        <w:rPr>
          <w:rFonts w:ascii="Arial" w:cs="Arial" w:eastAsia="Arial" w:hAnsi="Arial"/>
          <w:sz w:val="14"/>
          <w:szCs w:val="14"/>
          <w:color w:val="4D4D4F"/>
        </w:rPr>
      </w:pPr>
      <w:r>
        <w:rPr>
          <w:rFonts w:ascii="Arial" w:cs="Arial" w:eastAsia="Arial" w:hAnsi="Arial"/>
          <w:sz w:val="14"/>
          <w:szCs w:val="14"/>
          <w:color w:val="4D4D4F"/>
        </w:rPr>
        <w:t>Includes 24,346 shares of Class A common stock issuable under options exercisable by June 7, 2021.</w:t>
      </w:r>
    </w:p>
    <w:p>
      <w:pPr>
        <w:spacing w:after="0" w:line="55" w:lineRule="exact"/>
        <w:rPr>
          <w:rFonts w:ascii="Arial" w:cs="Arial" w:eastAsia="Arial" w:hAnsi="Arial"/>
          <w:sz w:val="14"/>
          <w:szCs w:val="14"/>
          <w:color w:val="4D4D4F"/>
        </w:rPr>
      </w:pPr>
    </w:p>
    <w:p>
      <w:pPr>
        <w:ind w:left="340" w:hanging="332"/>
        <w:spacing w:after="0"/>
        <w:tabs>
          <w:tab w:leader="none" w:pos="340" w:val="left"/>
        </w:tabs>
        <w:numPr>
          <w:ilvl w:val="0"/>
          <w:numId w:val="54"/>
        </w:numPr>
        <w:rPr>
          <w:rFonts w:ascii="Arial" w:cs="Arial" w:eastAsia="Arial" w:hAnsi="Arial"/>
          <w:sz w:val="14"/>
          <w:szCs w:val="14"/>
          <w:color w:val="4D4D4F"/>
        </w:rPr>
      </w:pPr>
      <w:r>
        <w:rPr>
          <w:rFonts w:ascii="Arial" w:cs="Arial" w:eastAsia="Arial" w:hAnsi="Arial"/>
          <w:sz w:val="14"/>
          <w:szCs w:val="14"/>
          <w:color w:val="4D4D4F"/>
        </w:rPr>
        <w:t>Includes shares held jointly, indirectly and/or in trust, including 1,391,185 shares of Class A common stock issuable under options exercisable by June 7, 2021.</w:t>
      </w:r>
    </w:p>
    <w:p>
      <w:pPr>
        <w:spacing w:after="0" w:line="17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4D4D4F"/>
        </w:rPr>
        <w:t>Unless otherwise indicated, the address of all individuals listed above is c/o ACM Research, Inc., 42307 Osgood Road, Suite I, Fremont, California 94539.</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3E64"/>
        </w:rPr>
        <w:t>Delinquent Section 16(a) Reports</w:t>
      </w:r>
    </w:p>
    <w:p>
      <w:pPr>
        <w:spacing w:after="0" w:line="309" w:lineRule="exact"/>
        <w:rPr>
          <w:sz w:val="20"/>
          <w:szCs w:val="20"/>
          <w:color w:val="auto"/>
        </w:rPr>
      </w:pPr>
    </w:p>
    <w:p>
      <w:pPr>
        <w:jc w:val="both"/>
        <w:spacing w:after="0"/>
        <w:rPr>
          <w:sz w:val="20"/>
          <w:szCs w:val="20"/>
          <w:color w:val="auto"/>
        </w:rPr>
      </w:pPr>
      <w:r>
        <w:rPr>
          <w:rFonts w:ascii="Arial" w:cs="Arial" w:eastAsia="Arial" w:hAnsi="Arial"/>
          <w:sz w:val="18"/>
          <w:szCs w:val="18"/>
          <w:color w:val="4D4D4F"/>
        </w:rPr>
        <w:t>Section 16(a) of the Securities Exchange Act requires our executive officers and directors and any persons owning ten percent or more of our Class A common stock to file reports with the SEC to report their beneficial ownership of and transactions in our securities and to furnish us with copies of the reports.</w:t>
      </w:r>
    </w:p>
    <w:p>
      <w:pPr>
        <w:spacing w:after="0" w:line="17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4D4D4F"/>
        </w:rPr>
        <w:t>Based solely upon a review of the Section 16(a) reports furnished to us, along with written representations from our executive officers and directors, we believe that all required reports were timely filed during 2020, except that (a) Lisa Feng inadvertently failed to file one report, and as a result one transaction was not reported on a timely basis, and (b) Jian Wang inadvertently failed to file one report, and as a result one transaction was not filed on a timely basis.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5" w:name="page36"/>
    <w:bookmarkEnd w:id="35"/>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3E64"/>
        </w:rPr>
        <w:t>Executive Officers</w:t>
      </w:r>
    </w:p>
    <w:p>
      <w:pPr>
        <w:spacing w:after="0" w:line="169"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4D4D4F"/>
        </w:rPr>
        <w:t>The following table sets forth, as of April 8, 2021, the names of our executive oﬃcers, their ages, their positions and business experience, and the year of their first election as oﬃcers. Each executive oﬃcer serves at the discretion of the board of directors and holds oﬃce until his successor is duly elected and qualified or until his earlier resignation or removal.</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680" w:type="dxa"/>
            <w:vAlign w:val="bottom"/>
            <w:shd w:val="clear" w:color="auto" w:fill="003E64"/>
          </w:tcPr>
          <w:p>
            <w:pPr>
              <w:spacing w:after="0"/>
              <w:rPr>
                <w:sz w:val="14"/>
                <w:szCs w:val="14"/>
                <w:color w:val="auto"/>
              </w:rPr>
            </w:pPr>
          </w:p>
        </w:tc>
        <w:tc>
          <w:tcPr>
            <w:tcW w:w="560" w:type="dxa"/>
            <w:vAlign w:val="bottom"/>
            <w:shd w:val="clear" w:color="auto" w:fill="003E64"/>
          </w:tcPr>
          <w:p>
            <w:pPr>
              <w:spacing w:after="0"/>
              <w:rPr>
                <w:sz w:val="14"/>
                <w:szCs w:val="14"/>
                <w:color w:val="auto"/>
              </w:rPr>
            </w:pPr>
          </w:p>
        </w:tc>
        <w:tc>
          <w:tcPr>
            <w:tcW w:w="7980" w:type="dxa"/>
            <w:vAlign w:val="bottom"/>
            <w:shd w:val="clear" w:color="auto" w:fill="003E64"/>
          </w:tcPr>
          <w:p>
            <w:pPr>
              <w:spacing w:after="0"/>
              <w:rPr>
                <w:sz w:val="14"/>
                <w:szCs w:val="14"/>
                <w:color w:val="auto"/>
              </w:rPr>
            </w:pPr>
          </w:p>
        </w:tc>
        <w:tc>
          <w:tcPr>
            <w:tcW w:w="1020" w:type="dxa"/>
            <w:vAlign w:val="bottom"/>
            <w:shd w:val="clear" w:color="auto" w:fill="003E64"/>
          </w:tcPr>
          <w:p>
            <w:pPr>
              <w:jc w:val="center"/>
              <w:spacing w:after="0"/>
              <w:rPr>
                <w:sz w:val="20"/>
                <w:szCs w:val="20"/>
                <w:color w:val="auto"/>
              </w:rPr>
            </w:pPr>
            <w:r>
              <w:rPr>
                <w:rFonts w:ascii="Arial" w:cs="Arial" w:eastAsia="Arial" w:hAnsi="Arial"/>
                <w:sz w:val="14"/>
                <w:szCs w:val="14"/>
                <w:b w:val="1"/>
                <w:bCs w:val="1"/>
                <w:color w:val="FFFFFF"/>
              </w:rPr>
              <w:t>Year First</w:t>
            </w:r>
          </w:p>
        </w:tc>
        <w:tc>
          <w:tcPr>
            <w:tcW w:w="0" w:type="dxa"/>
            <w:vAlign w:val="bottom"/>
          </w:tcPr>
          <w:p>
            <w:pPr>
              <w:spacing w:after="0"/>
              <w:rPr>
                <w:sz w:val="1"/>
                <w:szCs w:val="1"/>
                <w:color w:val="auto"/>
              </w:rPr>
            </w:pPr>
          </w:p>
        </w:tc>
      </w:tr>
      <w:tr>
        <w:trPr>
          <w:trHeight w:val="176"/>
        </w:trPr>
        <w:tc>
          <w:tcPr>
            <w:tcW w:w="1680" w:type="dxa"/>
            <w:vAlign w:val="bottom"/>
            <w:vMerge w:val="restart"/>
            <w:shd w:val="clear" w:color="auto" w:fill="003E64"/>
          </w:tcPr>
          <w:p>
            <w:pPr>
              <w:ind w:left="620"/>
              <w:spacing w:after="0"/>
              <w:rPr>
                <w:sz w:val="20"/>
                <w:szCs w:val="20"/>
                <w:color w:val="auto"/>
              </w:rPr>
            </w:pPr>
            <w:r>
              <w:rPr>
                <w:rFonts w:ascii="Arial" w:cs="Arial" w:eastAsia="Arial" w:hAnsi="Arial"/>
                <w:sz w:val="14"/>
                <w:szCs w:val="14"/>
                <w:b w:val="1"/>
                <w:bCs w:val="1"/>
                <w:color w:val="FFFFFF"/>
              </w:rPr>
              <w:t>Name</w:t>
            </w:r>
          </w:p>
        </w:tc>
        <w:tc>
          <w:tcPr>
            <w:tcW w:w="560" w:type="dxa"/>
            <w:vAlign w:val="bottom"/>
            <w:vMerge w:val="restart"/>
            <w:shd w:val="clear" w:color="auto" w:fill="003E64"/>
          </w:tcPr>
          <w:p>
            <w:pPr>
              <w:ind w:left="180"/>
              <w:spacing w:after="0"/>
              <w:rPr>
                <w:sz w:val="20"/>
                <w:szCs w:val="20"/>
                <w:color w:val="auto"/>
              </w:rPr>
            </w:pPr>
            <w:r>
              <w:rPr>
                <w:rFonts w:ascii="Arial" w:cs="Arial" w:eastAsia="Arial" w:hAnsi="Arial"/>
                <w:sz w:val="14"/>
                <w:szCs w:val="14"/>
                <w:b w:val="1"/>
                <w:bCs w:val="1"/>
                <w:color w:val="FFFFFF"/>
              </w:rPr>
              <w:t>Age</w:t>
            </w:r>
          </w:p>
        </w:tc>
        <w:tc>
          <w:tcPr>
            <w:tcW w:w="7980" w:type="dxa"/>
            <w:vAlign w:val="bottom"/>
            <w:vMerge w:val="restart"/>
            <w:shd w:val="clear" w:color="auto" w:fill="003E64"/>
          </w:tcPr>
          <w:p>
            <w:pPr>
              <w:ind w:left="2560"/>
              <w:spacing w:after="0"/>
              <w:rPr>
                <w:sz w:val="20"/>
                <w:szCs w:val="20"/>
                <w:color w:val="auto"/>
              </w:rPr>
            </w:pPr>
            <w:r>
              <w:rPr>
                <w:rFonts w:ascii="Arial" w:cs="Arial" w:eastAsia="Arial" w:hAnsi="Arial"/>
                <w:sz w:val="14"/>
                <w:szCs w:val="14"/>
                <w:b w:val="1"/>
                <w:bCs w:val="1"/>
                <w:color w:val="FFFFFF"/>
              </w:rPr>
              <w:t>Positions and Business Experience</w:t>
            </w:r>
          </w:p>
        </w:tc>
        <w:tc>
          <w:tcPr>
            <w:tcW w:w="1020" w:type="dxa"/>
            <w:vAlign w:val="bottom"/>
            <w:shd w:val="clear" w:color="auto" w:fill="003E64"/>
          </w:tcPr>
          <w:p>
            <w:pPr>
              <w:jc w:val="center"/>
              <w:spacing w:after="0"/>
              <w:rPr>
                <w:sz w:val="20"/>
                <w:szCs w:val="20"/>
                <w:color w:val="auto"/>
              </w:rPr>
            </w:pPr>
            <w:r>
              <w:rPr>
                <w:rFonts w:ascii="Arial" w:cs="Arial" w:eastAsia="Arial" w:hAnsi="Arial"/>
                <w:sz w:val="14"/>
                <w:szCs w:val="14"/>
                <w:b w:val="1"/>
                <w:bCs w:val="1"/>
                <w:color w:val="FFFFFF"/>
              </w:rPr>
              <w:t>Elected</w:t>
            </w:r>
          </w:p>
        </w:tc>
        <w:tc>
          <w:tcPr>
            <w:tcW w:w="0" w:type="dxa"/>
            <w:vAlign w:val="bottom"/>
          </w:tcPr>
          <w:p>
            <w:pPr>
              <w:spacing w:after="0"/>
              <w:rPr>
                <w:sz w:val="1"/>
                <w:szCs w:val="1"/>
                <w:color w:val="auto"/>
              </w:rPr>
            </w:pPr>
          </w:p>
        </w:tc>
      </w:tr>
      <w:tr>
        <w:trPr>
          <w:trHeight w:val="235"/>
        </w:trPr>
        <w:tc>
          <w:tcPr>
            <w:tcW w:w="1680" w:type="dxa"/>
            <w:vAlign w:val="bottom"/>
            <w:vMerge w:val="continue"/>
            <w:shd w:val="clear" w:color="auto" w:fill="003E64"/>
          </w:tcPr>
          <w:p>
            <w:pPr>
              <w:spacing w:after="0"/>
              <w:rPr>
                <w:sz w:val="20"/>
                <w:szCs w:val="20"/>
                <w:color w:val="auto"/>
              </w:rPr>
            </w:pPr>
          </w:p>
        </w:tc>
        <w:tc>
          <w:tcPr>
            <w:tcW w:w="560" w:type="dxa"/>
            <w:vAlign w:val="bottom"/>
            <w:vMerge w:val="continue"/>
            <w:shd w:val="clear" w:color="auto" w:fill="003E64"/>
          </w:tcPr>
          <w:p>
            <w:pPr>
              <w:spacing w:after="0"/>
              <w:rPr>
                <w:sz w:val="20"/>
                <w:szCs w:val="20"/>
                <w:color w:val="auto"/>
              </w:rPr>
            </w:pPr>
          </w:p>
        </w:tc>
        <w:tc>
          <w:tcPr>
            <w:tcW w:w="7980" w:type="dxa"/>
            <w:vAlign w:val="bottom"/>
            <w:vMerge w:val="continue"/>
            <w:shd w:val="clear" w:color="auto" w:fill="003E64"/>
          </w:tcPr>
          <w:p>
            <w:pPr>
              <w:spacing w:after="0"/>
              <w:rPr>
                <w:sz w:val="20"/>
                <w:szCs w:val="20"/>
                <w:color w:val="auto"/>
              </w:rPr>
            </w:pPr>
          </w:p>
        </w:tc>
        <w:tc>
          <w:tcPr>
            <w:tcW w:w="1020" w:type="dxa"/>
            <w:vAlign w:val="bottom"/>
            <w:shd w:val="clear" w:color="auto" w:fill="003E64"/>
          </w:tcPr>
          <w:p>
            <w:pPr>
              <w:jc w:val="center"/>
              <w:spacing w:after="0"/>
              <w:rPr>
                <w:sz w:val="20"/>
                <w:szCs w:val="20"/>
                <w:color w:val="auto"/>
              </w:rPr>
            </w:pPr>
            <w:r>
              <w:rPr>
                <w:rFonts w:ascii="Arial" w:cs="Arial" w:eastAsia="Arial" w:hAnsi="Arial"/>
                <w:sz w:val="14"/>
                <w:szCs w:val="14"/>
                <w:b w:val="1"/>
                <w:bCs w:val="1"/>
                <w:color w:val="FFFFFF"/>
              </w:rPr>
              <w:t>Oﬃcer</w:t>
            </w:r>
          </w:p>
        </w:tc>
        <w:tc>
          <w:tcPr>
            <w:tcW w:w="0" w:type="dxa"/>
            <w:vAlign w:val="bottom"/>
          </w:tcPr>
          <w:p>
            <w:pPr>
              <w:spacing w:after="0"/>
              <w:rPr>
                <w:sz w:val="1"/>
                <w:szCs w:val="1"/>
                <w:color w:val="auto"/>
              </w:rPr>
            </w:pPr>
          </w:p>
        </w:tc>
      </w:tr>
      <w:tr>
        <w:trPr>
          <w:trHeight w:val="189"/>
        </w:trPr>
        <w:tc>
          <w:tcPr>
            <w:tcW w:w="1680" w:type="dxa"/>
            <w:vAlign w:val="bottom"/>
          </w:tcPr>
          <w:p>
            <w:pPr>
              <w:ind w:left="40"/>
              <w:spacing w:after="0" w:line="189" w:lineRule="exact"/>
              <w:rPr>
                <w:sz w:val="20"/>
                <w:szCs w:val="20"/>
                <w:color w:val="auto"/>
              </w:rPr>
            </w:pPr>
            <w:r>
              <w:rPr>
                <w:rFonts w:ascii="Arial" w:cs="Arial" w:eastAsia="Arial" w:hAnsi="Arial"/>
                <w:sz w:val="18"/>
                <w:szCs w:val="18"/>
                <w:color w:val="4D4D4F"/>
              </w:rPr>
              <w:t>David H. Wang</w:t>
            </w:r>
          </w:p>
        </w:tc>
        <w:tc>
          <w:tcPr>
            <w:tcW w:w="8540" w:type="dxa"/>
            <w:vAlign w:val="bottom"/>
            <w:gridSpan w:val="2"/>
          </w:tcPr>
          <w:p>
            <w:pPr>
              <w:ind w:left="220"/>
              <w:spacing w:after="0" w:line="189" w:lineRule="exact"/>
              <w:rPr>
                <w:sz w:val="20"/>
                <w:szCs w:val="20"/>
                <w:color w:val="auto"/>
              </w:rPr>
            </w:pPr>
            <w:r>
              <w:rPr>
                <w:rFonts w:ascii="Arial" w:cs="Arial" w:eastAsia="Arial" w:hAnsi="Arial"/>
                <w:sz w:val="18"/>
                <w:szCs w:val="18"/>
                <w:color w:val="4D4D4F"/>
              </w:rPr>
              <w:t>59  Please see “Proposal 1. Election of Directors—Information Concerning Nominees for</w:t>
            </w:r>
          </w:p>
        </w:tc>
        <w:tc>
          <w:tcPr>
            <w:tcW w:w="1020" w:type="dxa"/>
            <w:vAlign w:val="bottom"/>
          </w:tcPr>
          <w:p>
            <w:pPr>
              <w:jc w:val="center"/>
              <w:spacing w:after="0" w:line="189" w:lineRule="exact"/>
              <w:rPr>
                <w:sz w:val="20"/>
                <w:szCs w:val="20"/>
                <w:color w:val="auto"/>
              </w:rPr>
            </w:pPr>
            <w:r>
              <w:rPr>
                <w:rFonts w:ascii="Arial" w:cs="Arial" w:eastAsia="Arial" w:hAnsi="Arial"/>
                <w:sz w:val="18"/>
                <w:szCs w:val="18"/>
                <w:color w:val="4D4D4F"/>
              </w:rPr>
              <w:t>1998</w:t>
            </w:r>
          </w:p>
        </w:tc>
        <w:tc>
          <w:tcPr>
            <w:tcW w:w="0" w:type="dxa"/>
            <w:vAlign w:val="bottom"/>
          </w:tcPr>
          <w:p>
            <w:pPr>
              <w:spacing w:after="0"/>
              <w:rPr>
                <w:sz w:val="1"/>
                <w:szCs w:val="1"/>
                <w:color w:val="auto"/>
              </w:rPr>
            </w:pPr>
          </w:p>
        </w:tc>
      </w:tr>
      <w:tr>
        <w:trPr>
          <w:trHeight w:val="270"/>
        </w:trPr>
        <w:tc>
          <w:tcPr>
            <w:tcW w:w="16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980" w:type="dxa"/>
            <w:vAlign w:val="bottom"/>
          </w:tcPr>
          <w:p>
            <w:pPr>
              <w:ind w:left="100"/>
              <w:spacing w:after="0"/>
              <w:rPr>
                <w:sz w:val="20"/>
                <w:szCs w:val="20"/>
                <w:color w:val="auto"/>
              </w:rPr>
            </w:pPr>
            <w:r>
              <w:rPr>
                <w:rFonts w:ascii="Arial" w:cs="Arial" w:eastAsia="Arial" w:hAnsi="Arial"/>
                <w:sz w:val="18"/>
                <w:szCs w:val="18"/>
                <w:color w:val="4D4D4F"/>
              </w:rPr>
              <w:t>Election as Directors.”</w:t>
            </w: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168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4D4D4F"/>
              </w:rPr>
              <w:t>Mark McKechnie</w:t>
            </w:r>
          </w:p>
        </w:tc>
        <w:tc>
          <w:tcPr>
            <w:tcW w:w="854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8"/>
                <w:szCs w:val="18"/>
                <w:color w:val="4D4D4F"/>
              </w:rPr>
              <w:t>54  Chief Financial Oﬃcer, Treasurer and Secretary of ACM Research, Inc. (November</w:t>
            </w:r>
          </w:p>
        </w:tc>
        <w:tc>
          <w:tcPr>
            <w:tcW w:w="102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4D4D4F"/>
              </w:rPr>
              <w:t>2019</w:t>
            </w:r>
          </w:p>
        </w:tc>
        <w:tc>
          <w:tcPr>
            <w:tcW w:w="0" w:type="dxa"/>
            <w:vAlign w:val="bottom"/>
          </w:tcPr>
          <w:p>
            <w:pPr>
              <w:spacing w:after="0"/>
              <w:rPr>
                <w:sz w:val="1"/>
                <w:szCs w:val="1"/>
                <w:color w:val="auto"/>
              </w:rPr>
            </w:pPr>
          </w:p>
        </w:tc>
      </w:tr>
      <w:tr>
        <w:trPr>
          <w:trHeight w:val="203"/>
        </w:trPr>
        <w:tc>
          <w:tcPr>
            <w:tcW w:w="16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9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4D4D4F"/>
              </w:rPr>
              <w:t>2019-present); Vice President of Finance of ACM Research, Inc. (July 2018-November</w:t>
            </w: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9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4D4D4F"/>
              </w:rPr>
              <w:t>2019); Vice President of Investor Relations and Strategic Initiatives of Silver Spring</w:t>
            </w: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9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4D4D4F"/>
              </w:rPr>
              <w:t>Networks (November 2014-January 2018); Managing Director of Technology Equity</w:t>
            </w: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9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4D4D4F"/>
              </w:rPr>
              <w:t>Research of Evercore Partners (2012-2014); received a Bachelor of Science in</w:t>
            </w: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9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4D4D4F"/>
              </w:rPr>
              <w:t>Electrical Engineering degree from Purdue University and a Master of Business</w:t>
            </w: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9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4D4D4F"/>
              </w:rPr>
              <w:t>Administration degree from The Kellogg School of Management at Northwestern</w:t>
            </w: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16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7980" w:type="dxa"/>
            <w:vAlign w:val="bottom"/>
            <w:shd w:val="clear" w:color="auto" w:fill="CCEEFF"/>
          </w:tcPr>
          <w:p>
            <w:pPr>
              <w:ind w:left="100"/>
              <w:spacing w:after="0"/>
              <w:rPr>
                <w:sz w:val="20"/>
                <w:szCs w:val="20"/>
                <w:color w:val="auto"/>
              </w:rPr>
            </w:pPr>
            <w:r>
              <w:rPr>
                <w:rFonts w:ascii="Arial" w:cs="Arial" w:eastAsia="Arial" w:hAnsi="Arial"/>
                <w:sz w:val="18"/>
                <w:szCs w:val="18"/>
                <w:color w:val="4D4D4F"/>
              </w:rPr>
              <w:t>University.</w:t>
            </w: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1680" w:type="dxa"/>
            <w:vAlign w:val="bottom"/>
          </w:tcPr>
          <w:p>
            <w:pPr>
              <w:ind w:left="40"/>
              <w:spacing w:after="0" w:line="189" w:lineRule="exact"/>
              <w:rPr>
                <w:sz w:val="20"/>
                <w:szCs w:val="20"/>
                <w:color w:val="auto"/>
              </w:rPr>
            </w:pPr>
            <w:r>
              <w:rPr>
                <w:rFonts w:ascii="Arial" w:cs="Arial" w:eastAsia="Arial" w:hAnsi="Arial"/>
                <w:sz w:val="18"/>
                <w:szCs w:val="18"/>
                <w:color w:val="4D4D4F"/>
              </w:rPr>
              <w:t>Jian Wang</w:t>
            </w:r>
          </w:p>
        </w:tc>
        <w:tc>
          <w:tcPr>
            <w:tcW w:w="8540" w:type="dxa"/>
            <w:vAlign w:val="bottom"/>
            <w:gridSpan w:val="2"/>
          </w:tcPr>
          <w:p>
            <w:pPr>
              <w:ind w:left="220"/>
              <w:spacing w:after="0" w:line="189" w:lineRule="exact"/>
              <w:rPr>
                <w:sz w:val="20"/>
                <w:szCs w:val="20"/>
                <w:color w:val="auto"/>
              </w:rPr>
            </w:pPr>
            <w:r>
              <w:rPr>
                <w:rFonts w:ascii="Arial" w:cs="Arial" w:eastAsia="Arial" w:hAnsi="Arial"/>
                <w:sz w:val="18"/>
                <w:szCs w:val="18"/>
                <w:color w:val="4D4D4F"/>
              </w:rPr>
              <w:t>56  Chief Executive Oﬃcer and President of ACM Research (Shanghai), Inc. (November</w:t>
            </w:r>
          </w:p>
        </w:tc>
        <w:tc>
          <w:tcPr>
            <w:tcW w:w="1020" w:type="dxa"/>
            <w:vAlign w:val="bottom"/>
          </w:tcPr>
          <w:p>
            <w:pPr>
              <w:jc w:val="center"/>
              <w:spacing w:after="0" w:line="189" w:lineRule="exact"/>
              <w:rPr>
                <w:sz w:val="20"/>
                <w:szCs w:val="20"/>
                <w:color w:val="auto"/>
              </w:rPr>
            </w:pPr>
            <w:r>
              <w:rPr>
                <w:rFonts w:ascii="Arial" w:cs="Arial" w:eastAsia="Arial" w:hAnsi="Arial"/>
                <w:sz w:val="18"/>
                <w:szCs w:val="18"/>
                <w:color w:val="4D4D4F"/>
              </w:rPr>
              <w:t>2015</w:t>
            </w:r>
          </w:p>
        </w:tc>
        <w:tc>
          <w:tcPr>
            <w:tcW w:w="0" w:type="dxa"/>
            <w:vAlign w:val="bottom"/>
          </w:tcPr>
          <w:p>
            <w:pPr>
              <w:spacing w:after="0"/>
              <w:rPr>
                <w:sz w:val="1"/>
                <w:szCs w:val="1"/>
                <w:color w:val="auto"/>
              </w:rPr>
            </w:pPr>
          </w:p>
        </w:tc>
      </w:tr>
      <w:tr>
        <w:trPr>
          <w:trHeight w:val="203"/>
        </w:trPr>
        <w:tc>
          <w:tcPr>
            <w:tcW w:w="1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980" w:type="dxa"/>
            <w:vAlign w:val="bottom"/>
          </w:tcPr>
          <w:p>
            <w:pPr>
              <w:ind w:left="100"/>
              <w:spacing w:after="0" w:line="202" w:lineRule="exact"/>
              <w:rPr>
                <w:sz w:val="20"/>
                <w:szCs w:val="20"/>
                <w:color w:val="auto"/>
              </w:rPr>
            </w:pPr>
            <w:r>
              <w:rPr>
                <w:rFonts w:ascii="Arial" w:cs="Arial" w:eastAsia="Arial" w:hAnsi="Arial"/>
                <w:sz w:val="18"/>
                <w:szCs w:val="18"/>
                <w:color w:val="4D4D4F"/>
              </w:rPr>
              <w:t>2019-present); Vice President, Research and Development (January 2015-November</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980" w:type="dxa"/>
            <w:vAlign w:val="bottom"/>
          </w:tcPr>
          <w:p>
            <w:pPr>
              <w:ind w:left="100"/>
              <w:spacing w:after="0" w:line="202" w:lineRule="exact"/>
              <w:rPr>
                <w:sz w:val="20"/>
                <w:szCs w:val="20"/>
                <w:color w:val="auto"/>
              </w:rPr>
            </w:pPr>
            <w:r>
              <w:rPr>
                <w:rFonts w:ascii="Arial" w:cs="Arial" w:eastAsia="Arial" w:hAnsi="Arial"/>
                <w:sz w:val="18"/>
                <w:szCs w:val="18"/>
                <w:color w:val="4D4D4F"/>
              </w:rPr>
              <w:t>2019); Director of Research and Development of ACM Research (Shanghai), Inc.</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980" w:type="dxa"/>
            <w:vAlign w:val="bottom"/>
          </w:tcPr>
          <w:p>
            <w:pPr>
              <w:ind w:left="100"/>
              <w:spacing w:after="0" w:line="202" w:lineRule="exact"/>
              <w:rPr>
                <w:sz w:val="20"/>
                <w:szCs w:val="20"/>
                <w:color w:val="auto"/>
              </w:rPr>
            </w:pPr>
            <w:r>
              <w:rPr>
                <w:rFonts w:ascii="Arial" w:cs="Arial" w:eastAsia="Arial" w:hAnsi="Arial"/>
                <w:sz w:val="18"/>
                <w:szCs w:val="18"/>
                <w:color w:val="4D4D4F"/>
              </w:rPr>
              <w:t>(2011-January 2015), focusing on the research and development of stress-free</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980" w:type="dxa"/>
            <w:vAlign w:val="bottom"/>
          </w:tcPr>
          <w:p>
            <w:pPr>
              <w:ind w:left="100"/>
              <w:spacing w:after="0" w:line="202" w:lineRule="exact"/>
              <w:rPr>
                <w:sz w:val="20"/>
                <w:szCs w:val="20"/>
                <w:color w:val="auto"/>
              </w:rPr>
            </w:pPr>
            <w:r>
              <w:rPr>
                <w:rFonts w:ascii="Arial" w:cs="Arial" w:eastAsia="Arial" w:hAnsi="Arial"/>
                <w:sz w:val="18"/>
                <w:szCs w:val="18"/>
                <w:color w:val="4D4D4F"/>
              </w:rPr>
              <w:t>polishing and electro-chemical-copper-planarization technologies; received a Master</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980" w:type="dxa"/>
            <w:vAlign w:val="bottom"/>
          </w:tcPr>
          <w:p>
            <w:pPr>
              <w:ind w:left="100"/>
              <w:spacing w:after="0" w:line="202" w:lineRule="exact"/>
              <w:rPr>
                <w:sz w:val="20"/>
                <w:szCs w:val="20"/>
                <w:color w:val="auto"/>
              </w:rPr>
            </w:pPr>
            <w:r>
              <w:rPr>
                <w:rFonts w:ascii="Arial" w:cs="Arial" w:eastAsia="Arial" w:hAnsi="Arial"/>
                <w:sz w:val="18"/>
                <w:szCs w:val="18"/>
                <w:color w:val="4D4D4F"/>
              </w:rPr>
              <w:t>of Science degree in computer science from Northwestern Polytechnic University, a</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980" w:type="dxa"/>
            <w:vAlign w:val="bottom"/>
          </w:tcPr>
          <w:p>
            <w:pPr>
              <w:ind w:left="100"/>
              <w:spacing w:after="0" w:line="202" w:lineRule="exact"/>
              <w:rPr>
                <w:sz w:val="20"/>
                <w:szCs w:val="20"/>
                <w:color w:val="auto"/>
              </w:rPr>
            </w:pPr>
            <w:r>
              <w:rPr>
                <w:rFonts w:ascii="Arial" w:cs="Arial" w:eastAsia="Arial" w:hAnsi="Arial"/>
                <w:sz w:val="18"/>
                <w:szCs w:val="18"/>
                <w:color w:val="4D4D4F"/>
              </w:rPr>
              <w:t>Master of Science degree in marine engineering from Kobe University and a Bachelor</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16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980" w:type="dxa"/>
            <w:vAlign w:val="bottom"/>
          </w:tcPr>
          <w:p>
            <w:pPr>
              <w:ind w:left="100"/>
              <w:spacing w:after="0"/>
              <w:rPr>
                <w:sz w:val="20"/>
                <w:szCs w:val="20"/>
                <w:color w:val="auto"/>
              </w:rPr>
            </w:pPr>
            <w:r>
              <w:rPr>
                <w:rFonts w:ascii="Arial" w:cs="Arial" w:eastAsia="Arial" w:hAnsi="Arial"/>
                <w:sz w:val="18"/>
                <w:szCs w:val="18"/>
                <w:color w:val="4D4D4F"/>
              </w:rPr>
              <w:t>of Science degree in mechanical engineering from Southeast University.</w:t>
            </w: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168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4D4D4F"/>
              </w:rPr>
              <w:t>Lisa Feng</w:t>
            </w:r>
          </w:p>
        </w:tc>
        <w:tc>
          <w:tcPr>
            <w:tcW w:w="854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8"/>
                <w:szCs w:val="18"/>
                <w:color w:val="4D4D4F"/>
              </w:rPr>
              <w:t>62  Chief Financial Oﬃcer of ACM Research (Shanghai), Inc. (November 2019-present);</w:t>
            </w:r>
          </w:p>
        </w:tc>
        <w:tc>
          <w:tcPr>
            <w:tcW w:w="102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4D4D4F"/>
              </w:rPr>
              <w:t>2019</w:t>
            </w:r>
          </w:p>
        </w:tc>
        <w:tc>
          <w:tcPr>
            <w:tcW w:w="0" w:type="dxa"/>
            <w:vAlign w:val="bottom"/>
          </w:tcPr>
          <w:p>
            <w:pPr>
              <w:spacing w:after="0"/>
              <w:rPr>
                <w:sz w:val="1"/>
                <w:szCs w:val="1"/>
                <w:color w:val="auto"/>
              </w:rPr>
            </w:pPr>
          </w:p>
        </w:tc>
      </w:tr>
      <w:tr>
        <w:trPr>
          <w:trHeight w:val="203"/>
        </w:trPr>
        <w:tc>
          <w:tcPr>
            <w:tcW w:w="16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9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4D4D4F"/>
              </w:rPr>
              <w:t>Chief  Accounting  Oﬃcer,  Interim  Chief  Financial  Oﬃcer  and  Treasurer  of  ACM</w:t>
            </w: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6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9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4D4D4F"/>
              </w:rPr>
              <w:t>Research, Inc. (January 2018- November 2019); Financial Controller (October 2017-</w:t>
            </w: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9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4D4D4F"/>
              </w:rPr>
              <w:t>January 2018); Corporate Controller of Amlogic, Inc. (August 2008-September 2017);</w:t>
            </w: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9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4D4D4F"/>
              </w:rPr>
              <w:t>received  a  Bachelor  of  Science  degree  in  Business/Economics  from  Southern</w:t>
            </w: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9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4D4D4F"/>
              </w:rPr>
              <w:t>Connecticut State University and a Master of Science degree in Accounting from</w:t>
            </w: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16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7980" w:type="dxa"/>
            <w:vAlign w:val="bottom"/>
            <w:shd w:val="clear" w:color="auto" w:fill="CCEEFF"/>
          </w:tcPr>
          <w:p>
            <w:pPr>
              <w:ind w:left="100"/>
              <w:spacing w:after="0"/>
              <w:rPr>
                <w:sz w:val="20"/>
                <w:szCs w:val="20"/>
                <w:color w:val="auto"/>
              </w:rPr>
            </w:pPr>
            <w:r>
              <w:rPr>
                <w:rFonts w:ascii="Arial" w:cs="Arial" w:eastAsia="Arial" w:hAnsi="Arial"/>
                <w:sz w:val="18"/>
                <w:szCs w:val="18"/>
                <w:color w:val="4D4D4F"/>
              </w:rPr>
              <w:t>Golden Gate University.</w:t>
            </w: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1680" w:type="dxa"/>
            <w:vAlign w:val="bottom"/>
          </w:tcPr>
          <w:p>
            <w:pPr>
              <w:ind w:left="40"/>
              <w:spacing w:after="0" w:line="189" w:lineRule="exact"/>
              <w:rPr>
                <w:sz w:val="20"/>
                <w:szCs w:val="20"/>
                <w:color w:val="auto"/>
              </w:rPr>
            </w:pPr>
            <w:r>
              <w:rPr>
                <w:rFonts w:ascii="Arial" w:cs="Arial" w:eastAsia="Arial" w:hAnsi="Arial"/>
                <w:sz w:val="18"/>
                <w:szCs w:val="18"/>
                <w:color w:val="4D4D4F"/>
              </w:rPr>
              <w:t>Sotheara Cheav</w:t>
            </w:r>
          </w:p>
        </w:tc>
        <w:tc>
          <w:tcPr>
            <w:tcW w:w="8540" w:type="dxa"/>
            <w:vAlign w:val="bottom"/>
            <w:gridSpan w:val="2"/>
          </w:tcPr>
          <w:p>
            <w:pPr>
              <w:ind w:left="220"/>
              <w:spacing w:after="0" w:line="189" w:lineRule="exact"/>
              <w:rPr>
                <w:sz w:val="20"/>
                <w:szCs w:val="20"/>
                <w:color w:val="auto"/>
              </w:rPr>
            </w:pPr>
            <w:r>
              <w:rPr>
                <w:rFonts w:ascii="Arial" w:cs="Arial" w:eastAsia="Arial" w:hAnsi="Arial"/>
                <w:sz w:val="18"/>
                <w:szCs w:val="18"/>
                <w:color w:val="4D4D4F"/>
              </w:rPr>
              <w:t>69  Senior Vice President, Manufacturing of ACM Research (Shanghai), Inc. (May 2019-</w:t>
            </w:r>
          </w:p>
        </w:tc>
        <w:tc>
          <w:tcPr>
            <w:tcW w:w="1020" w:type="dxa"/>
            <w:vAlign w:val="bottom"/>
          </w:tcPr>
          <w:p>
            <w:pPr>
              <w:jc w:val="center"/>
              <w:spacing w:after="0" w:line="189" w:lineRule="exact"/>
              <w:rPr>
                <w:sz w:val="20"/>
                <w:szCs w:val="20"/>
                <w:color w:val="auto"/>
              </w:rPr>
            </w:pPr>
            <w:r>
              <w:rPr>
                <w:rFonts w:ascii="Arial" w:cs="Arial" w:eastAsia="Arial" w:hAnsi="Arial"/>
                <w:sz w:val="18"/>
                <w:szCs w:val="18"/>
                <w:color w:val="4D4D4F"/>
              </w:rPr>
              <w:t>2015</w:t>
            </w:r>
          </w:p>
        </w:tc>
        <w:tc>
          <w:tcPr>
            <w:tcW w:w="0" w:type="dxa"/>
            <w:vAlign w:val="bottom"/>
          </w:tcPr>
          <w:p>
            <w:pPr>
              <w:spacing w:after="0"/>
              <w:rPr>
                <w:sz w:val="1"/>
                <w:szCs w:val="1"/>
                <w:color w:val="auto"/>
              </w:rPr>
            </w:pPr>
          </w:p>
        </w:tc>
      </w:tr>
      <w:tr>
        <w:trPr>
          <w:trHeight w:val="203"/>
        </w:trPr>
        <w:tc>
          <w:tcPr>
            <w:tcW w:w="1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980" w:type="dxa"/>
            <w:vAlign w:val="bottom"/>
          </w:tcPr>
          <w:p>
            <w:pPr>
              <w:ind w:left="100"/>
              <w:spacing w:after="0" w:line="202" w:lineRule="exact"/>
              <w:rPr>
                <w:sz w:val="20"/>
                <w:szCs w:val="20"/>
                <w:color w:val="auto"/>
              </w:rPr>
            </w:pPr>
            <w:r>
              <w:rPr>
                <w:rFonts w:ascii="Arial" w:cs="Arial" w:eastAsia="Arial" w:hAnsi="Arial"/>
                <w:sz w:val="18"/>
                <w:szCs w:val="18"/>
                <w:color w:val="4D4D4F"/>
              </w:rPr>
              <w:t>present); Vice President, Manufacturing of ACM Research (Shanghai), Inc. (January</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980" w:type="dxa"/>
            <w:vAlign w:val="bottom"/>
          </w:tcPr>
          <w:p>
            <w:pPr>
              <w:ind w:left="100"/>
              <w:spacing w:after="0" w:line="202" w:lineRule="exact"/>
              <w:rPr>
                <w:sz w:val="20"/>
                <w:szCs w:val="20"/>
                <w:color w:val="auto"/>
              </w:rPr>
            </w:pPr>
            <w:r>
              <w:rPr>
                <w:rFonts w:ascii="Arial" w:cs="Arial" w:eastAsia="Arial" w:hAnsi="Arial"/>
                <w:sz w:val="18"/>
                <w:szCs w:val="18"/>
                <w:color w:val="4D4D4F"/>
              </w:rPr>
              <w:t>2015-May 2019); Director of Manufacturing of ACM Research (Shanghai), Inc. (2011-</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980" w:type="dxa"/>
            <w:vAlign w:val="bottom"/>
          </w:tcPr>
          <w:p>
            <w:pPr>
              <w:ind w:left="100"/>
              <w:spacing w:after="0" w:line="202" w:lineRule="exact"/>
              <w:rPr>
                <w:sz w:val="20"/>
                <w:szCs w:val="20"/>
                <w:color w:val="auto"/>
              </w:rPr>
            </w:pPr>
            <w:r>
              <w:rPr>
                <w:rFonts w:ascii="Arial" w:cs="Arial" w:eastAsia="Arial" w:hAnsi="Arial"/>
                <w:sz w:val="18"/>
                <w:szCs w:val="18"/>
                <w:color w:val="4D4D4F"/>
              </w:rPr>
              <w:t>December 2014); received a Bachelor of Science degree in Science and Technology</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980" w:type="dxa"/>
            <w:vAlign w:val="bottom"/>
          </w:tcPr>
          <w:p>
            <w:pPr>
              <w:ind w:left="100"/>
              <w:spacing w:after="0" w:line="202" w:lineRule="exact"/>
              <w:rPr>
                <w:sz w:val="20"/>
                <w:szCs w:val="20"/>
                <w:color w:val="auto"/>
              </w:rPr>
            </w:pPr>
            <w:r>
              <w:rPr>
                <w:rFonts w:ascii="Arial" w:cs="Arial" w:eastAsia="Arial" w:hAnsi="Arial"/>
                <w:sz w:val="18"/>
                <w:szCs w:val="18"/>
                <w:color w:val="4D4D4F"/>
              </w:rPr>
              <w:t>from the University of Cambodia and an Associate of Science degree in Electronics</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16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980" w:type="dxa"/>
            <w:vAlign w:val="bottom"/>
          </w:tcPr>
          <w:p>
            <w:pPr>
              <w:ind w:left="100"/>
              <w:spacing w:after="0"/>
              <w:rPr>
                <w:sz w:val="20"/>
                <w:szCs w:val="20"/>
                <w:color w:val="auto"/>
              </w:rPr>
            </w:pPr>
            <w:r>
              <w:rPr>
                <w:rFonts w:ascii="Arial" w:cs="Arial" w:eastAsia="Arial" w:hAnsi="Arial"/>
                <w:sz w:val="18"/>
                <w:szCs w:val="18"/>
                <w:color w:val="4D4D4F"/>
              </w:rPr>
              <w:t>from Bay Valley Technical Institute.</w:t>
            </w: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168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4D4D4F"/>
              </w:rPr>
              <w:t>Fuping Chen</w:t>
            </w:r>
          </w:p>
        </w:tc>
        <w:tc>
          <w:tcPr>
            <w:tcW w:w="56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4D4D4F"/>
              </w:rPr>
              <w:t>39</w:t>
            </w:r>
          </w:p>
        </w:tc>
        <w:tc>
          <w:tcPr>
            <w:tcW w:w="7980" w:type="dxa"/>
            <w:vAlign w:val="bottom"/>
            <w:shd w:val="clear" w:color="auto" w:fill="CCEEFF"/>
          </w:tcPr>
          <w:p>
            <w:pPr>
              <w:ind w:left="100"/>
              <w:spacing w:after="0" w:line="189" w:lineRule="exact"/>
              <w:rPr>
                <w:sz w:val="20"/>
                <w:szCs w:val="20"/>
                <w:color w:val="auto"/>
              </w:rPr>
            </w:pPr>
            <w:r>
              <w:rPr>
                <w:rFonts w:ascii="Arial" w:cs="Arial" w:eastAsia="Arial" w:hAnsi="Arial"/>
                <w:sz w:val="18"/>
                <w:szCs w:val="18"/>
                <w:color w:val="4D4D4F"/>
              </w:rPr>
              <w:t>Vice  President,  Sales—China  of  ACM  Research  (Shanghai),  Inc.  (January  2018-</w:t>
            </w:r>
          </w:p>
        </w:tc>
        <w:tc>
          <w:tcPr>
            <w:tcW w:w="102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4D4D4F"/>
              </w:rPr>
              <w:t>2018</w:t>
            </w:r>
          </w:p>
        </w:tc>
        <w:tc>
          <w:tcPr>
            <w:tcW w:w="0" w:type="dxa"/>
            <w:vAlign w:val="bottom"/>
          </w:tcPr>
          <w:p>
            <w:pPr>
              <w:spacing w:after="0"/>
              <w:rPr>
                <w:sz w:val="1"/>
                <w:szCs w:val="1"/>
                <w:color w:val="auto"/>
              </w:rPr>
            </w:pPr>
          </w:p>
        </w:tc>
      </w:tr>
      <w:tr>
        <w:trPr>
          <w:trHeight w:val="203"/>
        </w:trPr>
        <w:tc>
          <w:tcPr>
            <w:tcW w:w="16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9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4D4D4F"/>
              </w:rPr>
              <w:t>present); Senior Technical Director of ACM Research, Inc. (2010-2017); Assistant Wet</w:t>
            </w: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9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4D4D4F"/>
              </w:rPr>
              <w:t>Process Manager of SK Hynix Inc. (2006-2010); received a Bachelor of Science</w:t>
            </w: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9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4D4D4F"/>
              </w:rPr>
              <w:t>degree from Nanjing University of Technology of Material Science and Engineering</w:t>
            </w: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9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4D4D4F"/>
              </w:rPr>
              <w:t>and a Master of Science degree from Zhejiang University of Material Science and</w:t>
            </w: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16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7980" w:type="dxa"/>
            <w:vAlign w:val="bottom"/>
            <w:shd w:val="clear" w:color="auto" w:fill="CCEEFF"/>
          </w:tcPr>
          <w:p>
            <w:pPr>
              <w:ind w:left="100"/>
              <w:spacing w:after="0"/>
              <w:rPr>
                <w:sz w:val="20"/>
                <w:szCs w:val="20"/>
                <w:color w:val="auto"/>
              </w:rPr>
            </w:pPr>
            <w:r>
              <w:rPr>
                <w:rFonts w:ascii="Arial" w:cs="Arial" w:eastAsia="Arial" w:hAnsi="Arial"/>
                <w:sz w:val="18"/>
                <w:szCs w:val="18"/>
                <w:color w:val="4D4D4F"/>
              </w:rPr>
              <w:t>Engineering.</w:t>
            </w: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4D4D4F"/>
        </w:rPr>
        <w:t>David Wang and Jian Wang are brothers.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6" w:name="page37"/>
    <w:bookmarkEnd w:id="36"/>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3E64"/>
        </w:rPr>
        <w:t>Executive Compensation</w:t>
      </w:r>
    </w:p>
    <w:p>
      <w:pPr>
        <w:spacing w:after="0" w:line="278" w:lineRule="exact"/>
        <w:rPr>
          <w:sz w:val="20"/>
          <w:szCs w:val="20"/>
          <w:color w:val="auto"/>
        </w:rPr>
      </w:pPr>
    </w:p>
    <w:p>
      <w:pPr>
        <w:spacing w:after="0"/>
        <w:rPr>
          <w:sz w:val="20"/>
          <w:szCs w:val="20"/>
          <w:color w:val="auto"/>
        </w:rPr>
      </w:pPr>
      <w:r>
        <w:rPr>
          <w:rFonts w:ascii="Arial" w:cs="Arial" w:eastAsia="Arial" w:hAnsi="Arial"/>
          <w:sz w:val="22"/>
          <w:szCs w:val="22"/>
          <w:b w:val="1"/>
          <w:bCs w:val="1"/>
          <w:color w:val="0079C0"/>
        </w:rPr>
        <w:t>Summary Compensation Table</w:t>
      </w:r>
    </w:p>
    <w:p>
      <w:pPr>
        <w:spacing w:after="0" w:line="23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4D4D4F"/>
        </w:rPr>
        <w:t>The following table provides information concerning the compensation paid to our NEOs, who consist of our Chief Executive Officer and President, David H. Wang, our Chief Financial Officer, Treasurer and Secretary, Mark McKechnie, and our three next most highly compensated executive officers during 2020, Jian Wang, Lisa Feng and Fuping Chen. Mr. McKechnie and Ms. Feng did not become executive officers until 2019.</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shd w:val="clear" w:color="auto" w:fill="003E64"/>
          </w:tcPr>
          <w:p>
            <w:pPr>
              <w:spacing w:after="0"/>
              <w:rPr>
                <w:sz w:val="14"/>
                <w:szCs w:val="14"/>
                <w:color w:val="auto"/>
              </w:rPr>
            </w:pPr>
          </w:p>
        </w:tc>
        <w:tc>
          <w:tcPr>
            <w:tcW w:w="860" w:type="dxa"/>
            <w:vAlign w:val="bottom"/>
            <w:shd w:val="clear" w:color="auto" w:fill="003E64"/>
          </w:tcPr>
          <w:p>
            <w:pPr>
              <w:spacing w:after="0"/>
              <w:rPr>
                <w:sz w:val="14"/>
                <w:szCs w:val="14"/>
                <w:color w:val="auto"/>
              </w:rPr>
            </w:pPr>
          </w:p>
        </w:tc>
        <w:tc>
          <w:tcPr>
            <w:tcW w:w="1180" w:type="dxa"/>
            <w:vAlign w:val="bottom"/>
            <w:shd w:val="clear" w:color="auto" w:fill="003E64"/>
          </w:tcPr>
          <w:p>
            <w:pPr>
              <w:spacing w:after="0"/>
              <w:rPr>
                <w:sz w:val="14"/>
                <w:szCs w:val="14"/>
                <w:color w:val="auto"/>
              </w:rPr>
            </w:pPr>
          </w:p>
        </w:tc>
        <w:tc>
          <w:tcPr>
            <w:tcW w:w="1220" w:type="dxa"/>
            <w:vAlign w:val="bottom"/>
            <w:shd w:val="clear" w:color="auto" w:fill="003E64"/>
          </w:tcPr>
          <w:p>
            <w:pPr>
              <w:spacing w:after="0"/>
              <w:rPr>
                <w:sz w:val="14"/>
                <w:szCs w:val="14"/>
                <w:color w:val="auto"/>
              </w:rPr>
            </w:pPr>
          </w:p>
        </w:tc>
        <w:tc>
          <w:tcPr>
            <w:tcW w:w="1220" w:type="dxa"/>
            <w:vAlign w:val="bottom"/>
            <w:shd w:val="clear" w:color="auto" w:fill="003E64"/>
          </w:tcPr>
          <w:p>
            <w:pPr>
              <w:jc w:val="center"/>
              <w:spacing w:after="0"/>
              <w:rPr>
                <w:sz w:val="20"/>
                <w:szCs w:val="20"/>
                <w:color w:val="auto"/>
              </w:rPr>
            </w:pPr>
            <w:r>
              <w:rPr>
                <w:rFonts w:ascii="Arial" w:cs="Arial" w:eastAsia="Arial" w:hAnsi="Arial"/>
                <w:sz w:val="14"/>
                <w:szCs w:val="14"/>
                <w:b w:val="1"/>
                <w:bCs w:val="1"/>
                <w:color w:val="FFFFFF"/>
              </w:rPr>
              <w:t>Option</w:t>
            </w:r>
          </w:p>
        </w:tc>
        <w:tc>
          <w:tcPr>
            <w:tcW w:w="1480" w:type="dxa"/>
            <w:vAlign w:val="bottom"/>
            <w:shd w:val="clear" w:color="auto" w:fill="003E64"/>
          </w:tcPr>
          <w:p>
            <w:pPr>
              <w:jc w:val="center"/>
              <w:ind w:left="8"/>
              <w:spacing w:after="0"/>
              <w:rPr>
                <w:sz w:val="20"/>
                <w:szCs w:val="20"/>
                <w:color w:val="auto"/>
              </w:rPr>
            </w:pPr>
            <w:r>
              <w:rPr>
                <w:rFonts w:ascii="Arial" w:cs="Arial" w:eastAsia="Arial" w:hAnsi="Arial"/>
                <w:sz w:val="14"/>
                <w:szCs w:val="14"/>
                <w:b w:val="1"/>
                <w:bCs w:val="1"/>
                <w:color w:val="FFFFFF"/>
              </w:rPr>
              <w:t>All Other</w:t>
            </w:r>
          </w:p>
        </w:tc>
        <w:tc>
          <w:tcPr>
            <w:tcW w:w="1080" w:type="dxa"/>
            <w:vAlign w:val="bottom"/>
            <w:shd w:val="clear" w:color="auto" w:fill="003E64"/>
          </w:tcPr>
          <w:p>
            <w:pPr>
              <w:spacing w:after="0"/>
              <w:rPr>
                <w:sz w:val="14"/>
                <w:szCs w:val="14"/>
                <w:color w:val="auto"/>
              </w:rPr>
            </w:pPr>
          </w:p>
        </w:tc>
      </w:tr>
      <w:tr>
        <w:trPr>
          <w:trHeight w:val="162"/>
        </w:trPr>
        <w:tc>
          <w:tcPr>
            <w:tcW w:w="4200" w:type="dxa"/>
            <w:vAlign w:val="bottom"/>
            <w:shd w:val="clear" w:color="auto" w:fill="003E64"/>
          </w:tcPr>
          <w:p>
            <w:pPr>
              <w:spacing w:after="0"/>
              <w:rPr>
                <w:sz w:val="14"/>
                <w:szCs w:val="14"/>
                <w:color w:val="auto"/>
              </w:rPr>
            </w:pPr>
          </w:p>
        </w:tc>
        <w:tc>
          <w:tcPr>
            <w:tcW w:w="860" w:type="dxa"/>
            <w:vAlign w:val="bottom"/>
            <w:shd w:val="clear" w:color="auto" w:fill="003E64"/>
          </w:tcPr>
          <w:p>
            <w:pPr>
              <w:spacing w:after="0"/>
              <w:rPr>
                <w:sz w:val="14"/>
                <w:szCs w:val="14"/>
                <w:color w:val="auto"/>
              </w:rPr>
            </w:pPr>
          </w:p>
        </w:tc>
        <w:tc>
          <w:tcPr>
            <w:tcW w:w="1180" w:type="dxa"/>
            <w:vAlign w:val="bottom"/>
            <w:shd w:val="clear" w:color="auto" w:fill="003E64"/>
          </w:tcPr>
          <w:p>
            <w:pPr>
              <w:spacing w:after="0"/>
              <w:rPr>
                <w:sz w:val="14"/>
                <w:szCs w:val="14"/>
                <w:color w:val="auto"/>
              </w:rPr>
            </w:pPr>
          </w:p>
        </w:tc>
        <w:tc>
          <w:tcPr>
            <w:tcW w:w="1220" w:type="dxa"/>
            <w:vAlign w:val="bottom"/>
            <w:shd w:val="clear" w:color="auto" w:fill="003E64"/>
          </w:tcPr>
          <w:p>
            <w:pPr>
              <w:spacing w:after="0"/>
              <w:rPr>
                <w:sz w:val="14"/>
                <w:szCs w:val="14"/>
                <w:color w:val="auto"/>
              </w:rPr>
            </w:pPr>
          </w:p>
        </w:tc>
        <w:tc>
          <w:tcPr>
            <w:tcW w:w="1220" w:type="dxa"/>
            <w:vAlign w:val="bottom"/>
            <w:shd w:val="clear" w:color="auto" w:fill="003E64"/>
          </w:tcPr>
          <w:p>
            <w:pPr>
              <w:jc w:val="center"/>
              <w:spacing w:after="0"/>
              <w:rPr>
                <w:sz w:val="20"/>
                <w:szCs w:val="20"/>
                <w:color w:val="auto"/>
              </w:rPr>
            </w:pPr>
            <w:r>
              <w:rPr>
                <w:rFonts w:ascii="Arial" w:cs="Arial" w:eastAsia="Arial" w:hAnsi="Arial"/>
                <w:sz w:val="14"/>
                <w:szCs w:val="14"/>
                <w:b w:val="1"/>
                <w:bCs w:val="1"/>
                <w:color w:val="FFFFFF"/>
              </w:rPr>
              <w:t>Awards</w:t>
            </w:r>
          </w:p>
        </w:tc>
        <w:tc>
          <w:tcPr>
            <w:tcW w:w="1480" w:type="dxa"/>
            <w:vAlign w:val="bottom"/>
            <w:shd w:val="clear" w:color="auto" w:fill="003E64"/>
          </w:tcPr>
          <w:p>
            <w:pPr>
              <w:jc w:val="center"/>
              <w:ind w:left="8"/>
              <w:spacing w:after="0"/>
              <w:rPr>
                <w:sz w:val="20"/>
                <w:szCs w:val="20"/>
                <w:color w:val="auto"/>
              </w:rPr>
            </w:pPr>
            <w:r>
              <w:rPr>
                <w:rFonts w:ascii="Arial" w:cs="Arial" w:eastAsia="Arial" w:hAnsi="Arial"/>
                <w:sz w:val="14"/>
                <w:szCs w:val="14"/>
                <w:b w:val="1"/>
                <w:bCs w:val="1"/>
                <w:color w:val="FFFFFF"/>
              </w:rPr>
              <w:t>Compensation</w:t>
            </w:r>
          </w:p>
        </w:tc>
        <w:tc>
          <w:tcPr>
            <w:tcW w:w="1080" w:type="dxa"/>
            <w:vAlign w:val="bottom"/>
            <w:shd w:val="clear" w:color="auto" w:fill="003E64"/>
          </w:tcPr>
          <w:p>
            <w:pPr>
              <w:spacing w:after="0"/>
              <w:rPr>
                <w:sz w:val="14"/>
                <w:szCs w:val="14"/>
                <w:color w:val="auto"/>
              </w:rPr>
            </w:pPr>
          </w:p>
        </w:tc>
      </w:tr>
      <w:tr>
        <w:trPr>
          <w:trHeight w:val="175"/>
        </w:trPr>
        <w:tc>
          <w:tcPr>
            <w:tcW w:w="4200" w:type="dxa"/>
            <w:vAlign w:val="bottom"/>
            <w:shd w:val="clear" w:color="auto" w:fill="003E64"/>
          </w:tcPr>
          <w:p>
            <w:pPr>
              <w:spacing w:after="0"/>
              <w:rPr>
                <w:sz w:val="20"/>
                <w:szCs w:val="20"/>
                <w:color w:val="auto"/>
              </w:rPr>
            </w:pPr>
            <w:r>
              <w:rPr>
                <w:rFonts w:ascii="Arial" w:cs="Arial" w:eastAsia="Arial" w:hAnsi="Arial"/>
                <w:sz w:val="14"/>
                <w:szCs w:val="14"/>
                <w:b w:val="1"/>
                <w:bCs w:val="1"/>
                <w:color w:val="FFFFFF"/>
              </w:rPr>
              <w:t>Name and Principal Position</w:t>
            </w:r>
          </w:p>
        </w:tc>
        <w:tc>
          <w:tcPr>
            <w:tcW w:w="860" w:type="dxa"/>
            <w:vAlign w:val="bottom"/>
            <w:shd w:val="clear" w:color="auto" w:fill="003E64"/>
          </w:tcPr>
          <w:p>
            <w:pPr>
              <w:ind w:left="320"/>
              <w:spacing w:after="0"/>
              <w:rPr>
                <w:sz w:val="20"/>
                <w:szCs w:val="20"/>
                <w:color w:val="auto"/>
              </w:rPr>
            </w:pPr>
            <w:r>
              <w:rPr>
                <w:rFonts w:ascii="Arial" w:cs="Arial" w:eastAsia="Arial" w:hAnsi="Arial"/>
                <w:sz w:val="14"/>
                <w:szCs w:val="14"/>
                <w:b w:val="1"/>
                <w:bCs w:val="1"/>
                <w:color w:val="FFFFFF"/>
              </w:rPr>
              <w:t>Year</w:t>
            </w:r>
          </w:p>
        </w:tc>
        <w:tc>
          <w:tcPr>
            <w:tcW w:w="1180" w:type="dxa"/>
            <w:vAlign w:val="bottom"/>
            <w:shd w:val="clear" w:color="auto" w:fill="003E64"/>
          </w:tcPr>
          <w:p>
            <w:pPr>
              <w:ind w:left="220"/>
              <w:spacing w:after="0"/>
              <w:rPr>
                <w:sz w:val="20"/>
                <w:szCs w:val="20"/>
                <w:color w:val="auto"/>
              </w:rPr>
            </w:pPr>
            <w:r>
              <w:rPr>
                <w:rFonts w:ascii="Arial" w:cs="Arial" w:eastAsia="Arial" w:hAnsi="Arial"/>
                <w:sz w:val="14"/>
                <w:szCs w:val="14"/>
                <w:b w:val="1"/>
                <w:bCs w:val="1"/>
                <w:color w:val="FFFFFF"/>
              </w:rPr>
              <w:t>Salary($)(1)</w:t>
            </w:r>
          </w:p>
        </w:tc>
        <w:tc>
          <w:tcPr>
            <w:tcW w:w="1220" w:type="dxa"/>
            <w:vAlign w:val="bottom"/>
            <w:shd w:val="clear" w:color="auto" w:fill="003E64"/>
          </w:tcPr>
          <w:p>
            <w:pPr>
              <w:ind w:left="180"/>
              <w:spacing w:after="0"/>
              <w:rPr>
                <w:sz w:val="20"/>
                <w:szCs w:val="20"/>
                <w:color w:val="auto"/>
              </w:rPr>
            </w:pPr>
            <w:r>
              <w:rPr>
                <w:rFonts w:ascii="Arial" w:cs="Arial" w:eastAsia="Arial" w:hAnsi="Arial"/>
                <w:sz w:val="14"/>
                <w:szCs w:val="14"/>
                <w:b w:val="1"/>
                <w:bCs w:val="1"/>
                <w:color w:val="FFFFFF"/>
              </w:rPr>
              <w:t>Bonus($)(1)</w:t>
            </w:r>
          </w:p>
        </w:tc>
        <w:tc>
          <w:tcPr>
            <w:tcW w:w="1220" w:type="dxa"/>
            <w:vAlign w:val="bottom"/>
            <w:shd w:val="clear" w:color="auto" w:fill="003E64"/>
          </w:tcPr>
          <w:p>
            <w:pPr>
              <w:jc w:val="center"/>
              <w:spacing w:after="0"/>
              <w:rPr>
                <w:sz w:val="20"/>
                <w:szCs w:val="20"/>
                <w:color w:val="auto"/>
              </w:rPr>
            </w:pPr>
            <w:r>
              <w:rPr>
                <w:rFonts w:ascii="Arial" w:cs="Arial" w:eastAsia="Arial" w:hAnsi="Arial"/>
                <w:sz w:val="14"/>
                <w:szCs w:val="14"/>
                <w:b w:val="1"/>
                <w:bCs w:val="1"/>
                <w:color w:val="FFFFFF"/>
              </w:rPr>
              <w:t>($)(2)(3)</w:t>
            </w:r>
          </w:p>
        </w:tc>
        <w:tc>
          <w:tcPr>
            <w:tcW w:w="1480" w:type="dxa"/>
            <w:vAlign w:val="bottom"/>
            <w:shd w:val="clear" w:color="auto" w:fill="003E64"/>
          </w:tcPr>
          <w:p>
            <w:pPr>
              <w:jc w:val="center"/>
              <w:ind w:left="8"/>
              <w:spacing w:after="0"/>
              <w:rPr>
                <w:sz w:val="20"/>
                <w:szCs w:val="20"/>
                <w:color w:val="auto"/>
              </w:rPr>
            </w:pPr>
            <w:r>
              <w:rPr>
                <w:rFonts w:ascii="Arial" w:cs="Arial" w:eastAsia="Arial" w:hAnsi="Arial"/>
                <w:sz w:val="14"/>
                <w:szCs w:val="14"/>
                <w:b w:val="1"/>
                <w:bCs w:val="1"/>
                <w:color w:val="FFFFFF"/>
              </w:rPr>
              <w:t>($)(1)(4)</w:t>
            </w:r>
          </w:p>
        </w:tc>
        <w:tc>
          <w:tcPr>
            <w:tcW w:w="1080" w:type="dxa"/>
            <w:vAlign w:val="bottom"/>
            <w:shd w:val="clear" w:color="auto" w:fill="003E64"/>
          </w:tcPr>
          <w:p>
            <w:pPr>
              <w:ind w:left="320"/>
              <w:spacing w:after="0"/>
              <w:rPr>
                <w:sz w:val="20"/>
                <w:szCs w:val="20"/>
                <w:color w:val="auto"/>
              </w:rPr>
            </w:pPr>
            <w:r>
              <w:rPr>
                <w:rFonts w:ascii="Arial" w:cs="Arial" w:eastAsia="Arial" w:hAnsi="Arial"/>
                <w:sz w:val="14"/>
                <w:szCs w:val="14"/>
                <w:b w:val="1"/>
                <w:bCs w:val="1"/>
                <w:color w:val="FFFFFF"/>
              </w:rPr>
              <w:t>Total($)</w:t>
            </w:r>
          </w:p>
        </w:tc>
      </w:tr>
      <w:tr>
        <w:trPr>
          <w:trHeight w:val="193"/>
        </w:trPr>
        <w:tc>
          <w:tcPr>
            <w:tcW w:w="4200" w:type="dxa"/>
            <w:vAlign w:val="bottom"/>
          </w:tcPr>
          <w:p>
            <w:pPr>
              <w:spacing w:after="0"/>
              <w:rPr>
                <w:sz w:val="20"/>
                <w:szCs w:val="20"/>
                <w:color w:val="auto"/>
              </w:rPr>
            </w:pPr>
            <w:r>
              <w:rPr>
                <w:rFonts w:ascii="Arial" w:cs="Arial" w:eastAsia="Arial" w:hAnsi="Arial"/>
                <w:sz w:val="14"/>
                <w:szCs w:val="14"/>
                <w:color w:val="4D4D4F"/>
              </w:rPr>
              <w:t>David H. Wang</w:t>
            </w:r>
          </w:p>
        </w:tc>
        <w:tc>
          <w:tcPr>
            <w:tcW w:w="860" w:type="dxa"/>
            <w:vAlign w:val="bottom"/>
          </w:tcPr>
          <w:p>
            <w:pPr>
              <w:ind w:left="320"/>
              <w:spacing w:after="0"/>
              <w:rPr>
                <w:sz w:val="20"/>
                <w:szCs w:val="20"/>
                <w:color w:val="auto"/>
              </w:rPr>
            </w:pPr>
            <w:r>
              <w:rPr>
                <w:rFonts w:ascii="Arial" w:cs="Arial" w:eastAsia="Arial" w:hAnsi="Arial"/>
                <w:sz w:val="14"/>
                <w:szCs w:val="14"/>
                <w:color w:val="4D4D4F"/>
              </w:rPr>
              <w:t>2020</w:t>
            </w:r>
          </w:p>
        </w:tc>
        <w:tc>
          <w:tcPr>
            <w:tcW w:w="1180" w:type="dxa"/>
            <w:vAlign w:val="bottom"/>
          </w:tcPr>
          <w:p>
            <w:pPr>
              <w:jc w:val="center"/>
              <w:spacing w:after="0"/>
              <w:rPr>
                <w:sz w:val="20"/>
                <w:szCs w:val="20"/>
                <w:color w:val="auto"/>
              </w:rPr>
            </w:pPr>
            <w:r>
              <w:rPr>
                <w:rFonts w:ascii="Arial" w:cs="Arial" w:eastAsia="Arial" w:hAnsi="Arial"/>
                <w:sz w:val="14"/>
                <w:szCs w:val="14"/>
                <w:color w:val="4D4D4F"/>
              </w:rPr>
              <w:t>$294,054</w:t>
            </w:r>
          </w:p>
        </w:tc>
        <w:tc>
          <w:tcPr>
            <w:tcW w:w="1220" w:type="dxa"/>
            <w:vAlign w:val="bottom"/>
          </w:tcPr>
          <w:p>
            <w:pPr>
              <w:jc w:val="center"/>
              <w:spacing w:after="0"/>
              <w:rPr>
                <w:sz w:val="20"/>
                <w:szCs w:val="20"/>
                <w:color w:val="auto"/>
              </w:rPr>
            </w:pPr>
            <w:r>
              <w:rPr>
                <w:rFonts w:ascii="Arial" w:cs="Arial" w:eastAsia="Arial" w:hAnsi="Arial"/>
                <w:sz w:val="14"/>
                <w:szCs w:val="14"/>
                <w:color w:val="4D4D4F"/>
              </w:rPr>
              <w:t>$95,700</w:t>
            </w:r>
          </w:p>
        </w:tc>
        <w:tc>
          <w:tcPr>
            <w:tcW w:w="1220" w:type="dxa"/>
            <w:vAlign w:val="bottom"/>
          </w:tcPr>
          <w:p>
            <w:pPr>
              <w:jc w:val="center"/>
              <w:spacing w:after="0"/>
              <w:rPr>
                <w:sz w:val="20"/>
                <w:szCs w:val="20"/>
                <w:color w:val="auto"/>
              </w:rPr>
            </w:pPr>
            <w:r>
              <w:rPr>
                <w:rFonts w:ascii="Arial" w:cs="Arial" w:eastAsia="Arial" w:hAnsi="Arial"/>
                <w:sz w:val="14"/>
                <w:szCs w:val="14"/>
                <w:color w:val="4D4D4F"/>
              </w:rPr>
              <w:t>$4,963,675</w:t>
            </w:r>
          </w:p>
        </w:tc>
        <w:tc>
          <w:tcPr>
            <w:tcW w:w="1480" w:type="dxa"/>
            <w:vAlign w:val="bottom"/>
          </w:tcPr>
          <w:p>
            <w:pPr>
              <w:jc w:val="center"/>
              <w:ind w:left="8"/>
              <w:spacing w:after="0"/>
              <w:rPr>
                <w:sz w:val="20"/>
                <w:szCs w:val="20"/>
                <w:color w:val="auto"/>
              </w:rPr>
            </w:pPr>
            <w:r>
              <w:rPr>
                <w:rFonts w:ascii="Arial" w:cs="Arial" w:eastAsia="Arial" w:hAnsi="Arial"/>
                <w:sz w:val="14"/>
                <w:szCs w:val="14"/>
                <w:color w:val="4D4D4F"/>
              </w:rPr>
              <w:t>$15,660</w:t>
            </w:r>
          </w:p>
        </w:tc>
        <w:tc>
          <w:tcPr>
            <w:tcW w:w="1080" w:type="dxa"/>
            <w:vAlign w:val="bottom"/>
          </w:tcPr>
          <w:p>
            <w:pPr>
              <w:jc w:val="center"/>
              <w:ind w:left="8"/>
              <w:spacing w:after="0"/>
              <w:rPr>
                <w:sz w:val="20"/>
                <w:szCs w:val="20"/>
                <w:color w:val="auto"/>
              </w:rPr>
            </w:pPr>
            <w:r>
              <w:rPr>
                <w:rFonts w:ascii="Arial" w:cs="Arial" w:eastAsia="Arial" w:hAnsi="Arial"/>
                <w:sz w:val="14"/>
                <w:szCs w:val="14"/>
                <w:color w:val="4D4D4F"/>
              </w:rPr>
              <w:t>$5,369,089</w:t>
            </w:r>
          </w:p>
        </w:tc>
      </w:tr>
      <w:tr>
        <w:trPr>
          <w:trHeight w:val="190"/>
        </w:trPr>
        <w:tc>
          <w:tcPr>
            <w:tcW w:w="4200" w:type="dxa"/>
            <w:vAlign w:val="bottom"/>
          </w:tcPr>
          <w:p>
            <w:pPr>
              <w:spacing w:after="0"/>
              <w:rPr>
                <w:sz w:val="20"/>
                <w:szCs w:val="20"/>
                <w:color w:val="auto"/>
              </w:rPr>
            </w:pPr>
            <w:r>
              <w:rPr>
                <w:rFonts w:ascii="Arial" w:cs="Arial" w:eastAsia="Arial" w:hAnsi="Arial"/>
                <w:sz w:val="14"/>
                <w:szCs w:val="14"/>
                <w:i w:val="1"/>
                <w:iCs w:val="1"/>
                <w:color w:val="4D4D4F"/>
              </w:rPr>
              <w:t>Chief Executive Officer and President</w:t>
            </w:r>
          </w:p>
        </w:tc>
        <w:tc>
          <w:tcPr>
            <w:tcW w:w="860" w:type="dxa"/>
            <w:vAlign w:val="bottom"/>
          </w:tcPr>
          <w:p>
            <w:pPr>
              <w:ind w:left="320"/>
              <w:spacing w:after="0"/>
              <w:rPr>
                <w:sz w:val="20"/>
                <w:szCs w:val="20"/>
                <w:color w:val="auto"/>
              </w:rPr>
            </w:pPr>
            <w:r>
              <w:rPr>
                <w:rFonts w:ascii="Arial" w:cs="Arial" w:eastAsia="Arial" w:hAnsi="Arial"/>
                <w:sz w:val="14"/>
                <w:szCs w:val="14"/>
                <w:color w:val="4D4D4F"/>
              </w:rPr>
              <w:t>2019</w:t>
            </w:r>
          </w:p>
        </w:tc>
        <w:tc>
          <w:tcPr>
            <w:tcW w:w="1180" w:type="dxa"/>
            <w:vAlign w:val="bottom"/>
          </w:tcPr>
          <w:p>
            <w:pPr>
              <w:jc w:val="center"/>
              <w:spacing w:after="0"/>
              <w:rPr>
                <w:sz w:val="20"/>
                <w:szCs w:val="20"/>
                <w:color w:val="auto"/>
              </w:rPr>
            </w:pPr>
            <w:r>
              <w:rPr>
                <w:rFonts w:ascii="Arial" w:cs="Arial" w:eastAsia="Arial" w:hAnsi="Arial"/>
                <w:sz w:val="14"/>
                <w:szCs w:val="14"/>
                <w:color w:val="4D4D4F"/>
              </w:rPr>
              <w:t>229,742</w:t>
            </w:r>
          </w:p>
        </w:tc>
        <w:tc>
          <w:tcPr>
            <w:tcW w:w="1220" w:type="dxa"/>
            <w:vAlign w:val="bottom"/>
          </w:tcPr>
          <w:p>
            <w:pPr>
              <w:jc w:val="center"/>
              <w:spacing w:after="0"/>
              <w:rPr>
                <w:sz w:val="20"/>
                <w:szCs w:val="20"/>
                <w:color w:val="auto"/>
              </w:rPr>
            </w:pPr>
            <w:r>
              <w:rPr>
                <w:rFonts w:ascii="Arial" w:cs="Arial" w:eastAsia="Arial" w:hAnsi="Arial"/>
                <w:sz w:val="14"/>
                <w:szCs w:val="14"/>
                <w:color w:val="4D4D4F"/>
              </w:rPr>
              <w:t>19,358</w:t>
            </w:r>
          </w:p>
        </w:tc>
        <w:tc>
          <w:tcPr>
            <w:tcW w:w="1220" w:type="dxa"/>
            <w:vAlign w:val="bottom"/>
          </w:tcPr>
          <w:p>
            <w:pPr>
              <w:jc w:val="center"/>
              <w:spacing w:after="0"/>
              <w:rPr>
                <w:sz w:val="20"/>
                <w:szCs w:val="20"/>
                <w:color w:val="auto"/>
              </w:rPr>
            </w:pPr>
            <w:r>
              <w:rPr>
                <w:rFonts w:ascii="Arial" w:cs="Arial" w:eastAsia="Arial" w:hAnsi="Arial"/>
                <w:sz w:val="14"/>
                <w:szCs w:val="14"/>
                <w:color w:val="4D4D4F"/>
              </w:rPr>
              <w:t>325,000</w:t>
            </w:r>
          </w:p>
        </w:tc>
        <w:tc>
          <w:tcPr>
            <w:tcW w:w="1480" w:type="dxa"/>
            <w:vAlign w:val="bottom"/>
          </w:tcPr>
          <w:p>
            <w:pPr>
              <w:jc w:val="center"/>
              <w:ind w:left="8"/>
              <w:spacing w:after="0"/>
              <w:rPr>
                <w:sz w:val="20"/>
                <w:szCs w:val="20"/>
                <w:color w:val="auto"/>
              </w:rPr>
            </w:pPr>
            <w:r>
              <w:rPr>
                <w:rFonts w:ascii="Arial" w:cs="Arial" w:eastAsia="Arial" w:hAnsi="Arial"/>
                <w:sz w:val="14"/>
                <w:szCs w:val="14"/>
                <w:color w:val="4D4D4F"/>
              </w:rPr>
              <w:t>13,920</w:t>
            </w:r>
          </w:p>
        </w:tc>
        <w:tc>
          <w:tcPr>
            <w:tcW w:w="1080" w:type="dxa"/>
            <w:vAlign w:val="bottom"/>
          </w:tcPr>
          <w:p>
            <w:pPr>
              <w:jc w:val="center"/>
              <w:ind w:left="8"/>
              <w:spacing w:after="0"/>
              <w:rPr>
                <w:sz w:val="20"/>
                <w:szCs w:val="20"/>
                <w:color w:val="auto"/>
              </w:rPr>
            </w:pPr>
            <w:r>
              <w:rPr>
                <w:rFonts w:ascii="Arial" w:cs="Arial" w:eastAsia="Arial" w:hAnsi="Arial"/>
                <w:sz w:val="14"/>
                <w:szCs w:val="14"/>
                <w:color w:val="4D4D4F"/>
              </w:rPr>
              <w:t>588,020</w:t>
            </w:r>
          </w:p>
        </w:tc>
      </w:tr>
      <w:tr>
        <w:trPr>
          <w:trHeight w:val="184"/>
        </w:trPr>
        <w:tc>
          <w:tcPr>
            <w:tcW w:w="4200" w:type="dxa"/>
            <w:vAlign w:val="bottom"/>
          </w:tcPr>
          <w:p>
            <w:pPr>
              <w:spacing w:after="0"/>
              <w:rPr>
                <w:sz w:val="16"/>
                <w:szCs w:val="16"/>
                <w:color w:val="auto"/>
              </w:rPr>
            </w:pPr>
          </w:p>
        </w:tc>
        <w:tc>
          <w:tcPr>
            <w:tcW w:w="860" w:type="dxa"/>
            <w:vAlign w:val="bottom"/>
          </w:tcPr>
          <w:p>
            <w:pPr>
              <w:ind w:left="320"/>
              <w:spacing w:after="0"/>
              <w:rPr>
                <w:sz w:val="20"/>
                <w:szCs w:val="20"/>
                <w:color w:val="auto"/>
              </w:rPr>
            </w:pPr>
            <w:r>
              <w:rPr>
                <w:rFonts w:ascii="Arial" w:cs="Arial" w:eastAsia="Arial" w:hAnsi="Arial"/>
                <w:sz w:val="14"/>
                <w:szCs w:val="14"/>
                <w:color w:val="4D4D4F"/>
              </w:rPr>
              <w:t>2018</w:t>
            </w:r>
          </w:p>
        </w:tc>
        <w:tc>
          <w:tcPr>
            <w:tcW w:w="1180" w:type="dxa"/>
            <w:vAlign w:val="bottom"/>
          </w:tcPr>
          <w:p>
            <w:pPr>
              <w:jc w:val="center"/>
              <w:spacing w:after="0"/>
              <w:rPr>
                <w:sz w:val="20"/>
                <w:szCs w:val="20"/>
                <w:color w:val="auto"/>
              </w:rPr>
            </w:pPr>
            <w:r>
              <w:rPr>
                <w:rFonts w:ascii="Arial" w:cs="Arial" w:eastAsia="Arial" w:hAnsi="Arial"/>
                <w:sz w:val="14"/>
                <w:szCs w:val="14"/>
                <w:color w:val="4D4D4F"/>
              </w:rPr>
              <w:t>189,373</w:t>
            </w:r>
          </w:p>
        </w:tc>
        <w:tc>
          <w:tcPr>
            <w:tcW w:w="1220" w:type="dxa"/>
            <w:vAlign w:val="bottom"/>
          </w:tcPr>
          <w:p>
            <w:pPr>
              <w:jc w:val="center"/>
              <w:spacing w:after="0"/>
              <w:rPr>
                <w:sz w:val="20"/>
                <w:szCs w:val="20"/>
                <w:color w:val="auto"/>
              </w:rPr>
            </w:pPr>
            <w:r>
              <w:rPr>
                <w:rFonts w:ascii="Arial" w:cs="Arial" w:eastAsia="Arial" w:hAnsi="Arial"/>
                <w:sz w:val="14"/>
                <w:szCs w:val="14"/>
                <w:color w:val="4D4D4F"/>
              </w:rPr>
              <w:t>34,519</w:t>
            </w:r>
          </w:p>
        </w:tc>
        <w:tc>
          <w:tcPr>
            <w:tcW w:w="1220" w:type="dxa"/>
            <w:vAlign w:val="bottom"/>
          </w:tcPr>
          <w:p>
            <w:pPr>
              <w:jc w:val="center"/>
              <w:spacing w:after="0"/>
              <w:rPr>
                <w:sz w:val="20"/>
                <w:szCs w:val="20"/>
                <w:color w:val="auto"/>
              </w:rPr>
            </w:pPr>
            <w:r>
              <w:rPr>
                <w:rFonts w:ascii="Arial" w:cs="Arial" w:eastAsia="Arial" w:hAnsi="Arial"/>
                <w:sz w:val="14"/>
                <w:szCs w:val="14"/>
                <w:color w:val="4D4D4F"/>
                <w:w w:val="99"/>
              </w:rPr>
              <w:t>—</w:t>
            </w:r>
          </w:p>
        </w:tc>
        <w:tc>
          <w:tcPr>
            <w:tcW w:w="1480" w:type="dxa"/>
            <w:vAlign w:val="bottom"/>
          </w:tcPr>
          <w:p>
            <w:pPr>
              <w:jc w:val="center"/>
              <w:ind w:left="8"/>
              <w:spacing w:after="0"/>
              <w:rPr>
                <w:sz w:val="20"/>
                <w:szCs w:val="20"/>
                <w:color w:val="auto"/>
              </w:rPr>
            </w:pPr>
            <w:r>
              <w:rPr>
                <w:rFonts w:ascii="Arial" w:cs="Arial" w:eastAsia="Arial" w:hAnsi="Arial"/>
                <w:sz w:val="14"/>
                <w:szCs w:val="14"/>
                <w:color w:val="4D4D4F"/>
              </w:rPr>
              <w:t>10,667</w:t>
            </w:r>
          </w:p>
        </w:tc>
        <w:tc>
          <w:tcPr>
            <w:tcW w:w="1080" w:type="dxa"/>
            <w:vAlign w:val="bottom"/>
          </w:tcPr>
          <w:p>
            <w:pPr>
              <w:jc w:val="center"/>
              <w:ind w:left="8"/>
              <w:spacing w:after="0"/>
              <w:rPr>
                <w:sz w:val="20"/>
                <w:szCs w:val="20"/>
                <w:color w:val="auto"/>
              </w:rPr>
            </w:pPr>
            <w:r>
              <w:rPr>
                <w:rFonts w:ascii="Arial" w:cs="Arial" w:eastAsia="Arial" w:hAnsi="Arial"/>
                <w:sz w:val="14"/>
                <w:szCs w:val="14"/>
                <w:color w:val="4D4D4F"/>
              </w:rPr>
              <w:t>234,559</w:t>
            </w:r>
          </w:p>
        </w:tc>
      </w:tr>
      <w:tr>
        <w:trPr>
          <w:trHeight w:val="189"/>
        </w:trPr>
        <w:tc>
          <w:tcPr>
            <w:tcW w:w="4200" w:type="dxa"/>
            <w:vAlign w:val="bottom"/>
            <w:shd w:val="clear" w:color="auto" w:fill="CCEEFF"/>
          </w:tcPr>
          <w:p>
            <w:pPr>
              <w:spacing w:after="0"/>
              <w:rPr>
                <w:sz w:val="20"/>
                <w:szCs w:val="20"/>
                <w:color w:val="auto"/>
              </w:rPr>
            </w:pPr>
            <w:r>
              <w:rPr>
                <w:rFonts w:ascii="Arial" w:cs="Arial" w:eastAsia="Arial" w:hAnsi="Arial"/>
                <w:sz w:val="14"/>
                <w:szCs w:val="14"/>
                <w:color w:val="4D4D4F"/>
              </w:rPr>
              <w:t>Mark McKechnie</w:t>
            </w:r>
          </w:p>
        </w:tc>
        <w:tc>
          <w:tcPr>
            <w:tcW w:w="860" w:type="dxa"/>
            <w:vAlign w:val="bottom"/>
            <w:shd w:val="clear" w:color="auto" w:fill="CCEEFF"/>
          </w:tcPr>
          <w:p>
            <w:pPr>
              <w:ind w:left="320"/>
              <w:spacing w:after="0"/>
              <w:rPr>
                <w:sz w:val="20"/>
                <w:szCs w:val="20"/>
                <w:color w:val="auto"/>
              </w:rPr>
            </w:pPr>
            <w:r>
              <w:rPr>
                <w:rFonts w:ascii="Arial" w:cs="Arial" w:eastAsia="Arial" w:hAnsi="Arial"/>
                <w:sz w:val="14"/>
                <w:szCs w:val="14"/>
                <w:color w:val="4D4D4F"/>
              </w:rPr>
              <w:t>2020</w:t>
            </w:r>
          </w:p>
        </w:tc>
        <w:tc>
          <w:tcPr>
            <w:tcW w:w="1180" w:type="dxa"/>
            <w:vAlign w:val="bottom"/>
            <w:shd w:val="clear" w:color="auto" w:fill="CCEEFF"/>
          </w:tcPr>
          <w:p>
            <w:pPr>
              <w:jc w:val="center"/>
              <w:spacing w:after="0"/>
              <w:rPr>
                <w:sz w:val="20"/>
                <w:szCs w:val="20"/>
                <w:color w:val="auto"/>
              </w:rPr>
            </w:pPr>
            <w:r>
              <w:rPr>
                <w:rFonts w:ascii="Arial" w:cs="Arial" w:eastAsia="Arial" w:hAnsi="Arial"/>
                <w:sz w:val="14"/>
                <w:szCs w:val="14"/>
                <w:color w:val="4D4D4F"/>
              </w:rPr>
              <w:t>243,906</w:t>
            </w:r>
          </w:p>
        </w:tc>
        <w:tc>
          <w:tcPr>
            <w:tcW w:w="1220" w:type="dxa"/>
            <w:vAlign w:val="bottom"/>
            <w:shd w:val="clear" w:color="auto" w:fill="CCEEFF"/>
          </w:tcPr>
          <w:p>
            <w:pPr>
              <w:jc w:val="center"/>
              <w:spacing w:after="0"/>
              <w:rPr>
                <w:sz w:val="20"/>
                <w:szCs w:val="20"/>
                <w:color w:val="auto"/>
              </w:rPr>
            </w:pPr>
            <w:r>
              <w:rPr>
                <w:rFonts w:ascii="Arial" w:cs="Arial" w:eastAsia="Arial" w:hAnsi="Arial"/>
                <w:sz w:val="14"/>
                <w:szCs w:val="14"/>
                <w:color w:val="4D4D4F"/>
                <w:w w:val="99"/>
              </w:rPr>
              <w:t>—</w:t>
            </w:r>
          </w:p>
        </w:tc>
        <w:tc>
          <w:tcPr>
            <w:tcW w:w="1220" w:type="dxa"/>
            <w:vAlign w:val="bottom"/>
            <w:shd w:val="clear" w:color="auto" w:fill="CCEEFF"/>
          </w:tcPr>
          <w:p>
            <w:pPr>
              <w:jc w:val="center"/>
              <w:spacing w:after="0"/>
              <w:rPr>
                <w:sz w:val="20"/>
                <w:szCs w:val="20"/>
                <w:color w:val="auto"/>
              </w:rPr>
            </w:pPr>
            <w:r>
              <w:rPr>
                <w:rFonts w:ascii="Arial" w:cs="Arial" w:eastAsia="Arial" w:hAnsi="Arial"/>
                <w:sz w:val="14"/>
                <w:szCs w:val="14"/>
                <w:color w:val="4D4D4F"/>
                <w:w w:val="99"/>
              </w:rPr>
              <w:t>—</w:t>
            </w:r>
          </w:p>
        </w:tc>
        <w:tc>
          <w:tcPr>
            <w:tcW w:w="148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4D4D4F"/>
              </w:rPr>
              <w:t>—</w:t>
            </w:r>
          </w:p>
        </w:tc>
        <w:tc>
          <w:tcPr>
            <w:tcW w:w="108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4D4D4F"/>
              </w:rPr>
              <w:t>243,906</w:t>
            </w:r>
          </w:p>
        </w:tc>
      </w:tr>
      <w:tr>
        <w:trPr>
          <w:trHeight w:val="189"/>
        </w:trPr>
        <w:tc>
          <w:tcPr>
            <w:tcW w:w="4200" w:type="dxa"/>
            <w:vAlign w:val="bottom"/>
            <w:shd w:val="clear" w:color="auto" w:fill="CCEEFF"/>
          </w:tcPr>
          <w:p>
            <w:pPr>
              <w:spacing w:after="0"/>
              <w:rPr>
                <w:sz w:val="20"/>
                <w:szCs w:val="20"/>
                <w:color w:val="auto"/>
              </w:rPr>
            </w:pPr>
            <w:r>
              <w:rPr>
                <w:rFonts w:ascii="Arial" w:cs="Arial" w:eastAsia="Arial" w:hAnsi="Arial"/>
                <w:sz w:val="14"/>
                <w:szCs w:val="14"/>
                <w:i w:val="1"/>
                <w:iCs w:val="1"/>
                <w:color w:val="4D4D4F"/>
              </w:rPr>
              <w:t>Chief Financial Officer, Treasurer and Secretary</w:t>
            </w:r>
          </w:p>
        </w:tc>
        <w:tc>
          <w:tcPr>
            <w:tcW w:w="860" w:type="dxa"/>
            <w:vAlign w:val="bottom"/>
            <w:shd w:val="clear" w:color="auto" w:fill="CCEEFF"/>
          </w:tcPr>
          <w:p>
            <w:pPr>
              <w:ind w:left="320"/>
              <w:spacing w:after="0"/>
              <w:rPr>
                <w:sz w:val="20"/>
                <w:szCs w:val="20"/>
                <w:color w:val="auto"/>
              </w:rPr>
            </w:pPr>
            <w:r>
              <w:rPr>
                <w:rFonts w:ascii="Arial" w:cs="Arial" w:eastAsia="Arial" w:hAnsi="Arial"/>
                <w:sz w:val="14"/>
                <w:szCs w:val="14"/>
                <w:color w:val="4D4D4F"/>
              </w:rPr>
              <w:t>2019</w:t>
            </w:r>
          </w:p>
        </w:tc>
        <w:tc>
          <w:tcPr>
            <w:tcW w:w="1180" w:type="dxa"/>
            <w:vAlign w:val="bottom"/>
            <w:shd w:val="clear" w:color="auto" w:fill="CCEEFF"/>
          </w:tcPr>
          <w:p>
            <w:pPr>
              <w:jc w:val="center"/>
              <w:spacing w:after="0"/>
              <w:rPr>
                <w:sz w:val="20"/>
                <w:szCs w:val="20"/>
                <w:color w:val="auto"/>
              </w:rPr>
            </w:pPr>
            <w:r>
              <w:rPr>
                <w:rFonts w:ascii="Arial" w:cs="Arial" w:eastAsia="Arial" w:hAnsi="Arial"/>
                <w:sz w:val="14"/>
                <w:szCs w:val="14"/>
                <w:color w:val="4D4D4F"/>
              </w:rPr>
              <w:t>232,424</w:t>
            </w:r>
          </w:p>
        </w:tc>
        <w:tc>
          <w:tcPr>
            <w:tcW w:w="1220" w:type="dxa"/>
            <w:vAlign w:val="bottom"/>
            <w:shd w:val="clear" w:color="auto" w:fill="CCEEFF"/>
          </w:tcPr>
          <w:p>
            <w:pPr>
              <w:jc w:val="center"/>
              <w:spacing w:after="0"/>
              <w:rPr>
                <w:sz w:val="20"/>
                <w:szCs w:val="20"/>
                <w:color w:val="auto"/>
              </w:rPr>
            </w:pPr>
            <w:r>
              <w:rPr>
                <w:rFonts w:ascii="Arial" w:cs="Arial" w:eastAsia="Arial" w:hAnsi="Arial"/>
                <w:sz w:val="14"/>
                <w:szCs w:val="14"/>
                <w:color w:val="4D4D4F"/>
              </w:rPr>
              <w:t>129,327</w:t>
            </w:r>
          </w:p>
        </w:tc>
        <w:tc>
          <w:tcPr>
            <w:tcW w:w="1220" w:type="dxa"/>
            <w:vAlign w:val="bottom"/>
            <w:shd w:val="clear" w:color="auto" w:fill="CCEEFF"/>
          </w:tcPr>
          <w:p>
            <w:pPr>
              <w:jc w:val="center"/>
              <w:spacing w:after="0"/>
              <w:rPr>
                <w:sz w:val="20"/>
                <w:szCs w:val="20"/>
                <w:color w:val="auto"/>
              </w:rPr>
            </w:pPr>
            <w:r>
              <w:rPr>
                <w:rFonts w:ascii="Arial" w:cs="Arial" w:eastAsia="Arial" w:hAnsi="Arial"/>
                <w:sz w:val="14"/>
                <w:szCs w:val="14"/>
                <w:color w:val="4D4D4F"/>
              </w:rPr>
              <w:t>299,400</w:t>
            </w:r>
          </w:p>
        </w:tc>
        <w:tc>
          <w:tcPr>
            <w:tcW w:w="148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4D4D4F"/>
              </w:rPr>
              <w:t>13,920</w:t>
            </w:r>
          </w:p>
        </w:tc>
        <w:tc>
          <w:tcPr>
            <w:tcW w:w="108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4D4D4F"/>
              </w:rPr>
              <w:t>675,071</w:t>
            </w:r>
          </w:p>
        </w:tc>
      </w:tr>
      <w:tr>
        <w:trPr>
          <w:trHeight w:val="162"/>
        </w:trPr>
        <w:tc>
          <w:tcPr>
            <w:tcW w:w="4200" w:type="dxa"/>
            <w:vAlign w:val="bottom"/>
          </w:tcPr>
          <w:p>
            <w:pPr>
              <w:spacing w:after="0"/>
              <w:rPr>
                <w:sz w:val="20"/>
                <w:szCs w:val="20"/>
                <w:color w:val="auto"/>
              </w:rPr>
            </w:pPr>
            <w:r>
              <w:rPr>
                <w:rFonts w:ascii="Arial" w:cs="Arial" w:eastAsia="Arial" w:hAnsi="Arial"/>
                <w:sz w:val="14"/>
                <w:szCs w:val="14"/>
                <w:color w:val="4D4D4F"/>
              </w:rPr>
              <w:t>Jian Wang</w:t>
            </w:r>
          </w:p>
        </w:tc>
        <w:tc>
          <w:tcPr>
            <w:tcW w:w="860" w:type="dxa"/>
            <w:vAlign w:val="bottom"/>
          </w:tcPr>
          <w:p>
            <w:pPr>
              <w:ind w:left="320"/>
              <w:spacing w:after="0"/>
              <w:rPr>
                <w:sz w:val="20"/>
                <w:szCs w:val="20"/>
                <w:color w:val="auto"/>
              </w:rPr>
            </w:pPr>
            <w:r>
              <w:rPr>
                <w:rFonts w:ascii="Arial" w:cs="Arial" w:eastAsia="Arial" w:hAnsi="Arial"/>
                <w:sz w:val="14"/>
                <w:szCs w:val="14"/>
                <w:color w:val="4D4D4F"/>
              </w:rPr>
              <w:t>2020</w:t>
            </w:r>
          </w:p>
        </w:tc>
        <w:tc>
          <w:tcPr>
            <w:tcW w:w="1180" w:type="dxa"/>
            <w:vAlign w:val="bottom"/>
          </w:tcPr>
          <w:p>
            <w:pPr>
              <w:jc w:val="center"/>
              <w:spacing w:after="0"/>
              <w:rPr>
                <w:sz w:val="20"/>
                <w:szCs w:val="20"/>
                <w:color w:val="auto"/>
              </w:rPr>
            </w:pPr>
            <w:r>
              <w:rPr>
                <w:rFonts w:ascii="Arial" w:cs="Arial" w:eastAsia="Arial" w:hAnsi="Arial"/>
                <w:sz w:val="14"/>
                <w:szCs w:val="14"/>
                <w:color w:val="4D4D4F"/>
              </w:rPr>
              <w:t>162,492</w:t>
            </w:r>
          </w:p>
        </w:tc>
        <w:tc>
          <w:tcPr>
            <w:tcW w:w="1220" w:type="dxa"/>
            <w:vAlign w:val="bottom"/>
          </w:tcPr>
          <w:p>
            <w:pPr>
              <w:jc w:val="center"/>
              <w:spacing w:after="0"/>
              <w:rPr>
                <w:sz w:val="20"/>
                <w:szCs w:val="20"/>
                <w:color w:val="auto"/>
              </w:rPr>
            </w:pPr>
            <w:r>
              <w:rPr>
                <w:rFonts w:ascii="Arial" w:cs="Arial" w:eastAsia="Arial" w:hAnsi="Arial"/>
                <w:sz w:val="14"/>
                <w:szCs w:val="14"/>
                <w:color w:val="4D4D4F"/>
              </w:rPr>
              <w:t>55,100</w:t>
            </w:r>
          </w:p>
        </w:tc>
        <w:tc>
          <w:tcPr>
            <w:tcW w:w="1220" w:type="dxa"/>
            <w:vAlign w:val="bottom"/>
          </w:tcPr>
          <w:p>
            <w:pPr>
              <w:jc w:val="center"/>
              <w:spacing w:after="0"/>
              <w:rPr>
                <w:sz w:val="20"/>
                <w:szCs w:val="20"/>
                <w:color w:val="auto"/>
              </w:rPr>
            </w:pPr>
            <w:r>
              <w:rPr>
                <w:rFonts w:ascii="Arial" w:cs="Arial" w:eastAsia="Arial" w:hAnsi="Arial"/>
                <w:sz w:val="14"/>
                <w:szCs w:val="14"/>
                <w:color w:val="4D4D4F"/>
              </w:rPr>
              <w:t>67,728</w:t>
            </w:r>
          </w:p>
        </w:tc>
        <w:tc>
          <w:tcPr>
            <w:tcW w:w="1480" w:type="dxa"/>
            <w:vAlign w:val="bottom"/>
          </w:tcPr>
          <w:p>
            <w:pPr>
              <w:jc w:val="center"/>
              <w:ind w:left="8"/>
              <w:spacing w:after="0"/>
              <w:rPr>
                <w:sz w:val="20"/>
                <w:szCs w:val="20"/>
                <w:color w:val="auto"/>
              </w:rPr>
            </w:pPr>
            <w:r>
              <w:rPr>
                <w:rFonts w:ascii="Arial" w:cs="Arial" w:eastAsia="Arial" w:hAnsi="Arial"/>
                <w:sz w:val="14"/>
                <w:szCs w:val="14"/>
                <w:color w:val="4D4D4F"/>
              </w:rPr>
              <w:t>15,660</w:t>
            </w:r>
          </w:p>
        </w:tc>
        <w:tc>
          <w:tcPr>
            <w:tcW w:w="1080" w:type="dxa"/>
            <w:vAlign w:val="bottom"/>
          </w:tcPr>
          <w:p>
            <w:pPr>
              <w:jc w:val="center"/>
              <w:ind w:left="8"/>
              <w:spacing w:after="0"/>
              <w:rPr>
                <w:sz w:val="20"/>
                <w:szCs w:val="20"/>
                <w:color w:val="auto"/>
              </w:rPr>
            </w:pPr>
            <w:r>
              <w:rPr>
                <w:rFonts w:ascii="Arial" w:cs="Arial" w:eastAsia="Arial" w:hAnsi="Arial"/>
                <w:sz w:val="14"/>
                <w:szCs w:val="14"/>
                <w:color w:val="4D4D4F"/>
              </w:rPr>
              <w:t>300,980</w:t>
            </w:r>
          </w:p>
        </w:tc>
      </w:tr>
      <w:tr>
        <w:trPr>
          <w:trHeight w:val="220"/>
        </w:trPr>
        <w:tc>
          <w:tcPr>
            <w:tcW w:w="4200" w:type="dxa"/>
            <w:vAlign w:val="bottom"/>
          </w:tcPr>
          <w:p>
            <w:pPr>
              <w:spacing w:after="0"/>
              <w:rPr>
                <w:sz w:val="20"/>
                <w:szCs w:val="20"/>
                <w:color w:val="auto"/>
              </w:rPr>
            </w:pPr>
            <w:r>
              <w:rPr>
                <w:rFonts w:ascii="Arial" w:cs="Arial" w:eastAsia="Arial" w:hAnsi="Arial"/>
                <w:sz w:val="14"/>
                <w:szCs w:val="14"/>
                <w:i w:val="1"/>
                <w:iCs w:val="1"/>
                <w:color w:val="4D4D4F"/>
              </w:rPr>
              <w:t>Chief Executive Oﬃcer and President,</w:t>
            </w:r>
          </w:p>
        </w:tc>
        <w:tc>
          <w:tcPr>
            <w:tcW w:w="860" w:type="dxa"/>
            <w:vAlign w:val="bottom"/>
          </w:tcPr>
          <w:p>
            <w:pPr>
              <w:ind w:left="320"/>
              <w:spacing w:after="0"/>
              <w:rPr>
                <w:sz w:val="20"/>
                <w:szCs w:val="20"/>
                <w:color w:val="auto"/>
              </w:rPr>
            </w:pPr>
            <w:r>
              <w:rPr>
                <w:rFonts w:ascii="Arial" w:cs="Arial" w:eastAsia="Arial" w:hAnsi="Arial"/>
                <w:sz w:val="14"/>
                <w:szCs w:val="14"/>
                <w:color w:val="4D4D4F"/>
              </w:rPr>
              <w:t>2019</w:t>
            </w:r>
          </w:p>
        </w:tc>
        <w:tc>
          <w:tcPr>
            <w:tcW w:w="1180" w:type="dxa"/>
            <w:vAlign w:val="bottom"/>
          </w:tcPr>
          <w:p>
            <w:pPr>
              <w:jc w:val="center"/>
              <w:spacing w:after="0"/>
              <w:rPr>
                <w:sz w:val="20"/>
                <w:szCs w:val="20"/>
                <w:color w:val="auto"/>
              </w:rPr>
            </w:pPr>
            <w:r>
              <w:rPr>
                <w:rFonts w:ascii="Arial" w:cs="Arial" w:eastAsia="Arial" w:hAnsi="Arial"/>
                <w:sz w:val="14"/>
                <w:szCs w:val="14"/>
                <w:color w:val="4D4D4F"/>
              </w:rPr>
              <w:t>139,241</w:t>
            </w:r>
          </w:p>
        </w:tc>
        <w:tc>
          <w:tcPr>
            <w:tcW w:w="1220" w:type="dxa"/>
            <w:vAlign w:val="bottom"/>
          </w:tcPr>
          <w:p>
            <w:pPr>
              <w:jc w:val="center"/>
              <w:spacing w:after="0"/>
              <w:rPr>
                <w:sz w:val="20"/>
                <w:szCs w:val="20"/>
                <w:color w:val="auto"/>
              </w:rPr>
            </w:pPr>
            <w:r>
              <w:rPr>
                <w:rFonts w:ascii="Arial" w:cs="Arial" w:eastAsia="Arial" w:hAnsi="Arial"/>
                <w:sz w:val="14"/>
                <w:szCs w:val="14"/>
                <w:color w:val="4D4D4F"/>
              </w:rPr>
              <w:t>49,126</w:t>
            </w:r>
          </w:p>
        </w:tc>
        <w:tc>
          <w:tcPr>
            <w:tcW w:w="1220" w:type="dxa"/>
            <w:vAlign w:val="bottom"/>
          </w:tcPr>
          <w:p>
            <w:pPr>
              <w:jc w:val="center"/>
              <w:spacing w:after="0"/>
              <w:rPr>
                <w:sz w:val="20"/>
                <w:szCs w:val="20"/>
                <w:color w:val="auto"/>
              </w:rPr>
            </w:pPr>
            <w:r>
              <w:rPr>
                <w:rFonts w:ascii="Arial" w:cs="Arial" w:eastAsia="Arial" w:hAnsi="Arial"/>
                <w:sz w:val="14"/>
                <w:szCs w:val="14"/>
                <w:color w:val="4D4D4F"/>
              </w:rPr>
              <w:t>183,594</w:t>
            </w:r>
          </w:p>
        </w:tc>
        <w:tc>
          <w:tcPr>
            <w:tcW w:w="1480" w:type="dxa"/>
            <w:vAlign w:val="bottom"/>
          </w:tcPr>
          <w:p>
            <w:pPr>
              <w:jc w:val="center"/>
              <w:ind w:left="8"/>
              <w:spacing w:after="0"/>
              <w:rPr>
                <w:sz w:val="20"/>
                <w:szCs w:val="20"/>
                <w:color w:val="auto"/>
              </w:rPr>
            </w:pPr>
            <w:r>
              <w:rPr>
                <w:rFonts w:ascii="Arial" w:cs="Arial" w:eastAsia="Arial" w:hAnsi="Arial"/>
                <w:sz w:val="14"/>
                <w:szCs w:val="14"/>
                <w:color w:val="4D4D4F"/>
              </w:rPr>
              <w:t>13,920</w:t>
            </w:r>
          </w:p>
        </w:tc>
        <w:tc>
          <w:tcPr>
            <w:tcW w:w="1080" w:type="dxa"/>
            <w:vAlign w:val="bottom"/>
          </w:tcPr>
          <w:p>
            <w:pPr>
              <w:jc w:val="center"/>
              <w:ind w:left="8"/>
              <w:spacing w:after="0"/>
              <w:rPr>
                <w:sz w:val="20"/>
                <w:szCs w:val="20"/>
                <w:color w:val="auto"/>
              </w:rPr>
            </w:pPr>
            <w:r>
              <w:rPr>
                <w:rFonts w:ascii="Arial" w:cs="Arial" w:eastAsia="Arial" w:hAnsi="Arial"/>
                <w:sz w:val="14"/>
                <w:szCs w:val="14"/>
                <w:color w:val="4D4D4F"/>
              </w:rPr>
              <w:t>385,881</w:t>
            </w:r>
          </w:p>
        </w:tc>
      </w:tr>
      <w:tr>
        <w:trPr>
          <w:trHeight w:val="185"/>
        </w:trPr>
        <w:tc>
          <w:tcPr>
            <w:tcW w:w="4200" w:type="dxa"/>
            <w:vAlign w:val="bottom"/>
          </w:tcPr>
          <w:p>
            <w:pPr>
              <w:spacing w:after="0"/>
              <w:rPr>
                <w:sz w:val="20"/>
                <w:szCs w:val="20"/>
                <w:color w:val="auto"/>
              </w:rPr>
            </w:pPr>
            <w:r>
              <w:rPr>
                <w:rFonts w:ascii="Arial" w:cs="Arial" w:eastAsia="Arial" w:hAnsi="Arial"/>
                <w:sz w:val="14"/>
                <w:szCs w:val="14"/>
                <w:i w:val="1"/>
                <w:iCs w:val="1"/>
                <w:color w:val="4D4D4F"/>
              </w:rPr>
              <w:t>ACM Research (Shanghai), Inc.</w:t>
            </w:r>
          </w:p>
        </w:tc>
        <w:tc>
          <w:tcPr>
            <w:tcW w:w="860" w:type="dxa"/>
            <w:vAlign w:val="bottom"/>
          </w:tcPr>
          <w:p>
            <w:pPr>
              <w:ind w:left="320"/>
              <w:spacing w:after="0"/>
              <w:rPr>
                <w:sz w:val="20"/>
                <w:szCs w:val="20"/>
                <w:color w:val="auto"/>
              </w:rPr>
            </w:pPr>
            <w:r>
              <w:rPr>
                <w:rFonts w:ascii="Arial" w:cs="Arial" w:eastAsia="Arial" w:hAnsi="Arial"/>
                <w:sz w:val="14"/>
                <w:szCs w:val="14"/>
                <w:color w:val="4D4D4F"/>
              </w:rPr>
              <w:t>2018</w:t>
            </w:r>
          </w:p>
        </w:tc>
        <w:tc>
          <w:tcPr>
            <w:tcW w:w="1180" w:type="dxa"/>
            <w:vAlign w:val="bottom"/>
          </w:tcPr>
          <w:p>
            <w:pPr>
              <w:jc w:val="center"/>
              <w:spacing w:after="0"/>
              <w:rPr>
                <w:sz w:val="20"/>
                <w:szCs w:val="20"/>
                <w:color w:val="auto"/>
              </w:rPr>
            </w:pPr>
            <w:r>
              <w:rPr>
                <w:rFonts w:ascii="Arial" w:cs="Arial" w:eastAsia="Arial" w:hAnsi="Arial"/>
                <w:sz w:val="14"/>
                <w:szCs w:val="14"/>
                <w:color w:val="4D4D4F"/>
              </w:rPr>
              <w:t>140,059</w:t>
            </w:r>
          </w:p>
        </w:tc>
        <w:tc>
          <w:tcPr>
            <w:tcW w:w="1220" w:type="dxa"/>
            <w:vAlign w:val="bottom"/>
          </w:tcPr>
          <w:p>
            <w:pPr>
              <w:jc w:val="center"/>
              <w:spacing w:after="0"/>
              <w:rPr>
                <w:sz w:val="20"/>
                <w:szCs w:val="20"/>
                <w:color w:val="auto"/>
              </w:rPr>
            </w:pPr>
            <w:r>
              <w:rPr>
                <w:rFonts w:ascii="Arial" w:cs="Arial" w:eastAsia="Arial" w:hAnsi="Arial"/>
                <w:sz w:val="14"/>
                <w:szCs w:val="14"/>
                <w:color w:val="4D4D4F"/>
              </w:rPr>
              <w:t>16,296</w:t>
            </w:r>
          </w:p>
        </w:tc>
        <w:tc>
          <w:tcPr>
            <w:tcW w:w="1220" w:type="dxa"/>
            <w:vAlign w:val="bottom"/>
          </w:tcPr>
          <w:p>
            <w:pPr>
              <w:jc w:val="center"/>
              <w:spacing w:after="0"/>
              <w:rPr>
                <w:sz w:val="20"/>
                <w:szCs w:val="20"/>
                <w:color w:val="auto"/>
              </w:rPr>
            </w:pPr>
            <w:r>
              <w:rPr>
                <w:rFonts w:ascii="Arial" w:cs="Arial" w:eastAsia="Arial" w:hAnsi="Arial"/>
                <w:sz w:val="14"/>
                <w:szCs w:val="14"/>
                <w:color w:val="4D4D4F"/>
              </w:rPr>
              <w:t>257,032</w:t>
            </w:r>
          </w:p>
        </w:tc>
        <w:tc>
          <w:tcPr>
            <w:tcW w:w="1480" w:type="dxa"/>
            <w:vAlign w:val="bottom"/>
          </w:tcPr>
          <w:p>
            <w:pPr>
              <w:jc w:val="center"/>
              <w:ind w:left="8"/>
              <w:spacing w:after="0"/>
              <w:rPr>
                <w:sz w:val="20"/>
                <w:szCs w:val="20"/>
                <w:color w:val="auto"/>
              </w:rPr>
            </w:pPr>
            <w:r>
              <w:rPr>
                <w:rFonts w:ascii="Arial" w:cs="Arial" w:eastAsia="Arial" w:hAnsi="Arial"/>
                <w:sz w:val="14"/>
                <w:szCs w:val="14"/>
                <w:color w:val="4D4D4F"/>
              </w:rPr>
              <w:t>10,667</w:t>
            </w:r>
          </w:p>
        </w:tc>
        <w:tc>
          <w:tcPr>
            <w:tcW w:w="1080" w:type="dxa"/>
            <w:vAlign w:val="bottom"/>
          </w:tcPr>
          <w:p>
            <w:pPr>
              <w:jc w:val="center"/>
              <w:ind w:left="8"/>
              <w:spacing w:after="0"/>
              <w:rPr>
                <w:sz w:val="20"/>
                <w:szCs w:val="20"/>
                <w:color w:val="auto"/>
              </w:rPr>
            </w:pPr>
            <w:r>
              <w:rPr>
                <w:rFonts w:ascii="Arial" w:cs="Arial" w:eastAsia="Arial" w:hAnsi="Arial"/>
                <w:sz w:val="14"/>
                <w:szCs w:val="14"/>
                <w:color w:val="4D4D4F"/>
              </w:rPr>
              <w:t>424,054</w:t>
            </w:r>
          </w:p>
        </w:tc>
      </w:tr>
      <w:tr>
        <w:trPr>
          <w:trHeight w:val="189"/>
        </w:trPr>
        <w:tc>
          <w:tcPr>
            <w:tcW w:w="4200" w:type="dxa"/>
            <w:vAlign w:val="bottom"/>
            <w:shd w:val="clear" w:color="auto" w:fill="CCEEFF"/>
          </w:tcPr>
          <w:p>
            <w:pPr>
              <w:spacing w:after="0"/>
              <w:rPr>
                <w:sz w:val="20"/>
                <w:szCs w:val="20"/>
                <w:color w:val="auto"/>
              </w:rPr>
            </w:pPr>
            <w:r>
              <w:rPr>
                <w:rFonts w:ascii="Arial" w:cs="Arial" w:eastAsia="Arial" w:hAnsi="Arial"/>
                <w:sz w:val="14"/>
                <w:szCs w:val="14"/>
                <w:color w:val="4D4D4F"/>
              </w:rPr>
              <w:t>Lisa Feng</w:t>
            </w:r>
          </w:p>
        </w:tc>
        <w:tc>
          <w:tcPr>
            <w:tcW w:w="860" w:type="dxa"/>
            <w:vAlign w:val="bottom"/>
            <w:shd w:val="clear" w:color="auto" w:fill="CCEEFF"/>
          </w:tcPr>
          <w:p>
            <w:pPr>
              <w:ind w:left="320"/>
              <w:spacing w:after="0"/>
              <w:rPr>
                <w:sz w:val="20"/>
                <w:szCs w:val="20"/>
                <w:color w:val="auto"/>
              </w:rPr>
            </w:pPr>
            <w:r>
              <w:rPr>
                <w:rFonts w:ascii="Arial" w:cs="Arial" w:eastAsia="Arial" w:hAnsi="Arial"/>
                <w:sz w:val="14"/>
                <w:szCs w:val="14"/>
                <w:color w:val="4D4D4F"/>
              </w:rPr>
              <w:t>2020</w:t>
            </w:r>
          </w:p>
        </w:tc>
        <w:tc>
          <w:tcPr>
            <w:tcW w:w="1180" w:type="dxa"/>
            <w:vAlign w:val="bottom"/>
            <w:shd w:val="clear" w:color="auto" w:fill="CCEEFF"/>
          </w:tcPr>
          <w:p>
            <w:pPr>
              <w:jc w:val="center"/>
              <w:spacing w:after="0"/>
              <w:rPr>
                <w:sz w:val="20"/>
                <w:szCs w:val="20"/>
                <w:color w:val="auto"/>
              </w:rPr>
            </w:pPr>
            <w:r>
              <w:rPr>
                <w:rFonts w:ascii="Arial" w:cs="Arial" w:eastAsia="Arial" w:hAnsi="Arial"/>
                <w:sz w:val="14"/>
                <w:szCs w:val="14"/>
                <w:color w:val="4D4D4F"/>
              </w:rPr>
              <w:t>169,172</w:t>
            </w:r>
          </w:p>
        </w:tc>
        <w:tc>
          <w:tcPr>
            <w:tcW w:w="1220" w:type="dxa"/>
            <w:vAlign w:val="bottom"/>
            <w:shd w:val="clear" w:color="auto" w:fill="CCEEFF"/>
          </w:tcPr>
          <w:p>
            <w:pPr>
              <w:jc w:val="center"/>
              <w:spacing w:after="0"/>
              <w:rPr>
                <w:sz w:val="20"/>
                <w:szCs w:val="20"/>
                <w:color w:val="auto"/>
              </w:rPr>
            </w:pPr>
            <w:r>
              <w:rPr>
                <w:rFonts w:ascii="Arial" w:cs="Arial" w:eastAsia="Arial" w:hAnsi="Arial"/>
                <w:sz w:val="14"/>
                <w:szCs w:val="14"/>
                <w:color w:val="4D4D4F"/>
              </w:rPr>
              <w:t>43,500</w:t>
            </w:r>
          </w:p>
        </w:tc>
        <w:tc>
          <w:tcPr>
            <w:tcW w:w="1220" w:type="dxa"/>
            <w:vAlign w:val="bottom"/>
            <w:shd w:val="clear" w:color="auto" w:fill="CCEEFF"/>
          </w:tcPr>
          <w:p>
            <w:pPr>
              <w:jc w:val="center"/>
              <w:spacing w:after="0"/>
              <w:rPr>
                <w:sz w:val="20"/>
                <w:szCs w:val="20"/>
                <w:color w:val="auto"/>
              </w:rPr>
            </w:pPr>
            <w:r>
              <w:rPr>
                <w:rFonts w:ascii="Arial" w:cs="Arial" w:eastAsia="Arial" w:hAnsi="Arial"/>
                <w:sz w:val="14"/>
                <w:szCs w:val="14"/>
                <w:color w:val="4D4D4F"/>
              </w:rPr>
              <w:t>225,809</w:t>
            </w:r>
          </w:p>
        </w:tc>
        <w:tc>
          <w:tcPr>
            <w:tcW w:w="148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4D4D4F"/>
              </w:rPr>
              <w:t>13,616</w:t>
            </w:r>
          </w:p>
        </w:tc>
        <w:tc>
          <w:tcPr>
            <w:tcW w:w="108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4D4D4F"/>
              </w:rPr>
              <w:t>452,097</w:t>
            </w:r>
          </w:p>
        </w:tc>
      </w:tr>
      <w:tr>
        <w:trPr>
          <w:trHeight w:val="189"/>
        </w:trPr>
        <w:tc>
          <w:tcPr>
            <w:tcW w:w="4200" w:type="dxa"/>
            <w:vAlign w:val="bottom"/>
            <w:shd w:val="clear" w:color="auto" w:fill="CCEEFF"/>
          </w:tcPr>
          <w:p>
            <w:pPr>
              <w:spacing w:after="0"/>
              <w:rPr>
                <w:sz w:val="20"/>
                <w:szCs w:val="20"/>
                <w:color w:val="auto"/>
              </w:rPr>
            </w:pPr>
            <w:r>
              <w:rPr>
                <w:rFonts w:ascii="Arial" w:cs="Arial" w:eastAsia="Arial" w:hAnsi="Arial"/>
                <w:sz w:val="14"/>
                <w:szCs w:val="14"/>
                <w:i w:val="1"/>
                <w:iCs w:val="1"/>
                <w:color w:val="4D4D4F"/>
              </w:rPr>
              <w:t>Chief Financial Officer, ACM Research (Shanghai), Inc.</w:t>
            </w:r>
          </w:p>
        </w:tc>
        <w:tc>
          <w:tcPr>
            <w:tcW w:w="860" w:type="dxa"/>
            <w:vAlign w:val="bottom"/>
            <w:shd w:val="clear" w:color="auto" w:fill="CCEEFF"/>
          </w:tcPr>
          <w:p>
            <w:pPr>
              <w:ind w:left="320"/>
              <w:spacing w:after="0"/>
              <w:rPr>
                <w:sz w:val="20"/>
                <w:szCs w:val="20"/>
                <w:color w:val="auto"/>
              </w:rPr>
            </w:pPr>
            <w:r>
              <w:rPr>
                <w:rFonts w:ascii="Arial" w:cs="Arial" w:eastAsia="Arial" w:hAnsi="Arial"/>
                <w:sz w:val="14"/>
                <w:szCs w:val="14"/>
                <w:color w:val="4D4D4F"/>
              </w:rPr>
              <w:t>2019</w:t>
            </w:r>
          </w:p>
        </w:tc>
        <w:tc>
          <w:tcPr>
            <w:tcW w:w="1180" w:type="dxa"/>
            <w:vAlign w:val="bottom"/>
            <w:shd w:val="clear" w:color="auto" w:fill="CCEEFF"/>
          </w:tcPr>
          <w:p>
            <w:pPr>
              <w:jc w:val="center"/>
              <w:spacing w:after="0"/>
              <w:rPr>
                <w:sz w:val="20"/>
                <w:szCs w:val="20"/>
                <w:color w:val="auto"/>
              </w:rPr>
            </w:pPr>
            <w:r>
              <w:rPr>
                <w:rFonts w:ascii="Arial" w:cs="Arial" w:eastAsia="Arial" w:hAnsi="Arial"/>
                <w:sz w:val="14"/>
                <w:szCs w:val="14"/>
                <w:color w:val="4D4D4F"/>
              </w:rPr>
              <w:t>159,673</w:t>
            </w:r>
          </w:p>
        </w:tc>
        <w:tc>
          <w:tcPr>
            <w:tcW w:w="1220" w:type="dxa"/>
            <w:vAlign w:val="bottom"/>
            <w:shd w:val="clear" w:color="auto" w:fill="CCEEFF"/>
          </w:tcPr>
          <w:p>
            <w:pPr>
              <w:jc w:val="center"/>
              <w:spacing w:after="0"/>
              <w:rPr>
                <w:sz w:val="20"/>
                <w:szCs w:val="20"/>
                <w:color w:val="auto"/>
              </w:rPr>
            </w:pPr>
            <w:r>
              <w:rPr>
                <w:rFonts w:ascii="Arial" w:cs="Arial" w:eastAsia="Arial" w:hAnsi="Arial"/>
                <w:sz w:val="14"/>
                <w:szCs w:val="14"/>
                <w:color w:val="4D4D4F"/>
              </w:rPr>
              <w:t>41,354</w:t>
            </w:r>
          </w:p>
        </w:tc>
        <w:tc>
          <w:tcPr>
            <w:tcW w:w="1220" w:type="dxa"/>
            <w:vAlign w:val="bottom"/>
            <w:shd w:val="clear" w:color="auto" w:fill="CCEEFF"/>
          </w:tcPr>
          <w:p>
            <w:pPr>
              <w:jc w:val="center"/>
              <w:spacing w:after="0"/>
              <w:rPr>
                <w:sz w:val="20"/>
                <w:szCs w:val="20"/>
                <w:color w:val="auto"/>
              </w:rPr>
            </w:pPr>
            <w:r>
              <w:rPr>
                <w:rFonts w:ascii="Arial" w:cs="Arial" w:eastAsia="Arial" w:hAnsi="Arial"/>
                <w:sz w:val="14"/>
                <w:szCs w:val="14"/>
                <w:color w:val="4D4D4F"/>
              </w:rPr>
              <w:t>214,700</w:t>
            </w:r>
          </w:p>
        </w:tc>
        <w:tc>
          <w:tcPr>
            <w:tcW w:w="148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4D4D4F"/>
              </w:rPr>
              <w:t>10,133</w:t>
            </w:r>
          </w:p>
        </w:tc>
        <w:tc>
          <w:tcPr>
            <w:tcW w:w="108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4D4D4F"/>
              </w:rPr>
              <w:t>425,860</w:t>
            </w:r>
          </w:p>
        </w:tc>
      </w:tr>
      <w:tr>
        <w:trPr>
          <w:trHeight w:val="193"/>
        </w:trPr>
        <w:tc>
          <w:tcPr>
            <w:tcW w:w="4200" w:type="dxa"/>
            <w:vAlign w:val="bottom"/>
          </w:tcPr>
          <w:p>
            <w:pPr>
              <w:spacing w:after="0"/>
              <w:rPr>
                <w:sz w:val="20"/>
                <w:szCs w:val="20"/>
                <w:color w:val="auto"/>
              </w:rPr>
            </w:pPr>
            <w:r>
              <w:rPr>
                <w:rFonts w:ascii="Arial" w:cs="Arial" w:eastAsia="Arial" w:hAnsi="Arial"/>
                <w:sz w:val="14"/>
                <w:szCs w:val="14"/>
                <w:color w:val="4D4D4F"/>
              </w:rPr>
              <w:t>Fuping Chen</w:t>
            </w:r>
          </w:p>
        </w:tc>
        <w:tc>
          <w:tcPr>
            <w:tcW w:w="860" w:type="dxa"/>
            <w:vAlign w:val="bottom"/>
          </w:tcPr>
          <w:p>
            <w:pPr>
              <w:ind w:left="320"/>
              <w:spacing w:after="0"/>
              <w:rPr>
                <w:sz w:val="20"/>
                <w:szCs w:val="20"/>
                <w:color w:val="auto"/>
              </w:rPr>
            </w:pPr>
            <w:r>
              <w:rPr>
                <w:rFonts w:ascii="Arial" w:cs="Arial" w:eastAsia="Arial" w:hAnsi="Arial"/>
                <w:sz w:val="14"/>
                <w:szCs w:val="14"/>
                <w:color w:val="4D4D4F"/>
              </w:rPr>
              <w:t>2020</w:t>
            </w:r>
          </w:p>
        </w:tc>
        <w:tc>
          <w:tcPr>
            <w:tcW w:w="1180" w:type="dxa"/>
            <w:vAlign w:val="bottom"/>
          </w:tcPr>
          <w:p>
            <w:pPr>
              <w:jc w:val="center"/>
              <w:spacing w:after="0"/>
              <w:rPr>
                <w:sz w:val="20"/>
                <w:szCs w:val="20"/>
                <w:color w:val="auto"/>
              </w:rPr>
            </w:pPr>
            <w:r>
              <w:rPr>
                <w:rFonts w:ascii="Arial" w:cs="Arial" w:eastAsia="Arial" w:hAnsi="Arial"/>
                <w:sz w:val="14"/>
                <w:szCs w:val="14"/>
                <w:color w:val="4D4D4F"/>
              </w:rPr>
              <w:t>103,871</w:t>
            </w:r>
          </w:p>
        </w:tc>
        <w:tc>
          <w:tcPr>
            <w:tcW w:w="1220" w:type="dxa"/>
            <w:vAlign w:val="bottom"/>
          </w:tcPr>
          <w:p>
            <w:pPr>
              <w:jc w:val="center"/>
              <w:spacing w:after="0"/>
              <w:rPr>
                <w:sz w:val="20"/>
                <w:szCs w:val="20"/>
                <w:color w:val="auto"/>
              </w:rPr>
            </w:pPr>
            <w:r>
              <w:rPr>
                <w:rFonts w:ascii="Arial" w:cs="Arial" w:eastAsia="Arial" w:hAnsi="Arial"/>
                <w:sz w:val="14"/>
                <w:szCs w:val="14"/>
                <w:color w:val="4D4D4F"/>
              </w:rPr>
              <w:t>95,700</w:t>
            </w:r>
          </w:p>
        </w:tc>
        <w:tc>
          <w:tcPr>
            <w:tcW w:w="1220" w:type="dxa"/>
            <w:vAlign w:val="bottom"/>
          </w:tcPr>
          <w:p>
            <w:pPr>
              <w:jc w:val="center"/>
              <w:spacing w:after="0"/>
              <w:rPr>
                <w:sz w:val="20"/>
                <w:szCs w:val="20"/>
                <w:color w:val="auto"/>
              </w:rPr>
            </w:pPr>
            <w:r>
              <w:rPr>
                <w:rFonts w:ascii="Arial" w:cs="Arial" w:eastAsia="Arial" w:hAnsi="Arial"/>
                <w:sz w:val="14"/>
                <w:szCs w:val="14"/>
                <w:color w:val="4D4D4F"/>
              </w:rPr>
              <w:t>793,157</w:t>
            </w:r>
          </w:p>
        </w:tc>
        <w:tc>
          <w:tcPr>
            <w:tcW w:w="1480" w:type="dxa"/>
            <w:vAlign w:val="bottom"/>
          </w:tcPr>
          <w:p>
            <w:pPr>
              <w:jc w:val="center"/>
              <w:ind w:left="8"/>
              <w:spacing w:after="0"/>
              <w:rPr>
                <w:sz w:val="20"/>
                <w:szCs w:val="20"/>
                <w:color w:val="auto"/>
              </w:rPr>
            </w:pPr>
            <w:r>
              <w:rPr>
                <w:rFonts w:ascii="Arial" w:cs="Arial" w:eastAsia="Arial" w:hAnsi="Arial"/>
                <w:sz w:val="14"/>
                <w:szCs w:val="14"/>
                <w:color w:val="4D4D4F"/>
              </w:rPr>
              <w:t>15,660</w:t>
            </w:r>
          </w:p>
        </w:tc>
        <w:tc>
          <w:tcPr>
            <w:tcW w:w="1080" w:type="dxa"/>
            <w:vAlign w:val="bottom"/>
          </w:tcPr>
          <w:p>
            <w:pPr>
              <w:jc w:val="center"/>
              <w:ind w:left="8"/>
              <w:spacing w:after="0"/>
              <w:rPr>
                <w:sz w:val="20"/>
                <w:szCs w:val="20"/>
                <w:color w:val="auto"/>
              </w:rPr>
            </w:pPr>
            <w:r>
              <w:rPr>
                <w:rFonts w:ascii="Arial" w:cs="Arial" w:eastAsia="Arial" w:hAnsi="Arial"/>
                <w:sz w:val="14"/>
                <w:szCs w:val="14"/>
                <w:color w:val="4D4D4F"/>
              </w:rPr>
              <w:t>1,008,388</w:t>
            </w:r>
          </w:p>
        </w:tc>
      </w:tr>
      <w:tr>
        <w:trPr>
          <w:trHeight w:val="190"/>
        </w:trPr>
        <w:tc>
          <w:tcPr>
            <w:tcW w:w="4200" w:type="dxa"/>
            <w:vAlign w:val="bottom"/>
          </w:tcPr>
          <w:p>
            <w:pPr>
              <w:spacing w:after="0"/>
              <w:rPr>
                <w:sz w:val="20"/>
                <w:szCs w:val="20"/>
                <w:color w:val="auto"/>
              </w:rPr>
            </w:pPr>
            <w:r>
              <w:rPr>
                <w:rFonts w:ascii="Arial" w:cs="Arial" w:eastAsia="Arial" w:hAnsi="Arial"/>
                <w:sz w:val="14"/>
                <w:szCs w:val="14"/>
                <w:i w:val="1"/>
                <w:iCs w:val="1"/>
                <w:color w:val="4D4D4F"/>
              </w:rPr>
              <w:t>Vice President, Sales—China, ACM Research (Shanghai), Inc.</w:t>
            </w:r>
          </w:p>
        </w:tc>
        <w:tc>
          <w:tcPr>
            <w:tcW w:w="860" w:type="dxa"/>
            <w:vAlign w:val="bottom"/>
          </w:tcPr>
          <w:p>
            <w:pPr>
              <w:ind w:left="320"/>
              <w:spacing w:after="0"/>
              <w:rPr>
                <w:sz w:val="20"/>
                <w:szCs w:val="20"/>
                <w:color w:val="auto"/>
              </w:rPr>
            </w:pPr>
            <w:r>
              <w:rPr>
                <w:rFonts w:ascii="Arial" w:cs="Arial" w:eastAsia="Arial" w:hAnsi="Arial"/>
                <w:sz w:val="14"/>
                <w:szCs w:val="14"/>
                <w:color w:val="4D4D4F"/>
              </w:rPr>
              <w:t>2019</w:t>
            </w:r>
          </w:p>
        </w:tc>
        <w:tc>
          <w:tcPr>
            <w:tcW w:w="1180" w:type="dxa"/>
            <w:vAlign w:val="bottom"/>
          </w:tcPr>
          <w:p>
            <w:pPr>
              <w:jc w:val="center"/>
              <w:spacing w:after="0"/>
              <w:rPr>
                <w:sz w:val="20"/>
                <w:szCs w:val="20"/>
                <w:color w:val="auto"/>
              </w:rPr>
            </w:pPr>
            <w:r>
              <w:rPr>
                <w:rFonts w:ascii="Arial" w:cs="Arial" w:eastAsia="Arial" w:hAnsi="Arial"/>
                <w:sz w:val="14"/>
                <w:szCs w:val="14"/>
                <w:color w:val="4D4D4F"/>
              </w:rPr>
              <w:t>90,603</w:t>
            </w:r>
          </w:p>
        </w:tc>
        <w:tc>
          <w:tcPr>
            <w:tcW w:w="1220" w:type="dxa"/>
            <w:vAlign w:val="bottom"/>
          </w:tcPr>
          <w:p>
            <w:pPr>
              <w:jc w:val="center"/>
              <w:spacing w:after="0"/>
              <w:rPr>
                <w:sz w:val="20"/>
                <w:szCs w:val="20"/>
                <w:color w:val="auto"/>
              </w:rPr>
            </w:pPr>
            <w:r>
              <w:rPr>
                <w:rFonts w:ascii="Arial" w:cs="Arial" w:eastAsia="Arial" w:hAnsi="Arial"/>
                <w:sz w:val="14"/>
                <w:szCs w:val="14"/>
                <w:color w:val="4D4D4F"/>
              </w:rPr>
              <w:t>113,129</w:t>
            </w:r>
          </w:p>
        </w:tc>
        <w:tc>
          <w:tcPr>
            <w:tcW w:w="1220" w:type="dxa"/>
            <w:vAlign w:val="bottom"/>
          </w:tcPr>
          <w:p>
            <w:pPr>
              <w:jc w:val="center"/>
              <w:spacing w:after="0"/>
              <w:rPr>
                <w:sz w:val="20"/>
                <w:szCs w:val="20"/>
                <w:color w:val="auto"/>
              </w:rPr>
            </w:pPr>
            <w:r>
              <w:rPr>
                <w:rFonts w:ascii="Arial" w:cs="Arial" w:eastAsia="Arial" w:hAnsi="Arial"/>
                <w:sz w:val="14"/>
                <w:szCs w:val="14"/>
                <w:color w:val="4D4D4F"/>
              </w:rPr>
              <w:t>61,198</w:t>
            </w:r>
          </w:p>
        </w:tc>
        <w:tc>
          <w:tcPr>
            <w:tcW w:w="1480" w:type="dxa"/>
            <w:vAlign w:val="bottom"/>
          </w:tcPr>
          <w:p>
            <w:pPr>
              <w:jc w:val="center"/>
              <w:ind w:left="8"/>
              <w:spacing w:after="0"/>
              <w:rPr>
                <w:sz w:val="20"/>
                <w:szCs w:val="20"/>
                <w:color w:val="auto"/>
              </w:rPr>
            </w:pPr>
            <w:r>
              <w:rPr>
                <w:rFonts w:ascii="Arial" w:cs="Arial" w:eastAsia="Arial" w:hAnsi="Arial"/>
                <w:sz w:val="14"/>
                <w:szCs w:val="14"/>
                <w:color w:val="4D4D4F"/>
              </w:rPr>
              <w:t>13,920</w:t>
            </w:r>
          </w:p>
        </w:tc>
        <w:tc>
          <w:tcPr>
            <w:tcW w:w="1080" w:type="dxa"/>
            <w:vAlign w:val="bottom"/>
          </w:tcPr>
          <w:p>
            <w:pPr>
              <w:jc w:val="center"/>
              <w:ind w:left="8"/>
              <w:spacing w:after="0"/>
              <w:rPr>
                <w:sz w:val="20"/>
                <w:szCs w:val="20"/>
                <w:color w:val="auto"/>
              </w:rPr>
            </w:pPr>
            <w:r>
              <w:rPr>
                <w:rFonts w:ascii="Arial" w:cs="Arial" w:eastAsia="Arial" w:hAnsi="Arial"/>
                <w:sz w:val="14"/>
                <w:szCs w:val="14"/>
                <w:color w:val="4D4D4F"/>
              </w:rPr>
              <w:t>278,850</w:t>
            </w:r>
          </w:p>
        </w:tc>
      </w:tr>
      <w:tr>
        <w:trPr>
          <w:trHeight w:val="199"/>
        </w:trPr>
        <w:tc>
          <w:tcPr>
            <w:tcW w:w="4200" w:type="dxa"/>
            <w:vAlign w:val="bottom"/>
          </w:tcPr>
          <w:p>
            <w:pPr>
              <w:spacing w:after="0"/>
              <w:rPr>
                <w:sz w:val="17"/>
                <w:szCs w:val="17"/>
                <w:color w:val="auto"/>
              </w:rPr>
            </w:pPr>
          </w:p>
        </w:tc>
        <w:tc>
          <w:tcPr>
            <w:tcW w:w="860" w:type="dxa"/>
            <w:vAlign w:val="bottom"/>
          </w:tcPr>
          <w:p>
            <w:pPr>
              <w:ind w:left="320"/>
              <w:spacing w:after="0"/>
              <w:rPr>
                <w:sz w:val="20"/>
                <w:szCs w:val="20"/>
                <w:color w:val="auto"/>
              </w:rPr>
            </w:pPr>
            <w:r>
              <w:rPr>
                <w:rFonts w:ascii="Arial" w:cs="Arial" w:eastAsia="Arial" w:hAnsi="Arial"/>
                <w:sz w:val="14"/>
                <w:szCs w:val="14"/>
                <w:color w:val="4D4D4F"/>
              </w:rPr>
              <w:t>2018</w:t>
            </w:r>
          </w:p>
        </w:tc>
        <w:tc>
          <w:tcPr>
            <w:tcW w:w="1180" w:type="dxa"/>
            <w:vAlign w:val="bottom"/>
          </w:tcPr>
          <w:p>
            <w:pPr>
              <w:jc w:val="center"/>
              <w:spacing w:after="0"/>
              <w:rPr>
                <w:sz w:val="20"/>
                <w:szCs w:val="20"/>
                <w:color w:val="auto"/>
              </w:rPr>
            </w:pPr>
            <w:r>
              <w:rPr>
                <w:rFonts w:ascii="Arial" w:cs="Arial" w:eastAsia="Arial" w:hAnsi="Arial"/>
                <w:sz w:val="14"/>
                <w:szCs w:val="14"/>
                <w:color w:val="4D4D4F"/>
              </w:rPr>
              <w:t>90,348</w:t>
            </w:r>
          </w:p>
        </w:tc>
        <w:tc>
          <w:tcPr>
            <w:tcW w:w="1220" w:type="dxa"/>
            <w:vAlign w:val="bottom"/>
          </w:tcPr>
          <w:p>
            <w:pPr>
              <w:jc w:val="center"/>
              <w:spacing w:after="0"/>
              <w:rPr>
                <w:sz w:val="20"/>
                <w:szCs w:val="20"/>
                <w:color w:val="auto"/>
              </w:rPr>
            </w:pPr>
            <w:r>
              <w:rPr>
                <w:rFonts w:ascii="Arial" w:cs="Arial" w:eastAsia="Arial" w:hAnsi="Arial"/>
                <w:sz w:val="14"/>
                <w:szCs w:val="14"/>
                <w:color w:val="4D4D4F"/>
              </w:rPr>
              <w:t>35,259</w:t>
            </w:r>
          </w:p>
        </w:tc>
        <w:tc>
          <w:tcPr>
            <w:tcW w:w="1220" w:type="dxa"/>
            <w:vAlign w:val="bottom"/>
          </w:tcPr>
          <w:p>
            <w:pPr>
              <w:jc w:val="center"/>
              <w:spacing w:after="0"/>
              <w:rPr>
                <w:sz w:val="20"/>
                <w:szCs w:val="20"/>
                <w:color w:val="auto"/>
              </w:rPr>
            </w:pPr>
            <w:r>
              <w:rPr>
                <w:rFonts w:ascii="Arial" w:cs="Arial" w:eastAsia="Arial" w:hAnsi="Arial"/>
                <w:sz w:val="14"/>
                <w:szCs w:val="14"/>
                <w:color w:val="4D4D4F"/>
              </w:rPr>
              <w:t>112,995</w:t>
            </w:r>
          </w:p>
        </w:tc>
        <w:tc>
          <w:tcPr>
            <w:tcW w:w="1480" w:type="dxa"/>
            <w:vAlign w:val="bottom"/>
          </w:tcPr>
          <w:p>
            <w:pPr>
              <w:jc w:val="center"/>
              <w:ind w:left="8"/>
              <w:spacing w:after="0"/>
              <w:rPr>
                <w:sz w:val="20"/>
                <w:szCs w:val="20"/>
                <w:color w:val="auto"/>
              </w:rPr>
            </w:pPr>
            <w:r>
              <w:rPr>
                <w:rFonts w:ascii="Arial" w:cs="Arial" w:eastAsia="Arial" w:hAnsi="Arial"/>
                <w:sz w:val="14"/>
                <w:szCs w:val="14"/>
                <w:color w:val="4D4D4F"/>
              </w:rPr>
              <w:t>10,667</w:t>
            </w:r>
          </w:p>
        </w:tc>
        <w:tc>
          <w:tcPr>
            <w:tcW w:w="1080" w:type="dxa"/>
            <w:vAlign w:val="bottom"/>
          </w:tcPr>
          <w:p>
            <w:pPr>
              <w:jc w:val="center"/>
              <w:ind w:left="8"/>
              <w:spacing w:after="0"/>
              <w:rPr>
                <w:sz w:val="20"/>
                <w:szCs w:val="20"/>
                <w:color w:val="auto"/>
              </w:rPr>
            </w:pPr>
            <w:r>
              <w:rPr>
                <w:rFonts w:ascii="Arial" w:cs="Arial" w:eastAsia="Arial" w:hAnsi="Arial"/>
                <w:sz w:val="14"/>
                <w:szCs w:val="14"/>
                <w:color w:val="4D4D4F"/>
              </w:rPr>
              <w:t>249,269</w:t>
            </w:r>
          </w:p>
        </w:tc>
      </w:tr>
    </w:tbl>
    <w:p>
      <w:pPr>
        <w:spacing w:after="0" w:line="44" w:lineRule="exact"/>
        <w:rPr>
          <w:sz w:val="20"/>
          <w:szCs w:val="20"/>
          <w:color w:val="auto"/>
        </w:rPr>
      </w:pPr>
    </w:p>
    <w:p>
      <w:pPr>
        <w:ind w:left="340" w:right="20" w:hanging="332"/>
        <w:spacing w:after="0" w:line="249" w:lineRule="auto"/>
        <w:tabs>
          <w:tab w:leader="none" w:pos="340" w:val="left"/>
        </w:tabs>
        <w:numPr>
          <w:ilvl w:val="0"/>
          <w:numId w:val="55"/>
        </w:numPr>
        <w:rPr>
          <w:rFonts w:ascii="Arial" w:cs="Arial" w:eastAsia="Arial" w:hAnsi="Arial"/>
          <w:sz w:val="14"/>
          <w:szCs w:val="14"/>
          <w:color w:val="4D4D4F"/>
        </w:rPr>
      </w:pPr>
      <w:r>
        <w:rPr>
          <w:rFonts w:ascii="Arial" w:cs="Arial" w:eastAsia="Arial" w:hAnsi="Arial"/>
          <w:sz w:val="14"/>
          <w:szCs w:val="14"/>
          <w:color w:val="4D4D4F"/>
        </w:rPr>
        <w:t>Compensation amounts paid in RMB have been converted, for purposes of the table, to U.S. dollars at the average RMB per U.S. dollar exchange rate for the applicable years.</w:t>
      </w:r>
    </w:p>
    <w:p>
      <w:pPr>
        <w:spacing w:after="0" w:line="210" w:lineRule="exact"/>
        <w:rPr>
          <w:rFonts w:ascii="Arial" w:cs="Arial" w:eastAsia="Arial" w:hAnsi="Arial"/>
          <w:sz w:val="14"/>
          <w:szCs w:val="14"/>
          <w:color w:val="4D4D4F"/>
        </w:rPr>
      </w:pPr>
    </w:p>
    <w:p>
      <w:pPr>
        <w:jc w:val="both"/>
        <w:ind w:left="340" w:hanging="332"/>
        <w:spacing w:after="0" w:line="247" w:lineRule="auto"/>
        <w:tabs>
          <w:tab w:leader="none" w:pos="340" w:val="left"/>
        </w:tabs>
        <w:numPr>
          <w:ilvl w:val="0"/>
          <w:numId w:val="55"/>
        </w:numPr>
        <w:rPr>
          <w:rFonts w:ascii="Arial" w:cs="Arial" w:eastAsia="Arial" w:hAnsi="Arial"/>
          <w:sz w:val="14"/>
          <w:szCs w:val="14"/>
          <w:color w:val="4D4D4F"/>
        </w:rPr>
      </w:pPr>
      <w:r>
        <w:rPr>
          <w:rFonts w:ascii="Arial" w:cs="Arial" w:eastAsia="Arial" w:hAnsi="Arial"/>
          <w:sz w:val="14"/>
          <w:szCs w:val="14"/>
          <w:color w:val="4D4D4F"/>
        </w:rPr>
        <w:t xml:space="preserve">Amounts shown represent the aggregate grant date fair value of option awards granted in accordance with Financial Accounting Standards Board Accounting Standards Codification Topic 718, </w:t>
      </w:r>
      <w:r>
        <w:rPr>
          <w:rFonts w:ascii="Arial" w:cs="Arial" w:eastAsia="Arial" w:hAnsi="Arial"/>
          <w:sz w:val="14"/>
          <w:szCs w:val="14"/>
          <w:i w:val="1"/>
          <w:iCs w:val="1"/>
          <w:color w:val="4D4D4F"/>
        </w:rPr>
        <w:t>Compensation—Stock Compensation</w:t>
      </w:r>
      <w:r>
        <w:rPr>
          <w:rFonts w:ascii="Arial" w:cs="Arial" w:eastAsia="Arial" w:hAnsi="Arial"/>
          <w:sz w:val="14"/>
          <w:szCs w:val="14"/>
          <w:color w:val="4D4D4F"/>
        </w:rPr>
        <w:t>. These amounts do not necessarily correspond to the actual amounts that will be earned by the NEOs. For assumptions made in valuing these awards and related information with respect to options awards exercisable for Class A common stock, see note 2 to our consolidated financial statements included in our Annual Report on Form 10-K for the fiscal year ended December 31, 2020.</w:t>
      </w:r>
    </w:p>
    <w:p>
      <w:pPr>
        <w:spacing w:after="0" w:line="39" w:lineRule="exact"/>
        <w:rPr>
          <w:rFonts w:ascii="Arial" w:cs="Arial" w:eastAsia="Arial" w:hAnsi="Arial"/>
          <w:sz w:val="14"/>
          <w:szCs w:val="14"/>
          <w:color w:val="4D4D4F"/>
        </w:rPr>
      </w:pPr>
    </w:p>
    <w:p>
      <w:pPr>
        <w:ind w:left="340" w:hanging="332"/>
        <w:spacing w:after="0" w:line="258" w:lineRule="auto"/>
        <w:tabs>
          <w:tab w:leader="none" w:pos="340" w:val="left"/>
        </w:tabs>
        <w:numPr>
          <w:ilvl w:val="0"/>
          <w:numId w:val="55"/>
        </w:numPr>
        <w:rPr>
          <w:rFonts w:ascii="Arial" w:cs="Arial" w:eastAsia="Arial" w:hAnsi="Arial"/>
          <w:sz w:val="14"/>
          <w:szCs w:val="14"/>
          <w:color w:val="4D4D4F"/>
        </w:rPr>
      </w:pPr>
      <w:r>
        <w:rPr>
          <w:rFonts w:ascii="Arial" w:cs="Arial" w:eastAsia="Arial" w:hAnsi="Arial"/>
          <w:sz w:val="14"/>
          <w:szCs w:val="14"/>
          <w:color w:val="4D4D4F"/>
        </w:rPr>
        <w:t>Consists of (a) option awards exercisable for Class A common stock and (b) with respect to Dr. Wang, Mr. Wang, Ms. Feng and Mr. Chen in 2020, option awards exercisable for shares of ACM Research (Shanghai), Inc. See “—Grants of Plan-Based Awards” table below.</w:t>
      </w:r>
    </w:p>
    <w:p>
      <w:pPr>
        <w:spacing w:after="0" w:line="31" w:lineRule="exact"/>
        <w:rPr>
          <w:rFonts w:ascii="Arial" w:cs="Arial" w:eastAsia="Arial" w:hAnsi="Arial"/>
          <w:sz w:val="14"/>
          <w:szCs w:val="14"/>
          <w:color w:val="4D4D4F"/>
        </w:rPr>
      </w:pPr>
    </w:p>
    <w:p>
      <w:pPr>
        <w:ind w:left="340" w:hanging="332"/>
        <w:spacing w:after="0"/>
        <w:tabs>
          <w:tab w:leader="none" w:pos="340" w:val="left"/>
        </w:tabs>
        <w:numPr>
          <w:ilvl w:val="0"/>
          <w:numId w:val="55"/>
        </w:numPr>
        <w:rPr>
          <w:rFonts w:ascii="Arial" w:cs="Arial" w:eastAsia="Arial" w:hAnsi="Arial"/>
          <w:sz w:val="14"/>
          <w:szCs w:val="14"/>
          <w:color w:val="4D4D4F"/>
        </w:rPr>
      </w:pPr>
      <w:r>
        <w:rPr>
          <w:rFonts w:ascii="Arial" w:cs="Arial" w:eastAsia="Arial" w:hAnsi="Arial"/>
          <w:sz w:val="14"/>
          <w:szCs w:val="14"/>
          <w:color w:val="4D4D4F"/>
        </w:rPr>
        <w:t>The amounts shown consist of housing subsidies.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7" w:name="page38"/>
    <w:bookmarkEnd w:id="37"/>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b w:val="1"/>
          <w:bCs w:val="1"/>
          <w:color w:val="0079C0"/>
        </w:rPr>
        <w:t>Narrative Explanation of the Summary Compensation Table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4D4D4F"/>
        </w:rPr>
        <w:t>The compensation paid to our NEOs consists of the following components:</w:t>
      </w:r>
    </w:p>
    <w:p>
      <w:pPr>
        <w:spacing w:after="0" w:line="50" w:lineRule="exact"/>
        <w:rPr>
          <w:sz w:val="20"/>
          <w:szCs w:val="20"/>
          <w:color w:val="auto"/>
        </w:rPr>
      </w:pPr>
    </w:p>
    <w:p>
      <w:pPr>
        <w:ind w:left="340" w:hanging="332"/>
        <w:spacing w:after="0"/>
        <w:tabs>
          <w:tab w:leader="none" w:pos="340" w:val="left"/>
        </w:tabs>
        <w:numPr>
          <w:ilvl w:val="0"/>
          <w:numId w:val="56"/>
        </w:numPr>
        <w:rPr>
          <w:rFonts w:ascii="Arial" w:cs="Arial" w:eastAsia="Arial" w:hAnsi="Arial"/>
          <w:sz w:val="18"/>
          <w:szCs w:val="18"/>
          <w:color w:val="4D4D4F"/>
        </w:rPr>
      </w:pPr>
      <w:r>
        <w:rPr>
          <w:rFonts w:ascii="Arial" w:cs="Arial" w:eastAsia="Arial" w:hAnsi="Arial"/>
          <w:sz w:val="18"/>
          <w:szCs w:val="18"/>
          <w:color w:val="4D4D4F"/>
        </w:rPr>
        <w:t>base salary;</w:t>
      </w:r>
    </w:p>
    <w:p>
      <w:pPr>
        <w:spacing w:after="0" w:line="90" w:lineRule="exact"/>
        <w:rPr>
          <w:rFonts w:ascii="Arial" w:cs="Arial" w:eastAsia="Arial" w:hAnsi="Arial"/>
          <w:sz w:val="18"/>
          <w:szCs w:val="18"/>
          <w:color w:val="4D4D4F"/>
        </w:rPr>
      </w:pPr>
    </w:p>
    <w:p>
      <w:pPr>
        <w:ind w:left="340" w:hanging="332"/>
        <w:spacing w:after="0"/>
        <w:tabs>
          <w:tab w:leader="none" w:pos="340" w:val="left"/>
        </w:tabs>
        <w:numPr>
          <w:ilvl w:val="0"/>
          <w:numId w:val="56"/>
        </w:numPr>
        <w:rPr>
          <w:rFonts w:ascii="Arial" w:cs="Arial" w:eastAsia="Arial" w:hAnsi="Arial"/>
          <w:sz w:val="18"/>
          <w:szCs w:val="18"/>
          <w:color w:val="4D4D4F"/>
        </w:rPr>
      </w:pPr>
      <w:r>
        <w:rPr>
          <w:rFonts w:ascii="Arial" w:cs="Arial" w:eastAsia="Arial" w:hAnsi="Arial"/>
          <w:sz w:val="18"/>
          <w:szCs w:val="18"/>
          <w:color w:val="4D4D4F"/>
        </w:rPr>
        <w:t>discretionary-based cash bonuses;</w:t>
      </w:r>
    </w:p>
    <w:p>
      <w:pPr>
        <w:spacing w:after="0" w:line="76" w:lineRule="exact"/>
        <w:rPr>
          <w:rFonts w:ascii="Arial" w:cs="Arial" w:eastAsia="Arial" w:hAnsi="Arial"/>
          <w:sz w:val="18"/>
          <w:szCs w:val="18"/>
          <w:color w:val="4D4D4F"/>
        </w:rPr>
      </w:pPr>
    </w:p>
    <w:p>
      <w:pPr>
        <w:ind w:left="340" w:hanging="332"/>
        <w:spacing w:after="0"/>
        <w:tabs>
          <w:tab w:leader="none" w:pos="340" w:val="left"/>
        </w:tabs>
        <w:numPr>
          <w:ilvl w:val="0"/>
          <w:numId w:val="56"/>
        </w:numPr>
        <w:rPr>
          <w:rFonts w:ascii="Arial" w:cs="Arial" w:eastAsia="Arial" w:hAnsi="Arial"/>
          <w:sz w:val="18"/>
          <w:szCs w:val="18"/>
          <w:color w:val="4D4D4F"/>
        </w:rPr>
      </w:pPr>
      <w:r>
        <w:rPr>
          <w:rFonts w:ascii="Arial" w:cs="Arial" w:eastAsia="Arial" w:hAnsi="Arial"/>
          <w:sz w:val="18"/>
          <w:szCs w:val="18"/>
          <w:color w:val="4D4D4F"/>
        </w:rPr>
        <w:t>long-term incentive compensation in the form of stock options; and</w:t>
      </w:r>
    </w:p>
    <w:p>
      <w:pPr>
        <w:spacing w:after="0" w:line="90" w:lineRule="exact"/>
        <w:rPr>
          <w:rFonts w:ascii="Arial" w:cs="Arial" w:eastAsia="Arial" w:hAnsi="Arial"/>
          <w:sz w:val="18"/>
          <w:szCs w:val="18"/>
          <w:color w:val="4D4D4F"/>
        </w:rPr>
      </w:pPr>
    </w:p>
    <w:p>
      <w:pPr>
        <w:ind w:left="340" w:hanging="332"/>
        <w:spacing w:after="0"/>
        <w:tabs>
          <w:tab w:leader="none" w:pos="340" w:val="left"/>
        </w:tabs>
        <w:numPr>
          <w:ilvl w:val="0"/>
          <w:numId w:val="56"/>
        </w:numPr>
        <w:rPr>
          <w:rFonts w:ascii="Arial" w:cs="Arial" w:eastAsia="Arial" w:hAnsi="Arial"/>
          <w:sz w:val="18"/>
          <w:szCs w:val="18"/>
          <w:color w:val="4D4D4F"/>
        </w:rPr>
      </w:pPr>
      <w:r>
        <w:rPr>
          <w:rFonts w:ascii="Arial" w:cs="Arial" w:eastAsia="Arial" w:hAnsi="Arial"/>
          <w:sz w:val="18"/>
          <w:szCs w:val="18"/>
          <w:color w:val="4D4D4F"/>
        </w:rPr>
        <w:t>benefits consisting principally of housing subsidies.</w:t>
      </w:r>
    </w:p>
    <w:p>
      <w:pPr>
        <w:spacing w:after="0" w:line="9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4D4D4F"/>
        </w:rPr>
        <w:t>Annual base salaries of our NEOs in 2020 were as follows: David Wang, $294,054; Mark McKechnie, $243,906; Jian Wang, $162,492; Lisa Feng, $169,172; and Fuping Chen, $103,871.</w:t>
      </w:r>
    </w:p>
    <w:p>
      <w:pPr>
        <w:spacing w:after="0" w:line="15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4D4D4F"/>
        </w:rPr>
        <w:t>We enter into employment agreements with our employees located principally in the PRC, including each of our NEOs, other than U.S.-based Mark McKechnie, that contain an employment term and other statutorily required terms and conditions, but do not include compensatory terms. In addition, ACM Shanghai was a party to an employment agreement with Lisa Feng that was entered into as of January 8, 2018 and extended through January 7, 2021. This agreement contained provisions with respect to base salary, annual bonus eligibility and certain severance payments.</w:t>
      </w:r>
    </w:p>
    <w:p>
      <w:pPr>
        <w:spacing w:after="0" w:line="162" w:lineRule="exact"/>
        <w:rPr>
          <w:sz w:val="20"/>
          <w:szCs w:val="20"/>
          <w:color w:val="auto"/>
        </w:rPr>
      </w:pPr>
    </w:p>
    <w:p>
      <w:pPr>
        <w:jc w:val="both"/>
        <w:spacing w:after="0"/>
        <w:rPr>
          <w:sz w:val="20"/>
          <w:szCs w:val="20"/>
          <w:color w:val="auto"/>
        </w:rPr>
      </w:pPr>
      <w:r>
        <w:rPr>
          <w:rFonts w:ascii="Arial" w:cs="Arial" w:eastAsia="Arial" w:hAnsi="Arial"/>
          <w:sz w:val="18"/>
          <w:szCs w:val="18"/>
          <w:color w:val="4D4D4F"/>
        </w:rPr>
        <w:t>We do not have an established bonus policy for our NEOs. The compensation committee may decide, in its sole discretion, to reward NEOs with annual cash bonuses based on the achievement of individual NEO performance, our business performance (including revenues and profits, without specified targets), and development generally.</w:t>
      </w:r>
    </w:p>
    <w:p>
      <w:pPr>
        <w:spacing w:after="0" w:line="17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4D4D4F"/>
        </w:rPr>
        <w:t>Historically, we have not typically granted stock options to NEOs on an annual basis. From time to time, however, we grant stock options, when appropriate, as the long-term incentive component of our compensation program. Our stock options allow our employees to purchase covered shares at a price equal to the fair market value on the date of grant. In some cases, we attach performance criteria to the vesting of the stock options. For 2020, the compensation committee approved option grants as discussed on page 33.</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8" w:name="page39"/>
    <w:bookmarkEnd w:id="38"/>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b w:val="1"/>
          <w:bCs w:val="1"/>
          <w:color w:val="0079C0"/>
        </w:rPr>
        <w:t>Grants of Plan-Based Awards</w:t>
      </w:r>
    </w:p>
    <w:p>
      <w:pPr>
        <w:spacing w:after="0" w:line="26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4D4D4F"/>
        </w:rPr>
        <w:t>The following table sets forth each grant of equity award made to the NEOs during the year ended December 31, 2020. All such equity awards were granted under our 2016 Omnibus Incentive Plan and vest over a three-year period commencing on the first anniversary of the grant date, except for performance-based equity awards which vest as described below in the footnotes to the Grant of Plan-Based Awards table.</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60" w:type="dxa"/>
            <w:vAlign w:val="bottom"/>
            <w:shd w:val="clear" w:color="auto" w:fill="003E64"/>
          </w:tcPr>
          <w:p>
            <w:pPr>
              <w:spacing w:after="0"/>
              <w:rPr>
                <w:sz w:val="14"/>
                <w:szCs w:val="14"/>
                <w:color w:val="auto"/>
              </w:rPr>
            </w:pPr>
          </w:p>
        </w:tc>
        <w:tc>
          <w:tcPr>
            <w:tcW w:w="1720" w:type="dxa"/>
            <w:vAlign w:val="bottom"/>
            <w:shd w:val="clear" w:color="auto" w:fill="003E64"/>
          </w:tcPr>
          <w:p>
            <w:pPr>
              <w:spacing w:after="0"/>
              <w:rPr>
                <w:sz w:val="14"/>
                <w:szCs w:val="14"/>
                <w:color w:val="auto"/>
              </w:rPr>
            </w:pPr>
          </w:p>
        </w:tc>
        <w:tc>
          <w:tcPr>
            <w:tcW w:w="1000" w:type="dxa"/>
            <w:vAlign w:val="bottom"/>
            <w:shd w:val="clear" w:color="auto" w:fill="003E64"/>
          </w:tcPr>
          <w:p>
            <w:pPr>
              <w:spacing w:after="0"/>
              <w:rPr>
                <w:sz w:val="14"/>
                <w:szCs w:val="14"/>
                <w:color w:val="auto"/>
              </w:rPr>
            </w:pPr>
          </w:p>
        </w:tc>
        <w:tc>
          <w:tcPr>
            <w:tcW w:w="940" w:type="dxa"/>
            <w:vAlign w:val="bottom"/>
            <w:shd w:val="clear" w:color="auto" w:fill="003E64"/>
          </w:tcPr>
          <w:p>
            <w:pPr>
              <w:spacing w:after="0"/>
              <w:rPr>
                <w:sz w:val="14"/>
                <w:szCs w:val="14"/>
                <w:color w:val="auto"/>
              </w:rPr>
            </w:pPr>
          </w:p>
        </w:tc>
        <w:tc>
          <w:tcPr>
            <w:tcW w:w="1300" w:type="dxa"/>
            <w:vAlign w:val="bottom"/>
            <w:shd w:val="clear" w:color="auto" w:fill="003E64"/>
          </w:tcPr>
          <w:p>
            <w:pPr>
              <w:spacing w:after="0"/>
              <w:rPr>
                <w:sz w:val="14"/>
                <w:szCs w:val="14"/>
                <w:color w:val="auto"/>
              </w:rPr>
            </w:pPr>
          </w:p>
        </w:tc>
        <w:tc>
          <w:tcPr>
            <w:tcW w:w="1740" w:type="dxa"/>
            <w:vAlign w:val="bottom"/>
            <w:shd w:val="clear" w:color="auto" w:fill="003E64"/>
          </w:tcPr>
          <w:p>
            <w:pPr>
              <w:jc w:val="center"/>
              <w:spacing w:after="0"/>
              <w:rPr>
                <w:sz w:val="20"/>
                <w:szCs w:val="20"/>
                <w:color w:val="auto"/>
              </w:rPr>
            </w:pPr>
            <w:r>
              <w:rPr>
                <w:rFonts w:ascii="Arial" w:cs="Arial" w:eastAsia="Arial" w:hAnsi="Arial"/>
                <w:sz w:val="14"/>
                <w:szCs w:val="14"/>
                <w:b w:val="1"/>
                <w:bCs w:val="1"/>
                <w:color w:val="FFFFFF"/>
              </w:rPr>
              <w:t>All Other Option</w:t>
            </w:r>
          </w:p>
        </w:tc>
        <w:tc>
          <w:tcPr>
            <w:tcW w:w="1380" w:type="dxa"/>
            <w:vAlign w:val="bottom"/>
            <w:shd w:val="clear" w:color="auto" w:fill="003E64"/>
          </w:tcPr>
          <w:p>
            <w:pPr>
              <w:jc w:val="center"/>
              <w:ind w:left="88"/>
              <w:spacing w:after="0"/>
              <w:rPr>
                <w:sz w:val="20"/>
                <w:szCs w:val="20"/>
                <w:color w:val="auto"/>
              </w:rPr>
            </w:pPr>
            <w:r>
              <w:rPr>
                <w:rFonts w:ascii="Arial" w:cs="Arial" w:eastAsia="Arial" w:hAnsi="Arial"/>
                <w:sz w:val="14"/>
                <w:szCs w:val="14"/>
                <w:b w:val="1"/>
                <w:bCs w:val="1"/>
                <w:color w:val="FFFFFF"/>
              </w:rPr>
              <w:t>Exercise or</w:t>
            </w:r>
          </w:p>
        </w:tc>
        <w:tc>
          <w:tcPr>
            <w:tcW w:w="1600" w:type="dxa"/>
            <w:vAlign w:val="bottom"/>
            <w:shd w:val="clear" w:color="auto" w:fill="003E64"/>
          </w:tcPr>
          <w:p>
            <w:pPr>
              <w:spacing w:after="0"/>
              <w:rPr>
                <w:sz w:val="14"/>
                <w:szCs w:val="14"/>
                <w:color w:val="auto"/>
              </w:rPr>
            </w:pPr>
          </w:p>
        </w:tc>
      </w:tr>
      <w:tr>
        <w:trPr>
          <w:trHeight w:val="162"/>
        </w:trPr>
        <w:tc>
          <w:tcPr>
            <w:tcW w:w="1560" w:type="dxa"/>
            <w:vAlign w:val="bottom"/>
            <w:shd w:val="clear" w:color="auto" w:fill="003E64"/>
          </w:tcPr>
          <w:p>
            <w:pPr>
              <w:spacing w:after="0"/>
              <w:rPr>
                <w:sz w:val="14"/>
                <w:szCs w:val="14"/>
                <w:color w:val="auto"/>
              </w:rPr>
            </w:pPr>
          </w:p>
        </w:tc>
        <w:tc>
          <w:tcPr>
            <w:tcW w:w="1720" w:type="dxa"/>
            <w:vAlign w:val="bottom"/>
            <w:shd w:val="clear" w:color="auto" w:fill="003E64"/>
          </w:tcPr>
          <w:p>
            <w:pPr>
              <w:spacing w:after="0"/>
              <w:rPr>
                <w:sz w:val="14"/>
                <w:szCs w:val="14"/>
                <w:color w:val="auto"/>
              </w:rPr>
            </w:pPr>
          </w:p>
        </w:tc>
        <w:tc>
          <w:tcPr>
            <w:tcW w:w="3240" w:type="dxa"/>
            <w:vAlign w:val="bottom"/>
            <w:gridSpan w:val="3"/>
            <w:shd w:val="clear" w:color="auto" w:fill="003E64"/>
          </w:tcPr>
          <w:p>
            <w:pPr>
              <w:jc w:val="center"/>
              <w:ind w:right="28"/>
              <w:spacing w:after="0"/>
              <w:rPr>
                <w:sz w:val="20"/>
                <w:szCs w:val="20"/>
                <w:color w:val="auto"/>
              </w:rPr>
            </w:pPr>
            <w:r>
              <w:rPr>
                <w:rFonts w:ascii="Arial" w:cs="Arial" w:eastAsia="Arial" w:hAnsi="Arial"/>
                <w:sz w:val="14"/>
                <w:szCs w:val="14"/>
                <w:b w:val="1"/>
                <w:bCs w:val="1"/>
                <w:color w:val="FFFFFF"/>
              </w:rPr>
              <w:t>Estimated Future Payouts Under</w:t>
            </w:r>
          </w:p>
        </w:tc>
        <w:tc>
          <w:tcPr>
            <w:tcW w:w="1740" w:type="dxa"/>
            <w:vAlign w:val="bottom"/>
            <w:shd w:val="clear" w:color="auto" w:fill="003E64"/>
          </w:tcPr>
          <w:p>
            <w:pPr>
              <w:jc w:val="center"/>
              <w:spacing w:after="0"/>
              <w:rPr>
                <w:sz w:val="20"/>
                <w:szCs w:val="20"/>
                <w:color w:val="auto"/>
              </w:rPr>
            </w:pPr>
            <w:r>
              <w:rPr>
                <w:rFonts w:ascii="Arial" w:cs="Arial" w:eastAsia="Arial" w:hAnsi="Arial"/>
                <w:sz w:val="14"/>
                <w:szCs w:val="14"/>
                <w:b w:val="1"/>
                <w:bCs w:val="1"/>
                <w:color w:val="FFFFFF"/>
              </w:rPr>
              <w:t>Awards: Number</w:t>
            </w:r>
          </w:p>
        </w:tc>
        <w:tc>
          <w:tcPr>
            <w:tcW w:w="1380" w:type="dxa"/>
            <w:vAlign w:val="bottom"/>
            <w:shd w:val="clear" w:color="auto" w:fill="003E64"/>
          </w:tcPr>
          <w:p>
            <w:pPr>
              <w:jc w:val="center"/>
              <w:ind w:left="88"/>
              <w:spacing w:after="0"/>
              <w:rPr>
                <w:sz w:val="20"/>
                <w:szCs w:val="20"/>
                <w:color w:val="auto"/>
              </w:rPr>
            </w:pPr>
            <w:r>
              <w:rPr>
                <w:rFonts w:ascii="Arial" w:cs="Arial" w:eastAsia="Arial" w:hAnsi="Arial"/>
                <w:sz w:val="14"/>
                <w:szCs w:val="14"/>
                <w:b w:val="1"/>
                <w:bCs w:val="1"/>
                <w:color w:val="FFFFFF"/>
              </w:rPr>
              <w:t>Base Price of</w:t>
            </w:r>
          </w:p>
        </w:tc>
        <w:tc>
          <w:tcPr>
            <w:tcW w:w="1600" w:type="dxa"/>
            <w:vAlign w:val="bottom"/>
            <w:shd w:val="clear" w:color="auto" w:fill="003E64"/>
          </w:tcPr>
          <w:p>
            <w:pPr>
              <w:jc w:val="center"/>
              <w:spacing w:after="0"/>
              <w:rPr>
                <w:sz w:val="20"/>
                <w:szCs w:val="20"/>
                <w:color w:val="auto"/>
              </w:rPr>
            </w:pPr>
            <w:r>
              <w:rPr>
                <w:rFonts w:ascii="Arial" w:cs="Arial" w:eastAsia="Arial" w:hAnsi="Arial"/>
                <w:sz w:val="14"/>
                <w:szCs w:val="14"/>
                <w:b w:val="1"/>
                <w:bCs w:val="1"/>
                <w:color w:val="FFFFFF"/>
              </w:rPr>
              <w:t>Grant Date Fair</w:t>
            </w:r>
          </w:p>
        </w:tc>
      </w:tr>
      <w:tr>
        <w:trPr>
          <w:trHeight w:val="189"/>
        </w:trPr>
        <w:tc>
          <w:tcPr>
            <w:tcW w:w="1560" w:type="dxa"/>
            <w:vAlign w:val="bottom"/>
            <w:shd w:val="clear" w:color="auto" w:fill="003E64"/>
          </w:tcPr>
          <w:p>
            <w:pPr>
              <w:spacing w:after="0"/>
              <w:rPr>
                <w:sz w:val="16"/>
                <w:szCs w:val="16"/>
                <w:color w:val="auto"/>
              </w:rPr>
            </w:pPr>
          </w:p>
        </w:tc>
        <w:tc>
          <w:tcPr>
            <w:tcW w:w="1720" w:type="dxa"/>
            <w:vAlign w:val="bottom"/>
            <w:shd w:val="clear" w:color="auto" w:fill="003E64"/>
          </w:tcPr>
          <w:p>
            <w:pPr>
              <w:spacing w:after="0"/>
              <w:rPr>
                <w:sz w:val="16"/>
                <w:szCs w:val="16"/>
                <w:color w:val="auto"/>
              </w:rPr>
            </w:pPr>
          </w:p>
        </w:tc>
        <w:tc>
          <w:tcPr>
            <w:tcW w:w="3240" w:type="dxa"/>
            <w:vAlign w:val="bottom"/>
            <w:gridSpan w:val="3"/>
            <w:shd w:val="clear" w:color="auto" w:fill="003E64"/>
          </w:tcPr>
          <w:p>
            <w:pPr>
              <w:jc w:val="center"/>
              <w:ind w:right="48"/>
              <w:spacing w:after="0"/>
              <w:rPr>
                <w:sz w:val="20"/>
                <w:szCs w:val="20"/>
                <w:color w:val="auto"/>
              </w:rPr>
            </w:pPr>
            <w:r>
              <w:rPr>
                <w:rFonts w:ascii="Arial" w:cs="Arial" w:eastAsia="Arial" w:hAnsi="Arial"/>
                <w:sz w:val="14"/>
                <w:szCs w:val="14"/>
                <w:b w:val="1"/>
                <w:bCs w:val="1"/>
                <w:color w:val="FFFFFF"/>
              </w:rPr>
              <w:t>Equity Incentive Plan Awards</w:t>
            </w:r>
          </w:p>
        </w:tc>
        <w:tc>
          <w:tcPr>
            <w:tcW w:w="1740" w:type="dxa"/>
            <w:vAlign w:val="bottom"/>
            <w:shd w:val="clear" w:color="auto" w:fill="003E64"/>
          </w:tcPr>
          <w:p>
            <w:pPr>
              <w:jc w:val="center"/>
              <w:spacing w:after="0"/>
              <w:rPr>
                <w:sz w:val="20"/>
                <w:szCs w:val="20"/>
                <w:color w:val="auto"/>
              </w:rPr>
            </w:pPr>
            <w:r>
              <w:rPr>
                <w:rFonts w:ascii="Arial" w:cs="Arial" w:eastAsia="Arial" w:hAnsi="Arial"/>
                <w:sz w:val="14"/>
                <w:szCs w:val="14"/>
                <w:b w:val="1"/>
                <w:bCs w:val="1"/>
                <w:color w:val="FFFFFF"/>
              </w:rPr>
              <w:t>of Securities</w:t>
            </w:r>
          </w:p>
        </w:tc>
        <w:tc>
          <w:tcPr>
            <w:tcW w:w="1380" w:type="dxa"/>
            <w:vAlign w:val="bottom"/>
            <w:shd w:val="clear" w:color="auto" w:fill="003E64"/>
          </w:tcPr>
          <w:p>
            <w:pPr>
              <w:jc w:val="center"/>
              <w:ind w:left="88"/>
              <w:spacing w:after="0"/>
              <w:rPr>
                <w:sz w:val="20"/>
                <w:szCs w:val="20"/>
                <w:color w:val="auto"/>
              </w:rPr>
            </w:pPr>
            <w:r>
              <w:rPr>
                <w:rFonts w:ascii="Arial" w:cs="Arial" w:eastAsia="Arial" w:hAnsi="Arial"/>
                <w:sz w:val="14"/>
                <w:szCs w:val="14"/>
                <w:b w:val="1"/>
                <w:bCs w:val="1"/>
                <w:color w:val="FFFFFF"/>
              </w:rPr>
              <w:t>Option</w:t>
            </w:r>
          </w:p>
        </w:tc>
        <w:tc>
          <w:tcPr>
            <w:tcW w:w="1600" w:type="dxa"/>
            <w:vAlign w:val="bottom"/>
            <w:shd w:val="clear" w:color="auto" w:fill="003E64"/>
          </w:tcPr>
          <w:p>
            <w:pPr>
              <w:jc w:val="center"/>
              <w:spacing w:after="0"/>
              <w:rPr>
                <w:sz w:val="20"/>
                <w:szCs w:val="20"/>
                <w:color w:val="auto"/>
              </w:rPr>
            </w:pPr>
            <w:r>
              <w:rPr>
                <w:rFonts w:ascii="Arial" w:cs="Arial" w:eastAsia="Arial" w:hAnsi="Arial"/>
                <w:sz w:val="14"/>
                <w:szCs w:val="14"/>
                <w:b w:val="1"/>
                <w:bCs w:val="1"/>
                <w:color w:val="FFFFFF"/>
              </w:rPr>
              <w:t>Value of Stock and</w:t>
            </w:r>
          </w:p>
        </w:tc>
      </w:tr>
      <w:tr>
        <w:trPr>
          <w:trHeight w:val="162"/>
        </w:trPr>
        <w:tc>
          <w:tcPr>
            <w:tcW w:w="1560" w:type="dxa"/>
            <w:vAlign w:val="bottom"/>
            <w:shd w:val="clear" w:color="auto" w:fill="003E64"/>
          </w:tcPr>
          <w:p>
            <w:pPr>
              <w:spacing w:after="0"/>
              <w:rPr>
                <w:sz w:val="14"/>
                <w:szCs w:val="14"/>
                <w:color w:val="auto"/>
              </w:rPr>
            </w:pPr>
          </w:p>
        </w:tc>
        <w:tc>
          <w:tcPr>
            <w:tcW w:w="1720" w:type="dxa"/>
            <w:vAlign w:val="bottom"/>
            <w:shd w:val="clear" w:color="auto" w:fill="003E64"/>
          </w:tcPr>
          <w:p>
            <w:pPr>
              <w:spacing w:after="0"/>
              <w:rPr>
                <w:sz w:val="14"/>
                <w:szCs w:val="14"/>
                <w:color w:val="auto"/>
              </w:rPr>
            </w:pPr>
          </w:p>
        </w:tc>
        <w:tc>
          <w:tcPr>
            <w:tcW w:w="1000" w:type="dxa"/>
            <w:vAlign w:val="bottom"/>
            <w:shd w:val="clear" w:color="auto" w:fill="003E64"/>
          </w:tcPr>
          <w:p>
            <w:pPr>
              <w:ind w:left="160"/>
              <w:spacing w:after="0"/>
              <w:rPr>
                <w:sz w:val="20"/>
                <w:szCs w:val="20"/>
                <w:color w:val="auto"/>
              </w:rPr>
            </w:pPr>
            <w:r>
              <w:rPr>
                <w:rFonts w:ascii="Arial" w:cs="Arial" w:eastAsia="Arial" w:hAnsi="Arial"/>
                <w:sz w:val="14"/>
                <w:szCs w:val="14"/>
                <w:b w:val="1"/>
                <w:bCs w:val="1"/>
                <w:color w:val="FFFFFF"/>
              </w:rPr>
              <w:t>Threshold</w:t>
            </w:r>
          </w:p>
        </w:tc>
        <w:tc>
          <w:tcPr>
            <w:tcW w:w="940" w:type="dxa"/>
            <w:vAlign w:val="bottom"/>
            <w:shd w:val="clear" w:color="auto" w:fill="003E64"/>
          </w:tcPr>
          <w:p>
            <w:pPr>
              <w:spacing w:after="0"/>
              <w:rPr>
                <w:sz w:val="14"/>
                <w:szCs w:val="14"/>
                <w:color w:val="auto"/>
              </w:rPr>
            </w:pPr>
          </w:p>
        </w:tc>
        <w:tc>
          <w:tcPr>
            <w:tcW w:w="1300" w:type="dxa"/>
            <w:vAlign w:val="bottom"/>
            <w:shd w:val="clear" w:color="auto" w:fill="003E64"/>
          </w:tcPr>
          <w:p>
            <w:pPr>
              <w:spacing w:after="0"/>
              <w:rPr>
                <w:sz w:val="14"/>
                <w:szCs w:val="14"/>
                <w:color w:val="auto"/>
              </w:rPr>
            </w:pPr>
          </w:p>
        </w:tc>
        <w:tc>
          <w:tcPr>
            <w:tcW w:w="1740" w:type="dxa"/>
            <w:vAlign w:val="bottom"/>
            <w:shd w:val="clear" w:color="auto" w:fill="003E64"/>
          </w:tcPr>
          <w:p>
            <w:pPr>
              <w:jc w:val="center"/>
              <w:spacing w:after="0"/>
              <w:rPr>
                <w:sz w:val="20"/>
                <w:szCs w:val="20"/>
                <w:color w:val="auto"/>
              </w:rPr>
            </w:pPr>
            <w:r>
              <w:rPr>
                <w:rFonts w:ascii="Arial" w:cs="Arial" w:eastAsia="Arial" w:hAnsi="Arial"/>
                <w:sz w:val="14"/>
                <w:szCs w:val="14"/>
                <w:b w:val="1"/>
                <w:bCs w:val="1"/>
                <w:color w:val="FFFFFF"/>
              </w:rPr>
              <w:t>Underlying</w:t>
            </w:r>
          </w:p>
        </w:tc>
        <w:tc>
          <w:tcPr>
            <w:tcW w:w="1380" w:type="dxa"/>
            <w:vAlign w:val="bottom"/>
            <w:shd w:val="clear" w:color="auto" w:fill="003E64"/>
          </w:tcPr>
          <w:p>
            <w:pPr>
              <w:jc w:val="center"/>
              <w:ind w:left="108"/>
              <w:spacing w:after="0"/>
              <w:rPr>
                <w:sz w:val="20"/>
                <w:szCs w:val="20"/>
                <w:color w:val="auto"/>
              </w:rPr>
            </w:pPr>
            <w:r>
              <w:rPr>
                <w:rFonts w:ascii="Arial" w:cs="Arial" w:eastAsia="Arial" w:hAnsi="Arial"/>
                <w:sz w:val="14"/>
                <w:szCs w:val="14"/>
                <w:b w:val="1"/>
                <w:bCs w:val="1"/>
                <w:color w:val="FFFFFF"/>
              </w:rPr>
              <w:t>Awards</w:t>
            </w:r>
          </w:p>
        </w:tc>
        <w:tc>
          <w:tcPr>
            <w:tcW w:w="1600" w:type="dxa"/>
            <w:vAlign w:val="bottom"/>
            <w:shd w:val="clear" w:color="auto" w:fill="003E64"/>
          </w:tcPr>
          <w:p>
            <w:pPr>
              <w:jc w:val="center"/>
              <w:spacing w:after="0"/>
              <w:rPr>
                <w:sz w:val="20"/>
                <w:szCs w:val="20"/>
                <w:color w:val="auto"/>
              </w:rPr>
            </w:pPr>
            <w:r>
              <w:rPr>
                <w:rFonts w:ascii="Arial" w:cs="Arial" w:eastAsia="Arial" w:hAnsi="Arial"/>
                <w:sz w:val="14"/>
                <w:szCs w:val="14"/>
                <w:b w:val="1"/>
                <w:bCs w:val="1"/>
                <w:color w:val="FFFFFF"/>
              </w:rPr>
              <w:t>Option</w:t>
            </w:r>
          </w:p>
        </w:tc>
      </w:tr>
      <w:tr>
        <w:trPr>
          <w:trHeight w:val="175"/>
        </w:trPr>
        <w:tc>
          <w:tcPr>
            <w:tcW w:w="1560" w:type="dxa"/>
            <w:vAlign w:val="bottom"/>
            <w:shd w:val="clear" w:color="auto" w:fill="003E64"/>
          </w:tcPr>
          <w:p>
            <w:pPr>
              <w:spacing w:after="0"/>
              <w:rPr>
                <w:sz w:val="20"/>
                <w:szCs w:val="20"/>
                <w:color w:val="auto"/>
              </w:rPr>
            </w:pPr>
            <w:r>
              <w:rPr>
                <w:rFonts w:ascii="Arial" w:cs="Arial" w:eastAsia="Arial" w:hAnsi="Arial"/>
                <w:sz w:val="14"/>
                <w:szCs w:val="14"/>
                <w:b w:val="1"/>
                <w:bCs w:val="1"/>
                <w:color w:val="FFFFFF"/>
              </w:rPr>
              <w:t>Name</w:t>
            </w:r>
          </w:p>
        </w:tc>
        <w:tc>
          <w:tcPr>
            <w:tcW w:w="1720" w:type="dxa"/>
            <w:vAlign w:val="bottom"/>
            <w:shd w:val="clear" w:color="auto" w:fill="003E64"/>
          </w:tcPr>
          <w:p>
            <w:pPr>
              <w:jc w:val="center"/>
              <w:spacing w:after="0"/>
              <w:rPr>
                <w:sz w:val="20"/>
                <w:szCs w:val="20"/>
                <w:color w:val="auto"/>
              </w:rPr>
            </w:pPr>
            <w:r>
              <w:rPr>
                <w:rFonts w:ascii="Arial" w:cs="Arial" w:eastAsia="Arial" w:hAnsi="Arial"/>
                <w:sz w:val="14"/>
                <w:szCs w:val="14"/>
                <w:b w:val="1"/>
                <w:bCs w:val="1"/>
                <w:color w:val="FFFFFF"/>
              </w:rPr>
              <w:t>Grant Date</w:t>
            </w:r>
          </w:p>
        </w:tc>
        <w:tc>
          <w:tcPr>
            <w:tcW w:w="1000" w:type="dxa"/>
            <w:vAlign w:val="bottom"/>
            <w:shd w:val="clear" w:color="auto" w:fill="003E64"/>
          </w:tcPr>
          <w:p>
            <w:pPr>
              <w:jc w:val="center"/>
              <w:spacing w:after="0"/>
              <w:rPr>
                <w:sz w:val="20"/>
                <w:szCs w:val="20"/>
                <w:color w:val="auto"/>
              </w:rPr>
            </w:pPr>
            <w:r>
              <w:rPr>
                <w:rFonts w:ascii="Arial" w:cs="Arial" w:eastAsia="Arial" w:hAnsi="Arial"/>
                <w:sz w:val="14"/>
                <w:szCs w:val="14"/>
                <w:b w:val="1"/>
                <w:bCs w:val="1"/>
                <w:color w:val="FFFFFF"/>
                <w:w w:val="93"/>
              </w:rPr>
              <w:t>(#)</w:t>
            </w:r>
          </w:p>
        </w:tc>
        <w:tc>
          <w:tcPr>
            <w:tcW w:w="940" w:type="dxa"/>
            <w:vAlign w:val="bottom"/>
            <w:shd w:val="clear" w:color="auto" w:fill="003E64"/>
          </w:tcPr>
          <w:p>
            <w:pPr>
              <w:ind w:left="140"/>
              <w:spacing w:after="0"/>
              <w:rPr>
                <w:sz w:val="20"/>
                <w:szCs w:val="20"/>
                <w:color w:val="auto"/>
              </w:rPr>
            </w:pPr>
            <w:r>
              <w:rPr>
                <w:rFonts w:ascii="Arial" w:cs="Arial" w:eastAsia="Arial" w:hAnsi="Arial"/>
                <w:sz w:val="14"/>
                <w:szCs w:val="14"/>
                <w:b w:val="1"/>
                <w:bCs w:val="1"/>
                <w:color w:val="FFFFFF"/>
              </w:rPr>
              <w:t>Target (#)</w:t>
            </w:r>
          </w:p>
        </w:tc>
        <w:tc>
          <w:tcPr>
            <w:tcW w:w="1300" w:type="dxa"/>
            <w:vAlign w:val="bottom"/>
            <w:shd w:val="clear" w:color="auto" w:fill="003E64"/>
          </w:tcPr>
          <w:p>
            <w:pPr>
              <w:ind w:left="140"/>
              <w:spacing w:after="0"/>
              <w:rPr>
                <w:sz w:val="20"/>
                <w:szCs w:val="20"/>
                <w:color w:val="auto"/>
              </w:rPr>
            </w:pPr>
            <w:r>
              <w:rPr>
                <w:rFonts w:ascii="Arial" w:cs="Arial" w:eastAsia="Arial" w:hAnsi="Arial"/>
                <w:sz w:val="14"/>
                <w:szCs w:val="14"/>
                <w:b w:val="1"/>
                <w:bCs w:val="1"/>
                <w:color w:val="FFFFFF"/>
              </w:rPr>
              <w:t>Maximum (#)</w:t>
            </w:r>
          </w:p>
        </w:tc>
        <w:tc>
          <w:tcPr>
            <w:tcW w:w="1740" w:type="dxa"/>
            <w:vAlign w:val="bottom"/>
            <w:shd w:val="clear" w:color="auto" w:fill="003E64"/>
          </w:tcPr>
          <w:p>
            <w:pPr>
              <w:jc w:val="center"/>
              <w:spacing w:after="0"/>
              <w:rPr>
                <w:sz w:val="20"/>
                <w:szCs w:val="20"/>
                <w:color w:val="auto"/>
              </w:rPr>
            </w:pPr>
            <w:r>
              <w:rPr>
                <w:rFonts w:ascii="Arial" w:cs="Arial" w:eastAsia="Arial" w:hAnsi="Arial"/>
                <w:sz w:val="14"/>
                <w:szCs w:val="14"/>
                <w:b w:val="1"/>
                <w:bCs w:val="1"/>
                <w:color w:val="FFFFFF"/>
              </w:rPr>
              <w:t>Options (#)</w:t>
            </w:r>
          </w:p>
        </w:tc>
        <w:tc>
          <w:tcPr>
            <w:tcW w:w="1380" w:type="dxa"/>
            <w:vAlign w:val="bottom"/>
            <w:shd w:val="clear" w:color="auto" w:fill="003E64"/>
          </w:tcPr>
          <w:p>
            <w:pPr>
              <w:jc w:val="center"/>
              <w:ind w:left="88"/>
              <w:spacing w:after="0"/>
              <w:rPr>
                <w:sz w:val="20"/>
                <w:szCs w:val="20"/>
                <w:color w:val="auto"/>
              </w:rPr>
            </w:pPr>
            <w:r>
              <w:rPr>
                <w:rFonts w:ascii="Arial" w:cs="Arial" w:eastAsia="Arial" w:hAnsi="Arial"/>
                <w:sz w:val="14"/>
                <w:szCs w:val="14"/>
                <w:b w:val="1"/>
                <w:bCs w:val="1"/>
                <w:color w:val="FFFFFF"/>
              </w:rPr>
              <w:t>($/Sh) (1)</w:t>
            </w:r>
          </w:p>
        </w:tc>
        <w:tc>
          <w:tcPr>
            <w:tcW w:w="1600" w:type="dxa"/>
            <w:vAlign w:val="bottom"/>
            <w:shd w:val="clear" w:color="auto" w:fill="003E64"/>
          </w:tcPr>
          <w:p>
            <w:pPr>
              <w:jc w:val="center"/>
              <w:spacing w:after="0"/>
              <w:rPr>
                <w:sz w:val="20"/>
                <w:szCs w:val="20"/>
                <w:color w:val="auto"/>
              </w:rPr>
            </w:pPr>
            <w:r>
              <w:rPr>
                <w:rFonts w:ascii="Arial" w:cs="Arial" w:eastAsia="Arial" w:hAnsi="Arial"/>
                <w:sz w:val="14"/>
                <w:szCs w:val="14"/>
                <w:b w:val="1"/>
                <w:bCs w:val="1"/>
                <w:color w:val="FFFFFF"/>
              </w:rPr>
              <w:t>Awards(2)</w:t>
            </w:r>
          </w:p>
        </w:tc>
      </w:tr>
      <w:tr>
        <w:trPr>
          <w:trHeight w:val="194"/>
        </w:trPr>
        <w:tc>
          <w:tcPr>
            <w:tcW w:w="1560" w:type="dxa"/>
            <w:vAlign w:val="bottom"/>
          </w:tcPr>
          <w:p>
            <w:pPr>
              <w:spacing w:after="0"/>
              <w:rPr>
                <w:sz w:val="20"/>
                <w:szCs w:val="20"/>
                <w:color w:val="auto"/>
              </w:rPr>
            </w:pPr>
            <w:r>
              <w:rPr>
                <w:rFonts w:ascii="Arial" w:cs="Arial" w:eastAsia="Arial" w:hAnsi="Arial"/>
                <w:sz w:val="14"/>
                <w:szCs w:val="14"/>
                <w:color w:val="4D4D4F"/>
              </w:rPr>
              <w:t>David H. Wang</w:t>
            </w:r>
          </w:p>
        </w:tc>
        <w:tc>
          <w:tcPr>
            <w:tcW w:w="1720" w:type="dxa"/>
            <w:vAlign w:val="bottom"/>
          </w:tcPr>
          <w:p>
            <w:pPr>
              <w:jc w:val="center"/>
              <w:spacing w:after="0"/>
              <w:rPr>
                <w:sz w:val="20"/>
                <w:szCs w:val="20"/>
                <w:color w:val="auto"/>
              </w:rPr>
            </w:pPr>
            <w:r>
              <w:rPr>
                <w:rFonts w:ascii="Arial" w:cs="Arial" w:eastAsia="Arial" w:hAnsi="Arial"/>
                <w:sz w:val="14"/>
                <w:szCs w:val="14"/>
                <w:color w:val="4D4D4F"/>
              </w:rPr>
              <w:t>January 1, 2020(3)</w:t>
            </w:r>
          </w:p>
        </w:tc>
        <w:tc>
          <w:tcPr>
            <w:tcW w:w="1000" w:type="dxa"/>
            <w:vAlign w:val="bottom"/>
          </w:tcPr>
          <w:p>
            <w:pPr>
              <w:jc w:val="center"/>
              <w:spacing w:after="0"/>
              <w:rPr>
                <w:sz w:val="20"/>
                <w:szCs w:val="20"/>
                <w:color w:val="auto"/>
              </w:rPr>
            </w:pPr>
            <w:r>
              <w:rPr>
                <w:rFonts w:ascii="Arial" w:cs="Arial" w:eastAsia="Arial" w:hAnsi="Arial"/>
                <w:sz w:val="14"/>
                <w:szCs w:val="14"/>
                <w:color w:val="4D4D4F"/>
              </w:rPr>
              <w:t>161,538</w:t>
            </w:r>
          </w:p>
        </w:tc>
        <w:tc>
          <w:tcPr>
            <w:tcW w:w="940" w:type="dxa"/>
            <w:vAlign w:val="bottom"/>
          </w:tcPr>
          <w:p>
            <w:pPr>
              <w:jc w:val="center"/>
              <w:spacing w:after="0"/>
              <w:rPr>
                <w:sz w:val="20"/>
                <w:szCs w:val="20"/>
                <w:color w:val="auto"/>
              </w:rPr>
            </w:pPr>
            <w:r>
              <w:rPr>
                <w:rFonts w:ascii="Arial" w:cs="Arial" w:eastAsia="Arial" w:hAnsi="Arial"/>
                <w:sz w:val="14"/>
                <w:szCs w:val="14"/>
                <w:color w:val="4D4D4F"/>
              </w:rPr>
              <w:t>161,538</w:t>
            </w:r>
          </w:p>
        </w:tc>
        <w:tc>
          <w:tcPr>
            <w:tcW w:w="1300" w:type="dxa"/>
            <w:vAlign w:val="bottom"/>
          </w:tcPr>
          <w:p>
            <w:pPr>
              <w:jc w:val="center"/>
              <w:ind w:right="68"/>
              <w:spacing w:after="0"/>
              <w:rPr>
                <w:sz w:val="20"/>
                <w:szCs w:val="20"/>
                <w:color w:val="auto"/>
              </w:rPr>
            </w:pPr>
            <w:r>
              <w:rPr>
                <w:rFonts w:ascii="Arial" w:cs="Arial" w:eastAsia="Arial" w:hAnsi="Arial"/>
                <w:sz w:val="14"/>
                <w:szCs w:val="14"/>
                <w:color w:val="4D4D4F"/>
              </w:rPr>
              <w:t>538,462</w:t>
            </w:r>
          </w:p>
        </w:tc>
        <w:tc>
          <w:tcPr>
            <w:tcW w:w="1740" w:type="dxa"/>
            <w:vAlign w:val="bottom"/>
          </w:tcPr>
          <w:p>
            <w:pPr>
              <w:jc w:val="center"/>
              <w:spacing w:after="0"/>
              <w:rPr>
                <w:sz w:val="20"/>
                <w:szCs w:val="20"/>
                <w:color w:val="auto"/>
              </w:rPr>
            </w:pPr>
            <w:r>
              <w:rPr>
                <w:rFonts w:ascii="Arial" w:cs="Arial" w:eastAsia="Arial" w:hAnsi="Arial"/>
                <w:sz w:val="14"/>
                <w:szCs w:val="14"/>
                <w:color w:val="4D4D4F"/>
              </w:rPr>
              <w:t>—</w:t>
            </w:r>
          </w:p>
        </w:tc>
        <w:tc>
          <w:tcPr>
            <w:tcW w:w="1380" w:type="dxa"/>
            <w:vAlign w:val="bottom"/>
          </w:tcPr>
          <w:p>
            <w:pPr>
              <w:jc w:val="center"/>
              <w:ind w:left="108"/>
              <w:spacing w:after="0"/>
              <w:rPr>
                <w:sz w:val="20"/>
                <w:szCs w:val="20"/>
                <w:color w:val="auto"/>
              </w:rPr>
            </w:pPr>
            <w:r>
              <w:rPr>
                <w:rFonts w:ascii="Arial" w:cs="Arial" w:eastAsia="Arial" w:hAnsi="Arial"/>
                <w:sz w:val="14"/>
                <w:szCs w:val="14"/>
                <w:color w:val="4D4D4F"/>
              </w:rPr>
              <w:t>$1.89</w:t>
            </w:r>
          </w:p>
        </w:tc>
        <w:tc>
          <w:tcPr>
            <w:tcW w:w="1600" w:type="dxa"/>
            <w:vAlign w:val="bottom"/>
          </w:tcPr>
          <w:p>
            <w:pPr>
              <w:jc w:val="center"/>
              <w:spacing w:after="0"/>
              <w:rPr>
                <w:sz w:val="20"/>
                <w:szCs w:val="20"/>
                <w:color w:val="auto"/>
              </w:rPr>
            </w:pPr>
            <w:r>
              <w:rPr>
                <w:rFonts w:ascii="Arial" w:cs="Arial" w:eastAsia="Arial" w:hAnsi="Arial"/>
                <w:sz w:val="14"/>
                <w:szCs w:val="14"/>
                <w:color w:val="4D4D4F"/>
              </w:rPr>
              <w:t>$122,190</w:t>
            </w:r>
          </w:p>
        </w:tc>
      </w:tr>
      <w:tr>
        <w:trPr>
          <w:trHeight w:val="184"/>
        </w:trPr>
        <w:tc>
          <w:tcPr>
            <w:tcW w:w="1560" w:type="dxa"/>
            <w:vAlign w:val="bottom"/>
          </w:tcPr>
          <w:p>
            <w:pPr>
              <w:spacing w:after="0"/>
              <w:rPr>
                <w:sz w:val="16"/>
                <w:szCs w:val="16"/>
                <w:color w:val="auto"/>
              </w:rPr>
            </w:pPr>
          </w:p>
        </w:tc>
        <w:tc>
          <w:tcPr>
            <w:tcW w:w="1720" w:type="dxa"/>
            <w:vAlign w:val="bottom"/>
          </w:tcPr>
          <w:p>
            <w:pPr>
              <w:jc w:val="center"/>
              <w:spacing w:after="0"/>
              <w:rPr>
                <w:sz w:val="20"/>
                <w:szCs w:val="20"/>
                <w:color w:val="auto"/>
              </w:rPr>
            </w:pPr>
            <w:r>
              <w:rPr>
                <w:rFonts w:ascii="Arial" w:cs="Arial" w:eastAsia="Arial" w:hAnsi="Arial"/>
                <w:sz w:val="14"/>
                <w:szCs w:val="14"/>
                <w:color w:val="4D4D4F"/>
              </w:rPr>
              <w:t>March 20, 2020(4)(5)</w:t>
            </w:r>
          </w:p>
        </w:tc>
        <w:tc>
          <w:tcPr>
            <w:tcW w:w="1000" w:type="dxa"/>
            <w:vAlign w:val="bottom"/>
          </w:tcPr>
          <w:p>
            <w:pPr>
              <w:jc w:val="center"/>
              <w:spacing w:after="0"/>
              <w:rPr>
                <w:sz w:val="20"/>
                <w:szCs w:val="20"/>
                <w:color w:val="auto"/>
              </w:rPr>
            </w:pPr>
            <w:r>
              <w:rPr>
                <w:rFonts w:ascii="Arial" w:cs="Arial" w:eastAsia="Arial" w:hAnsi="Arial"/>
                <w:sz w:val="14"/>
                <w:szCs w:val="14"/>
                <w:color w:val="4D4D4F"/>
              </w:rPr>
              <w:t>181,799</w:t>
            </w:r>
          </w:p>
        </w:tc>
        <w:tc>
          <w:tcPr>
            <w:tcW w:w="940" w:type="dxa"/>
            <w:vAlign w:val="bottom"/>
          </w:tcPr>
          <w:p>
            <w:pPr>
              <w:jc w:val="center"/>
              <w:spacing w:after="0"/>
              <w:rPr>
                <w:sz w:val="20"/>
                <w:szCs w:val="20"/>
                <w:color w:val="auto"/>
              </w:rPr>
            </w:pPr>
            <w:r>
              <w:rPr>
                <w:rFonts w:ascii="Arial" w:cs="Arial" w:eastAsia="Arial" w:hAnsi="Arial"/>
                <w:sz w:val="14"/>
                <w:szCs w:val="14"/>
                <w:color w:val="4D4D4F"/>
              </w:rPr>
              <w:t>363,599</w:t>
            </w:r>
          </w:p>
        </w:tc>
        <w:tc>
          <w:tcPr>
            <w:tcW w:w="1300" w:type="dxa"/>
            <w:vAlign w:val="bottom"/>
          </w:tcPr>
          <w:p>
            <w:pPr>
              <w:jc w:val="center"/>
              <w:ind w:right="68"/>
              <w:spacing w:after="0"/>
              <w:rPr>
                <w:sz w:val="20"/>
                <w:szCs w:val="20"/>
                <w:color w:val="auto"/>
              </w:rPr>
            </w:pPr>
            <w:r>
              <w:rPr>
                <w:rFonts w:ascii="Arial" w:cs="Arial" w:eastAsia="Arial" w:hAnsi="Arial"/>
                <w:sz w:val="14"/>
                <w:szCs w:val="14"/>
                <w:color w:val="4D4D4F"/>
              </w:rPr>
              <w:t>545,399</w:t>
            </w:r>
          </w:p>
        </w:tc>
        <w:tc>
          <w:tcPr>
            <w:tcW w:w="1740" w:type="dxa"/>
            <w:vAlign w:val="bottom"/>
          </w:tcPr>
          <w:p>
            <w:pPr>
              <w:jc w:val="center"/>
              <w:spacing w:after="0"/>
              <w:rPr>
                <w:sz w:val="20"/>
                <w:szCs w:val="20"/>
                <w:color w:val="auto"/>
              </w:rPr>
            </w:pPr>
            <w:r>
              <w:rPr>
                <w:rFonts w:ascii="Arial" w:cs="Arial" w:eastAsia="Arial" w:hAnsi="Arial"/>
                <w:sz w:val="14"/>
                <w:szCs w:val="14"/>
                <w:color w:val="4D4D4F"/>
              </w:rPr>
              <w:t>545,399</w:t>
            </w:r>
          </w:p>
        </w:tc>
        <w:tc>
          <w:tcPr>
            <w:tcW w:w="1380" w:type="dxa"/>
            <w:vAlign w:val="bottom"/>
          </w:tcPr>
          <w:p>
            <w:pPr>
              <w:jc w:val="center"/>
              <w:ind w:left="108"/>
              <w:spacing w:after="0"/>
              <w:rPr>
                <w:sz w:val="20"/>
                <w:szCs w:val="20"/>
                <w:color w:val="auto"/>
              </w:rPr>
            </w:pPr>
            <w:r>
              <w:rPr>
                <w:rFonts w:ascii="Arial" w:cs="Arial" w:eastAsia="Arial" w:hAnsi="Arial"/>
                <w:sz w:val="14"/>
                <w:szCs w:val="14"/>
                <w:color w:val="4D4D4F"/>
              </w:rPr>
              <w:t>22.07</w:t>
            </w:r>
          </w:p>
        </w:tc>
        <w:tc>
          <w:tcPr>
            <w:tcW w:w="1600" w:type="dxa"/>
            <w:vAlign w:val="bottom"/>
          </w:tcPr>
          <w:p>
            <w:pPr>
              <w:jc w:val="center"/>
              <w:spacing w:after="0"/>
              <w:rPr>
                <w:sz w:val="20"/>
                <w:szCs w:val="20"/>
                <w:color w:val="auto"/>
              </w:rPr>
            </w:pPr>
            <w:r>
              <w:rPr>
                <w:rFonts w:ascii="Arial" w:cs="Arial" w:eastAsia="Arial" w:hAnsi="Arial"/>
                <w:sz w:val="14"/>
                <w:szCs w:val="14"/>
                <w:color w:val="4D4D4F"/>
              </w:rPr>
              <w:t>4,841,485</w:t>
            </w:r>
          </w:p>
        </w:tc>
      </w:tr>
      <w:tr>
        <w:trPr>
          <w:trHeight w:val="189"/>
        </w:trPr>
        <w:tc>
          <w:tcPr>
            <w:tcW w:w="1560" w:type="dxa"/>
            <w:vAlign w:val="bottom"/>
            <w:shd w:val="clear" w:color="auto" w:fill="CCEEFF"/>
          </w:tcPr>
          <w:p>
            <w:pPr>
              <w:spacing w:after="0"/>
              <w:rPr>
                <w:sz w:val="20"/>
                <w:szCs w:val="20"/>
                <w:color w:val="auto"/>
              </w:rPr>
            </w:pPr>
            <w:r>
              <w:rPr>
                <w:rFonts w:ascii="Arial" w:cs="Arial" w:eastAsia="Arial" w:hAnsi="Arial"/>
                <w:sz w:val="14"/>
                <w:szCs w:val="14"/>
                <w:color w:val="4D4D4F"/>
              </w:rPr>
              <w:t>Mark McKechnie</w:t>
            </w:r>
          </w:p>
        </w:tc>
        <w:tc>
          <w:tcPr>
            <w:tcW w:w="1720" w:type="dxa"/>
            <w:vAlign w:val="bottom"/>
            <w:shd w:val="clear" w:color="auto" w:fill="CCEEFF"/>
          </w:tcPr>
          <w:p>
            <w:pPr>
              <w:jc w:val="center"/>
              <w:spacing w:after="0"/>
              <w:rPr>
                <w:sz w:val="20"/>
                <w:szCs w:val="20"/>
                <w:color w:val="auto"/>
              </w:rPr>
            </w:pPr>
            <w:r>
              <w:rPr>
                <w:rFonts w:ascii="Arial" w:cs="Arial" w:eastAsia="Arial" w:hAnsi="Arial"/>
                <w:sz w:val="14"/>
                <w:szCs w:val="14"/>
                <w:color w:val="4D4D4F"/>
                <w:w w:val="99"/>
              </w:rPr>
              <w:t>—</w:t>
            </w: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4D4D4F"/>
              </w:rPr>
              <w:t>—</w:t>
            </w:r>
          </w:p>
        </w:tc>
        <w:tc>
          <w:tcPr>
            <w:tcW w:w="940" w:type="dxa"/>
            <w:vAlign w:val="bottom"/>
            <w:shd w:val="clear" w:color="auto" w:fill="CCEEFF"/>
          </w:tcPr>
          <w:p>
            <w:pPr>
              <w:jc w:val="center"/>
              <w:spacing w:after="0"/>
              <w:rPr>
                <w:sz w:val="20"/>
                <w:szCs w:val="20"/>
                <w:color w:val="auto"/>
              </w:rPr>
            </w:pPr>
            <w:r>
              <w:rPr>
                <w:rFonts w:ascii="Arial" w:cs="Arial" w:eastAsia="Arial" w:hAnsi="Arial"/>
                <w:sz w:val="14"/>
                <w:szCs w:val="14"/>
                <w:color w:val="4D4D4F"/>
              </w:rPr>
              <w:t>—</w:t>
            </w:r>
          </w:p>
        </w:tc>
        <w:tc>
          <w:tcPr>
            <w:tcW w:w="1300" w:type="dxa"/>
            <w:vAlign w:val="bottom"/>
            <w:shd w:val="clear" w:color="auto" w:fill="CCEEFF"/>
          </w:tcPr>
          <w:p>
            <w:pPr>
              <w:jc w:val="center"/>
              <w:ind w:right="48"/>
              <w:spacing w:after="0"/>
              <w:rPr>
                <w:sz w:val="20"/>
                <w:szCs w:val="20"/>
                <w:color w:val="auto"/>
              </w:rPr>
            </w:pPr>
            <w:r>
              <w:rPr>
                <w:rFonts w:ascii="Arial" w:cs="Arial" w:eastAsia="Arial" w:hAnsi="Arial"/>
                <w:sz w:val="14"/>
                <w:szCs w:val="14"/>
                <w:color w:val="4D4D4F"/>
                <w:w w:val="99"/>
              </w:rPr>
              <w:t>—</w:t>
            </w:r>
          </w:p>
        </w:tc>
        <w:tc>
          <w:tcPr>
            <w:tcW w:w="1740" w:type="dxa"/>
            <w:vAlign w:val="bottom"/>
            <w:shd w:val="clear" w:color="auto" w:fill="CCEEFF"/>
          </w:tcPr>
          <w:p>
            <w:pPr>
              <w:jc w:val="center"/>
              <w:spacing w:after="0"/>
              <w:rPr>
                <w:sz w:val="20"/>
                <w:szCs w:val="20"/>
                <w:color w:val="auto"/>
              </w:rPr>
            </w:pPr>
            <w:r>
              <w:rPr>
                <w:rFonts w:ascii="Arial" w:cs="Arial" w:eastAsia="Arial" w:hAnsi="Arial"/>
                <w:sz w:val="14"/>
                <w:szCs w:val="14"/>
                <w:color w:val="4D4D4F"/>
              </w:rPr>
              <w:t>—</w:t>
            </w:r>
          </w:p>
        </w:tc>
        <w:tc>
          <w:tcPr>
            <w:tcW w:w="1380" w:type="dxa"/>
            <w:vAlign w:val="bottom"/>
            <w:shd w:val="clear" w:color="auto" w:fill="CCEEFF"/>
          </w:tcPr>
          <w:p>
            <w:pPr>
              <w:jc w:val="center"/>
              <w:ind w:left="88"/>
              <w:spacing w:after="0"/>
              <w:rPr>
                <w:sz w:val="20"/>
                <w:szCs w:val="20"/>
                <w:color w:val="auto"/>
              </w:rPr>
            </w:pPr>
            <w:r>
              <w:rPr>
                <w:rFonts w:ascii="Arial" w:cs="Arial" w:eastAsia="Arial" w:hAnsi="Arial"/>
                <w:sz w:val="14"/>
                <w:szCs w:val="14"/>
                <w:color w:val="4D4D4F"/>
                <w:w w:val="99"/>
              </w:rPr>
              <w:t>—</w:t>
            </w:r>
          </w:p>
        </w:tc>
        <w:tc>
          <w:tcPr>
            <w:tcW w:w="1600" w:type="dxa"/>
            <w:vAlign w:val="bottom"/>
            <w:shd w:val="clear" w:color="auto" w:fill="CCEEFF"/>
          </w:tcPr>
          <w:p>
            <w:pPr>
              <w:jc w:val="center"/>
              <w:spacing w:after="0"/>
              <w:rPr>
                <w:sz w:val="20"/>
                <w:szCs w:val="20"/>
                <w:color w:val="auto"/>
              </w:rPr>
            </w:pPr>
            <w:r>
              <w:rPr>
                <w:rFonts w:ascii="Arial" w:cs="Arial" w:eastAsia="Arial" w:hAnsi="Arial"/>
                <w:sz w:val="14"/>
                <w:szCs w:val="14"/>
                <w:color w:val="4D4D4F"/>
                <w:w w:val="99"/>
              </w:rPr>
              <w:t>—</w:t>
            </w:r>
          </w:p>
        </w:tc>
      </w:tr>
      <w:tr>
        <w:trPr>
          <w:trHeight w:val="189"/>
        </w:trPr>
        <w:tc>
          <w:tcPr>
            <w:tcW w:w="1560" w:type="dxa"/>
            <w:vAlign w:val="bottom"/>
          </w:tcPr>
          <w:p>
            <w:pPr>
              <w:spacing w:after="0"/>
              <w:rPr>
                <w:sz w:val="20"/>
                <w:szCs w:val="20"/>
                <w:color w:val="auto"/>
              </w:rPr>
            </w:pPr>
            <w:r>
              <w:rPr>
                <w:rFonts w:ascii="Arial" w:cs="Arial" w:eastAsia="Arial" w:hAnsi="Arial"/>
                <w:sz w:val="14"/>
                <w:szCs w:val="14"/>
                <w:color w:val="4D4D4F"/>
              </w:rPr>
              <w:t>Jian Wang</w:t>
            </w:r>
          </w:p>
        </w:tc>
        <w:tc>
          <w:tcPr>
            <w:tcW w:w="1720" w:type="dxa"/>
            <w:vAlign w:val="bottom"/>
          </w:tcPr>
          <w:p>
            <w:pPr>
              <w:jc w:val="center"/>
              <w:spacing w:after="0"/>
              <w:rPr>
                <w:sz w:val="20"/>
                <w:szCs w:val="20"/>
                <w:color w:val="auto"/>
              </w:rPr>
            </w:pPr>
            <w:r>
              <w:rPr>
                <w:rFonts w:ascii="Arial" w:cs="Arial" w:eastAsia="Arial" w:hAnsi="Arial"/>
                <w:sz w:val="14"/>
                <w:szCs w:val="14"/>
                <w:color w:val="4D4D4F"/>
              </w:rPr>
              <w:t>January 1, 2020(3)</w:t>
            </w:r>
          </w:p>
        </w:tc>
        <w:tc>
          <w:tcPr>
            <w:tcW w:w="1000" w:type="dxa"/>
            <w:vAlign w:val="bottom"/>
          </w:tcPr>
          <w:p>
            <w:pPr>
              <w:jc w:val="center"/>
              <w:spacing w:after="0"/>
              <w:rPr>
                <w:sz w:val="20"/>
                <w:szCs w:val="20"/>
                <w:color w:val="auto"/>
              </w:rPr>
            </w:pPr>
            <w:r>
              <w:rPr>
                <w:rFonts w:ascii="Arial" w:cs="Arial" w:eastAsia="Arial" w:hAnsi="Arial"/>
                <w:sz w:val="14"/>
                <w:szCs w:val="14"/>
                <w:color w:val="4D4D4F"/>
              </w:rPr>
              <w:t>89,538</w:t>
            </w:r>
          </w:p>
        </w:tc>
        <w:tc>
          <w:tcPr>
            <w:tcW w:w="940" w:type="dxa"/>
            <w:vAlign w:val="bottom"/>
          </w:tcPr>
          <w:p>
            <w:pPr>
              <w:jc w:val="center"/>
              <w:spacing w:after="0"/>
              <w:rPr>
                <w:sz w:val="20"/>
                <w:szCs w:val="20"/>
                <w:color w:val="auto"/>
              </w:rPr>
            </w:pPr>
            <w:r>
              <w:rPr>
                <w:rFonts w:ascii="Arial" w:cs="Arial" w:eastAsia="Arial" w:hAnsi="Arial"/>
                <w:sz w:val="14"/>
                <w:szCs w:val="14"/>
                <w:color w:val="4D4D4F"/>
              </w:rPr>
              <w:t>89,538</w:t>
            </w:r>
          </w:p>
        </w:tc>
        <w:tc>
          <w:tcPr>
            <w:tcW w:w="1300" w:type="dxa"/>
            <w:vAlign w:val="bottom"/>
          </w:tcPr>
          <w:p>
            <w:pPr>
              <w:jc w:val="center"/>
              <w:ind w:right="68"/>
              <w:spacing w:after="0"/>
              <w:rPr>
                <w:sz w:val="20"/>
                <w:szCs w:val="20"/>
                <w:color w:val="auto"/>
              </w:rPr>
            </w:pPr>
            <w:r>
              <w:rPr>
                <w:rFonts w:ascii="Arial" w:cs="Arial" w:eastAsia="Arial" w:hAnsi="Arial"/>
                <w:sz w:val="14"/>
                <w:szCs w:val="14"/>
                <w:color w:val="4D4D4F"/>
              </w:rPr>
              <w:t>298,462</w:t>
            </w:r>
          </w:p>
        </w:tc>
        <w:tc>
          <w:tcPr>
            <w:tcW w:w="1740" w:type="dxa"/>
            <w:vAlign w:val="bottom"/>
          </w:tcPr>
          <w:p>
            <w:pPr>
              <w:jc w:val="center"/>
              <w:spacing w:after="0"/>
              <w:rPr>
                <w:sz w:val="20"/>
                <w:szCs w:val="20"/>
                <w:color w:val="auto"/>
              </w:rPr>
            </w:pPr>
            <w:r>
              <w:rPr>
                <w:rFonts w:ascii="Arial" w:cs="Arial" w:eastAsia="Arial" w:hAnsi="Arial"/>
                <w:sz w:val="14"/>
                <w:szCs w:val="14"/>
                <w:color w:val="4D4D4F"/>
              </w:rPr>
              <w:t>—</w:t>
            </w:r>
          </w:p>
        </w:tc>
        <w:tc>
          <w:tcPr>
            <w:tcW w:w="1380" w:type="dxa"/>
            <w:vAlign w:val="bottom"/>
          </w:tcPr>
          <w:p>
            <w:pPr>
              <w:jc w:val="center"/>
              <w:ind w:left="108"/>
              <w:spacing w:after="0"/>
              <w:rPr>
                <w:sz w:val="20"/>
                <w:szCs w:val="20"/>
                <w:color w:val="auto"/>
              </w:rPr>
            </w:pPr>
            <w:r>
              <w:rPr>
                <w:rFonts w:ascii="Arial" w:cs="Arial" w:eastAsia="Arial" w:hAnsi="Arial"/>
                <w:sz w:val="14"/>
                <w:szCs w:val="14"/>
                <w:color w:val="4D4D4F"/>
              </w:rPr>
              <w:t>1.89</w:t>
            </w:r>
          </w:p>
        </w:tc>
        <w:tc>
          <w:tcPr>
            <w:tcW w:w="1600" w:type="dxa"/>
            <w:vAlign w:val="bottom"/>
          </w:tcPr>
          <w:p>
            <w:pPr>
              <w:jc w:val="center"/>
              <w:spacing w:after="0"/>
              <w:rPr>
                <w:sz w:val="20"/>
                <w:szCs w:val="20"/>
                <w:color w:val="auto"/>
              </w:rPr>
            </w:pPr>
            <w:r>
              <w:rPr>
                <w:rFonts w:ascii="Arial" w:cs="Arial" w:eastAsia="Arial" w:hAnsi="Arial"/>
                <w:sz w:val="14"/>
                <w:szCs w:val="14"/>
                <w:color w:val="4D4D4F"/>
              </w:rPr>
              <w:t>67,728</w:t>
            </w:r>
          </w:p>
        </w:tc>
      </w:tr>
      <w:tr>
        <w:trPr>
          <w:trHeight w:val="189"/>
        </w:trPr>
        <w:tc>
          <w:tcPr>
            <w:tcW w:w="1560" w:type="dxa"/>
            <w:vAlign w:val="bottom"/>
            <w:shd w:val="clear" w:color="auto" w:fill="CCEEFF"/>
          </w:tcPr>
          <w:p>
            <w:pPr>
              <w:spacing w:after="0"/>
              <w:rPr>
                <w:sz w:val="20"/>
                <w:szCs w:val="20"/>
                <w:color w:val="auto"/>
              </w:rPr>
            </w:pPr>
            <w:r>
              <w:rPr>
                <w:rFonts w:ascii="Arial" w:cs="Arial" w:eastAsia="Arial" w:hAnsi="Arial"/>
                <w:sz w:val="14"/>
                <w:szCs w:val="14"/>
                <w:color w:val="4D4D4F"/>
              </w:rPr>
              <w:t>Lisa Feng</w:t>
            </w:r>
          </w:p>
        </w:tc>
        <w:tc>
          <w:tcPr>
            <w:tcW w:w="1720" w:type="dxa"/>
            <w:vAlign w:val="bottom"/>
            <w:shd w:val="clear" w:color="auto" w:fill="CCEEFF"/>
          </w:tcPr>
          <w:p>
            <w:pPr>
              <w:jc w:val="center"/>
              <w:spacing w:after="0"/>
              <w:rPr>
                <w:sz w:val="20"/>
                <w:szCs w:val="20"/>
                <w:color w:val="auto"/>
              </w:rPr>
            </w:pPr>
            <w:r>
              <w:rPr>
                <w:rFonts w:ascii="Arial" w:cs="Arial" w:eastAsia="Arial" w:hAnsi="Arial"/>
                <w:sz w:val="14"/>
                <w:szCs w:val="14"/>
                <w:color w:val="4D4D4F"/>
              </w:rPr>
              <w:t>January 1, 2020(3)</w:t>
            </w: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4D4D4F"/>
              </w:rPr>
              <w:t>78,000</w:t>
            </w:r>
          </w:p>
        </w:tc>
        <w:tc>
          <w:tcPr>
            <w:tcW w:w="940" w:type="dxa"/>
            <w:vAlign w:val="bottom"/>
            <w:shd w:val="clear" w:color="auto" w:fill="CCEEFF"/>
          </w:tcPr>
          <w:p>
            <w:pPr>
              <w:jc w:val="center"/>
              <w:spacing w:after="0"/>
              <w:rPr>
                <w:sz w:val="20"/>
                <w:szCs w:val="20"/>
                <w:color w:val="auto"/>
              </w:rPr>
            </w:pPr>
            <w:r>
              <w:rPr>
                <w:rFonts w:ascii="Arial" w:cs="Arial" w:eastAsia="Arial" w:hAnsi="Arial"/>
                <w:sz w:val="14"/>
                <w:szCs w:val="14"/>
                <w:color w:val="4D4D4F"/>
              </w:rPr>
              <w:t>78,000</w:t>
            </w:r>
          </w:p>
        </w:tc>
        <w:tc>
          <w:tcPr>
            <w:tcW w:w="1300" w:type="dxa"/>
            <w:vAlign w:val="bottom"/>
            <w:shd w:val="clear" w:color="auto" w:fill="CCEEFF"/>
          </w:tcPr>
          <w:p>
            <w:pPr>
              <w:jc w:val="center"/>
              <w:ind w:right="68"/>
              <w:spacing w:after="0"/>
              <w:rPr>
                <w:sz w:val="20"/>
                <w:szCs w:val="20"/>
                <w:color w:val="auto"/>
              </w:rPr>
            </w:pPr>
            <w:r>
              <w:rPr>
                <w:rFonts w:ascii="Arial" w:cs="Arial" w:eastAsia="Arial" w:hAnsi="Arial"/>
                <w:sz w:val="14"/>
                <w:szCs w:val="14"/>
                <w:color w:val="4D4D4F"/>
              </w:rPr>
              <w:t>260,000</w:t>
            </w:r>
          </w:p>
        </w:tc>
        <w:tc>
          <w:tcPr>
            <w:tcW w:w="1740" w:type="dxa"/>
            <w:vAlign w:val="bottom"/>
            <w:shd w:val="clear" w:color="auto" w:fill="CCEEFF"/>
          </w:tcPr>
          <w:p>
            <w:pPr>
              <w:jc w:val="center"/>
              <w:spacing w:after="0"/>
              <w:rPr>
                <w:sz w:val="20"/>
                <w:szCs w:val="20"/>
                <w:color w:val="auto"/>
              </w:rPr>
            </w:pPr>
            <w:r>
              <w:rPr>
                <w:rFonts w:ascii="Arial" w:cs="Arial" w:eastAsia="Arial" w:hAnsi="Arial"/>
                <w:sz w:val="14"/>
                <w:szCs w:val="14"/>
                <w:color w:val="4D4D4F"/>
              </w:rPr>
              <w:t>—</w:t>
            </w:r>
          </w:p>
        </w:tc>
        <w:tc>
          <w:tcPr>
            <w:tcW w:w="1380" w:type="dxa"/>
            <w:vAlign w:val="bottom"/>
            <w:shd w:val="clear" w:color="auto" w:fill="CCEEFF"/>
          </w:tcPr>
          <w:p>
            <w:pPr>
              <w:jc w:val="center"/>
              <w:ind w:left="108"/>
              <w:spacing w:after="0"/>
              <w:rPr>
                <w:sz w:val="20"/>
                <w:szCs w:val="20"/>
                <w:color w:val="auto"/>
              </w:rPr>
            </w:pPr>
            <w:r>
              <w:rPr>
                <w:rFonts w:ascii="Arial" w:cs="Arial" w:eastAsia="Arial" w:hAnsi="Arial"/>
                <w:sz w:val="14"/>
                <w:szCs w:val="14"/>
                <w:color w:val="4D4D4F"/>
              </w:rPr>
              <w:t>1.89</w:t>
            </w:r>
          </w:p>
        </w:tc>
        <w:tc>
          <w:tcPr>
            <w:tcW w:w="1600" w:type="dxa"/>
            <w:vAlign w:val="bottom"/>
            <w:shd w:val="clear" w:color="auto" w:fill="CCEEFF"/>
          </w:tcPr>
          <w:p>
            <w:pPr>
              <w:jc w:val="center"/>
              <w:spacing w:after="0"/>
              <w:rPr>
                <w:sz w:val="20"/>
                <w:szCs w:val="20"/>
                <w:color w:val="auto"/>
              </w:rPr>
            </w:pPr>
            <w:r>
              <w:rPr>
                <w:rFonts w:ascii="Arial" w:cs="Arial" w:eastAsia="Arial" w:hAnsi="Arial"/>
                <w:sz w:val="14"/>
                <w:szCs w:val="14"/>
                <w:color w:val="4D4D4F"/>
              </w:rPr>
              <w:t>59,001</w:t>
            </w:r>
          </w:p>
        </w:tc>
      </w:tr>
      <w:tr>
        <w:trPr>
          <w:trHeight w:val="189"/>
        </w:trPr>
        <w:tc>
          <w:tcPr>
            <w:tcW w:w="1560" w:type="dxa"/>
            <w:vAlign w:val="bottom"/>
            <w:shd w:val="clear" w:color="auto" w:fill="CCEEFF"/>
          </w:tcPr>
          <w:p>
            <w:pPr>
              <w:spacing w:after="0"/>
              <w:rPr>
                <w:sz w:val="16"/>
                <w:szCs w:val="16"/>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4"/>
                <w:szCs w:val="14"/>
                <w:color w:val="4D4D4F"/>
              </w:rPr>
              <w:t>April 28, 2020(4)</w:t>
            </w: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4D4D4F"/>
              </w:rPr>
              <w:t>—</w:t>
            </w:r>
          </w:p>
        </w:tc>
        <w:tc>
          <w:tcPr>
            <w:tcW w:w="940" w:type="dxa"/>
            <w:vAlign w:val="bottom"/>
            <w:shd w:val="clear" w:color="auto" w:fill="CCEEFF"/>
          </w:tcPr>
          <w:p>
            <w:pPr>
              <w:jc w:val="center"/>
              <w:spacing w:after="0"/>
              <w:rPr>
                <w:sz w:val="20"/>
                <w:szCs w:val="20"/>
                <w:color w:val="auto"/>
              </w:rPr>
            </w:pPr>
            <w:r>
              <w:rPr>
                <w:rFonts w:ascii="Arial" w:cs="Arial" w:eastAsia="Arial" w:hAnsi="Arial"/>
                <w:sz w:val="14"/>
                <w:szCs w:val="14"/>
                <w:color w:val="4D4D4F"/>
              </w:rPr>
              <w:t>—</w:t>
            </w:r>
          </w:p>
        </w:tc>
        <w:tc>
          <w:tcPr>
            <w:tcW w:w="1300" w:type="dxa"/>
            <w:vAlign w:val="bottom"/>
            <w:shd w:val="clear" w:color="auto" w:fill="CCEEFF"/>
          </w:tcPr>
          <w:p>
            <w:pPr>
              <w:jc w:val="center"/>
              <w:ind w:right="48"/>
              <w:spacing w:after="0"/>
              <w:rPr>
                <w:sz w:val="20"/>
                <w:szCs w:val="20"/>
                <w:color w:val="auto"/>
              </w:rPr>
            </w:pPr>
            <w:r>
              <w:rPr>
                <w:rFonts w:ascii="Arial" w:cs="Arial" w:eastAsia="Arial" w:hAnsi="Arial"/>
                <w:sz w:val="14"/>
                <w:szCs w:val="14"/>
                <w:color w:val="4D4D4F"/>
                <w:w w:val="99"/>
              </w:rPr>
              <w:t>—</w:t>
            </w:r>
          </w:p>
        </w:tc>
        <w:tc>
          <w:tcPr>
            <w:tcW w:w="1740" w:type="dxa"/>
            <w:vAlign w:val="bottom"/>
            <w:shd w:val="clear" w:color="auto" w:fill="CCEEFF"/>
          </w:tcPr>
          <w:p>
            <w:pPr>
              <w:jc w:val="center"/>
              <w:spacing w:after="0"/>
              <w:rPr>
                <w:sz w:val="20"/>
                <w:szCs w:val="20"/>
                <w:color w:val="auto"/>
              </w:rPr>
            </w:pPr>
            <w:r>
              <w:rPr>
                <w:rFonts w:ascii="Arial" w:cs="Arial" w:eastAsia="Arial" w:hAnsi="Arial"/>
                <w:sz w:val="14"/>
                <w:szCs w:val="14"/>
                <w:color w:val="4D4D4F"/>
              </w:rPr>
              <w:t>10,000</w:t>
            </w:r>
          </w:p>
        </w:tc>
        <w:tc>
          <w:tcPr>
            <w:tcW w:w="1380" w:type="dxa"/>
            <w:vAlign w:val="bottom"/>
            <w:shd w:val="clear" w:color="auto" w:fill="CCEEFF"/>
          </w:tcPr>
          <w:p>
            <w:pPr>
              <w:jc w:val="center"/>
              <w:ind w:left="108"/>
              <w:spacing w:after="0"/>
              <w:rPr>
                <w:sz w:val="20"/>
                <w:szCs w:val="20"/>
                <w:color w:val="auto"/>
              </w:rPr>
            </w:pPr>
            <w:r>
              <w:rPr>
                <w:rFonts w:ascii="Arial" w:cs="Arial" w:eastAsia="Arial" w:hAnsi="Arial"/>
                <w:sz w:val="14"/>
                <w:szCs w:val="14"/>
                <w:color w:val="4D4D4F"/>
              </w:rPr>
              <w:t>38.26</w:t>
            </w:r>
          </w:p>
        </w:tc>
        <w:tc>
          <w:tcPr>
            <w:tcW w:w="1600" w:type="dxa"/>
            <w:vAlign w:val="bottom"/>
            <w:shd w:val="clear" w:color="auto" w:fill="CCEEFF"/>
          </w:tcPr>
          <w:p>
            <w:pPr>
              <w:jc w:val="center"/>
              <w:spacing w:after="0"/>
              <w:rPr>
                <w:sz w:val="20"/>
                <w:szCs w:val="20"/>
                <w:color w:val="auto"/>
              </w:rPr>
            </w:pPr>
            <w:r>
              <w:rPr>
                <w:rFonts w:ascii="Arial" w:cs="Arial" w:eastAsia="Arial" w:hAnsi="Arial"/>
                <w:sz w:val="14"/>
                <w:szCs w:val="14"/>
                <w:color w:val="4D4D4F"/>
              </w:rPr>
              <w:t>166,808</w:t>
            </w:r>
          </w:p>
        </w:tc>
      </w:tr>
      <w:tr>
        <w:trPr>
          <w:trHeight w:val="191"/>
        </w:trPr>
        <w:tc>
          <w:tcPr>
            <w:tcW w:w="1560" w:type="dxa"/>
            <w:vAlign w:val="bottom"/>
          </w:tcPr>
          <w:p>
            <w:pPr>
              <w:spacing w:after="0"/>
              <w:rPr>
                <w:sz w:val="20"/>
                <w:szCs w:val="20"/>
                <w:color w:val="auto"/>
              </w:rPr>
            </w:pPr>
            <w:r>
              <w:rPr>
                <w:rFonts w:ascii="Arial" w:cs="Arial" w:eastAsia="Arial" w:hAnsi="Arial"/>
                <w:sz w:val="14"/>
                <w:szCs w:val="14"/>
                <w:color w:val="4D4D4F"/>
              </w:rPr>
              <w:t>Fuping Chen</w:t>
            </w:r>
          </w:p>
        </w:tc>
        <w:tc>
          <w:tcPr>
            <w:tcW w:w="1720" w:type="dxa"/>
            <w:vAlign w:val="bottom"/>
          </w:tcPr>
          <w:p>
            <w:pPr>
              <w:jc w:val="center"/>
              <w:spacing w:after="0"/>
              <w:rPr>
                <w:sz w:val="20"/>
                <w:szCs w:val="20"/>
                <w:color w:val="auto"/>
              </w:rPr>
            </w:pPr>
            <w:r>
              <w:rPr>
                <w:rFonts w:ascii="Arial" w:cs="Arial" w:eastAsia="Arial" w:hAnsi="Arial"/>
                <w:sz w:val="14"/>
                <w:szCs w:val="14"/>
                <w:color w:val="4D4D4F"/>
              </w:rPr>
              <w:t>January 1, 2020(3)</w:t>
            </w:r>
          </w:p>
        </w:tc>
        <w:tc>
          <w:tcPr>
            <w:tcW w:w="1000" w:type="dxa"/>
            <w:vAlign w:val="bottom"/>
          </w:tcPr>
          <w:p>
            <w:pPr>
              <w:jc w:val="center"/>
              <w:spacing w:after="0"/>
              <w:rPr>
                <w:sz w:val="20"/>
                <w:szCs w:val="20"/>
                <w:color w:val="auto"/>
              </w:rPr>
            </w:pPr>
            <w:r>
              <w:rPr>
                <w:rFonts w:ascii="Arial" w:cs="Arial" w:eastAsia="Arial" w:hAnsi="Arial"/>
                <w:sz w:val="14"/>
                <w:szCs w:val="14"/>
                <w:color w:val="4D4D4F"/>
              </w:rPr>
              <w:t>78,000</w:t>
            </w:r>
          </w:p>
        </w:tc>
        <w:tc>
          <w:tcPr>
            <w:tcW w:w="940" w:type="dxa"/>
            <w:vAlign w:val="bottom"/>
          </w:tcPr>
          <w:p>
            <w:pPr>
              <w:jc w:val="center"/>
              <w:spacing w:after="0"/>
              <w:rPr>
                <w:sz w:val="20"/>
                <w:szCs w:val="20"/>
                <w:color w:val="auto"/>
              </w:rPr>
            </w:pPr>
            <w:r>
              <w:rPr>
                <w:rFonts w:ascii="Arial" w:cs="Arial" w:eastAsia="Arial" w:hAnsi="Arial"/>
                <w:sz w:val="14"/>
                <w:szCs w:val="14"/>
                <w:color w:val="4D4D4F"/>
              </w:rPr>
              <w:t>78,000</w:t>
            </w:r>
          </w:p>
        </w:tc>
        <w:tc>
          <w:tcPr>
            <w:tcW w:w="1300" w:type="dxa"/>
            <w:vAlign w:val="bottom"/>
          </w:tcPr>
          <w:p>
            <w:pPr>
              <w:jc w:val="center"/>
              <w:ind w:right="68"/>
              <w:spacing w:after="0"/>
              <w:rPr>
                <w:sz w:val="20"/>
                <w:szCs w:val="20"/>
                <w:color w:val="auto"/>
              </w:rPr>
            </w:pPr>
            <w:r>
              <w:rPr>
                <w:rFonts w:ascii="Arial" w:cs="Arial" w:eastAsia="Arial" w:hAnsi="Arial"/>
                <w:sz w:val="14"/>
                <w:szCs w:val="14"/>
                <w:color w:val="4D4D4F"/>
              </w:rPr>
              <w:t>260,000</w:t>
            </w:r>
          </w:p>
        </w:tc>
        <w:tc>
          <w:tcPr>
            <w:tcW w:w="1740" w:type="dxa"/>
            <w:vAlign w:val="bottom"/>
          </w:tcPr>
          <w:p>
            <w:pPr>
              <w:jc w:val="center"/>
              <w:spacing w:after="0"/>
              <w:rPr>
                <w:sz w:val="20"/>
                <w:szCs w:val="20"/>
                <w:color w:val="auto"/>
              </w:rPr>
            </w:pPr>
            <w:r>
              <w:rPr>
                <w:rFonts w:ascii="Arial" w:cs="Arial" w:eastAsia="Arial" w:hAnsi="Arial"/>
                <w:sz w:val="14"/>
                <w:szCs w:val="14"/>
                <w:color w:val="4D4D4F"/>
              </w:rPr>
              <w:t>—</w:t>
            </w:r>
          </w:p>
        </w:tc>
        <w:tc>
          <w:tcPr>
            <w:tcW w:w="1380" w:type="dxa"/>
            <w:vAlign w:val="bottom"/>
          </w:tcPr>
          <w:p>
            <w:pPr>
              <w:jc w:val="center"/>
              <w:ind w:left="108"/>
              <w:spacing w:after="0"/>
              <w:rPr>
                <w:sz w:val="20"/>
                <w:szCs w:val="20"/>
                <w:color w:val="auto"/>
              </w:rPr>
            </w:pPr>
            <w:r>
              <w:rPr>
                <w:rFonts w:ascii="Arial" w:cs="Arial" w:eastAsia="Arial" w:hAnsi="Arial"/>
                <w:sz w:val="14"/>
                <w:szCs w:val="14"/>
                <w:color w:val="4D4D4F"/>
              </w:rPr>
              <w:t>1.89</w:t>
            </w:r>
          </w:p>
        </w:tc>
        <w:tc>
          <w:tcPr>
            <w:tcW w:w="1600" w:type="dxa"/>
            <w:vAlign w:val="bottom"/>
          </w:tcPr>
          <w:p>
            <w:pPr>
              <w:jc w:val="center"/>
              <w:spacing w:after="0"/>
              <w:rPr>
                <w:sz w:val="20"/>
                <w:szCs w:val="20"/>
                <w:color w:val="auto"/>
              </w:rPr>
            </w:pPr>
            <w:r>
              <w:rPr>
                <w:rFonts w:ascii="Arial" w:cs="Arial" w:eastAsia="Arial" w:hAnsi="Arial"/>
                <w:sz w:val="14"/>
                <w:szCs w:val="14"/>
                <w:color w:val="4D4D4F"/>
              </w:rPr>
              <w:t>59,001</w:t>
            </w:r>
          </w:p>
        </w:tc>
      </w:tr>
      <w:tr>
        <w:trPr>
          <w:trHeight w:val="189"/>
        </w:trPr>
        <w:tc>
          <w:tcPr>
            <w:tcW w:w="1560" w:type="dxa"/>
            <w:vAlign w:val="bottom"/>
          </w:tcPr>
          <w:p>
            <w:pPr>
              <w:spacing w:after="0"/>
              <w:rPr>
                <w:sz w:val="16"/>
                <w:szCs w:val="16"/>
                <w:color w:val="auto"/>
              </w:rPr>
            </w:pPr>
          </w:p>
        </w:tc>
        <w:tc>
          <w:tcPr>
            <w:tcW w:w="1720" w:type="dxa"/>
            <w:vAlign w:val="bottom"/>
          </w:tcPr>
          <w:p>
            <w:pPr>
              <w:jc w:val="center"/>
              <w:spacing w:after="0"/>
              <w:rPr>
                <w:sz w:val="20"/>
                <w:szCs w:val="20"/>
                <w:color w:val="auto"/>
              </w:rPr>
            </w:pPr>
            <w:r>
              <w:rPr>
                <w:rFonts w:ascii="Arial" w:cs="Arial" w:eastAsia="Arial" w:hAnsi="Arial"/>
                <w:sz w:val="14"/>
                <w:szCs w:val="14"/>
                <w:color w:val="4D4D4F"/>
              </w:rPr>
              <w:t>July 28, 2020(4)(6)</w:t>
            </w:r>
          </w:p>
        </w:tc>
        <w:tc>
          <w:tcPr>
            <w:tcW w:w="1000" w:type="dxa"/>
            <w:vAlign w:val="bottom"/>
          </w:tcPr>
          <w:p>
            <w:pPr>
              <w:jc w:val="center"/>
              <w:spacing w:after="0"/>
              <w:rPr>
                <w:sz w:val="20"/>
                <w:szCs w:val="20"/>
                <w:color w:val="auto"/>
              </w:rPr>
            </w:pPr>
            <w:r>
              <w:rPr>
                <w:rFonts w:ascii="Arial" w:cs="Arial" w:eastAsia="Arial" w:hAnsi="Arial"/>
                <w:sz w:val="14"/>
                <w:szCs w:val="14"/>
                <w:color w:val="4D4D4F"/>
              </w:rPr>
              <w:t>10,000</w:t>
            </w:r>
          </w:p>
        </w:tc>
        <w:tc>
          <w:tcPr>
            <w:tcW w:w="940" w:type="dxa"/>
            <w:vAlign w:val="bottom"/>
          </w:tcPr>
          <w:p>
            <w:pPr>
              <w:jc w:val="center"/>
              <w:spacing w:after="0"/>
              <w:rPr>
                <w:sz w:val="20"/>
                <w:szCs w:val="20"/>
                <w:color w:val="auto"/>
              </w:rPr>
            </w:pPr>
            <w:r>
              <w:rPr>
                <w:rFonts w:ascii="Arial" w:cs="Arial" w:eastAsia="Arial" w:hAnsi="Arial"/>
                <w:sz w:val="14"/>
                <w:szCs w:val="14"/>
                <w:color w:val="4D4D4F"/>
              </w:rPr>
              <w:t>20,000</w:t>
            </w:r>
          </w:p>
        </w:tc>
        <w:tc>
          <w:tcPr>
            <w:tcW w:w="1300" w:type="dxa"/>
            <w:vAlign w:val="bottom"/>
          </w:tcPr>
          <w:p>
            <w:pPr>
              <w:jc w:val="center"/>
              <w:ind w:right="68"/>
              <w:spacing w:after="0"/>
              <w:rPr>
                <w:sz w:val="20"/>
                <w:szCs w:val="20"/>
                <w:color w:val="auto"/>
              </w:rPr>
            </w:pPr>
            <w:r>
              <w:rPr>
                <w:rFonts w:ascii="Arial" w:cs="Arial" w:eastAsia="Arial" w:hAnsi="Arial"/>
                <w:sz w:val="14"/>
                <w:szCs w:val="14"/>
                <w:color w:val="4D4D4F"/>
              </w:rPr>
              <w:t>20,000</w:t>
            </w:r>
          </w:p>
        </w:tc>
        <w:tc>
          <w:tcPr>
            <w:tcW w:w="1740" w:type="dxa"/>
            <w:vAlign w:val="bottom"/>
          </w:tcPr>
          <w:p>
            <w:pPr>
              <w:jc w:val="center"/>
              <w:spacing w:after="0"/>
              <w:rPr>
                <w:sz w:val="20"/>
                <w:szCs w:val="20"/>
                <w:color w:val="auto"/>
              </w:rPr>
            </w:pPr>
            <w:r>
              <w:rPr>
                <w:rFonts w:ascii="Arial" w:cs="Arial" w:eastAsia="Arial" w:hAnsi="Arial"/>
                <w:sz w:val="14"/>
                <w:szCs w:val="14"/>
                <w:color w:val="4D4D4F"/>
              </w:rPr>
              <w:t>20,000</w:t>
            </w:r>
          </w:p>
        </w:tc>
        <w:tc>
          <w:tcPr>
            <w:tcW w:w="1380" w:type="dxa"/>
            <w:vAlign w:val="bottom"/>
          </w:tcPr>
          <w:p>
            <w:pPr>
              <w:jc w:val="center"/>
              <w:ind w:left="108"/>
              <w:spacing w:after="0"/>
              <w:rPr>
                <w:sz w:val="20"/>
                <w:szCs w:val="20"/>
                <w:color w:val="auto"/>
              </w:rPr>
            </w:pPr>
            <w:r>
              <w:rPr>
                <w:rFonts w:ascii="Arial" w:cs="Arial" w:eastAsia="Arial" w:hAnsi="Arial"/>
                <w:sz w:val="14"/>
                <w:szCs w:val="14"/>
                <w:color w:val="4D4D4F"/>
              </w:rPr>
              <w:t>85.27</w:t>
            </w:r>
          </w:p>
        </w:tc>
        <w:tc>
          <w:tcPr>
            <w:tcW w:w="1600" w:type="dxa"/>
            <w:vAlign w:val="bottom"/>
          </w:tcPr>
          <w:p>
            <w:pPr>
              <w:jc w:val="center"/>
              <w:spacing w:after="0"/>
              <w:rPr>
                <w:sz w:val="20"/>
                <w:szCs w:val="20"/>
                <w:color w:val="auto"/>
              </w:rPr>
            </w:pPr>
            <w:r>
              <w:rPr>
                <w:rFonts w:ascii="Arial" w:cs="Arial" w:eastAsia="Arial" w:hAnsi="Arial"/>
                <w:sz w:val="14"/>
                <w:szCs w:val="14"/>
                <w:color w:val="4D4D4F"/>
              </w:rPr>
              <w:t>734,156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-1174750</wp:posOffset>
            </wp:positionV>
            <wp:extent cx="191135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911350" cy="8255"/>
                    </a:xfrm>
                    <a:prstGeom prst="rect">
                      <a:avLst/>
                    </a:prstGeom>
                    <a:noFill/>
                  </pic:spPr>
                </pic:pic>
              </a:graphicData>
            </a:graphic>
          </wp:anchor>
        </w:drawing>
      </w:r>
    </w:p>
    <w:p>
      <w:pPr>
        <w:spacing w:after="0" w:line="280" w:lineRule="exact"/>
        <w:rPr>
          <w:sz w:val="20"/>
          <w:szCs w:val="20"/>
          <w:color w:val="auto"/>
        </w:rPr>
      </w:pPr>
    </w:p>
    <w:p>
      <w:pPr>
        <w:ind w:left="340" w:right="80" w:hanging="332"/>
        <w:spacing w:after="0" w:line="247" w:lineRule="auto"/>
        <w:tabs>
          <w:tab w:leader="none" w:pos="340" w:val="left"/>
        </w:tabs>
        <w:numPr>
          <w:ilvl w:val="0"/>
          <w:numId w:val="57"/>
        </w:numPr>
        <w:rPr>
          <w:rFonts w:ascii="Arial" w:cs="Arial" w:eastAsia="Arial" w:hAnsi="Arial"/>
          <w:sz w:val="14"/>
          <w:szCs w:val="14"/>
          <w:color w:val="4D4D4F"/>
        </w:rPr>
      </w:pPr>
      <w:r>
        <w:rPr>
          <w:rFonts w:ascii="Arial" w:cs="Arial" w:eastAsia="Arial" w:hAnsi="Arial"/>
          <w:sz w:val="14"/>
          <w:szCs w:val="14"/>
          <w:color w:val="4D4D4F"/>
        </w:rPr>
        <w:t>The exercise price of each option equals (a) with respect to each award for Class A common stock, the grant date closing stock price, as reported on the NASDAQ stock exchange, and (b) with respect to each award for shares of ACM Research (Shanghai), Inc., the estimated fair market value determined by the board of directors of ACM Research (Shanghai), Inc., based on the purchase price of RMB 13 per share paid by private equity investors for shares of ACM Research (Shanghai), Inc. in 2019, which at the time reflected a significant premium to the market capitalization of stock of ACM Research, Inc.</w:t>
      </w:r>
    </w:p>
    <w:p>
      <w:pPr>
        <w:spacing w:after="0" w:line="39" w:lineRule="exact"/>
        <w:rPr>
          <w:rFonts w:ascii="Arial" w:cs="Arial" w:eastAsia="Arial" w:hAnsi="Arial"/>
          <w:sz w:val="14"/>
          <w:szCs w:val="14"/>
          <w:color w:val="4D4D4F"/>
        </w:rPr>
      </w:pPr>
    </w:p>
    <w:p>
      <w:pPr>
        <w:ind w:left="340" w:right="60" w:hanging="332"/>
        <w:spacing w:after="0" w:line="247" w:lineRule="auto"/>
        <w:tabs>
          <w:tab w:leader="none" w:pos="340" w:val="left"/>
        </w:tabs>
        <w:numPr>
          <w:ilvl w:val="0"/>
          <w:numId w:val="57"/>
        </w:numPr>
        <w:rPr>
          <w:rFonts w:ascii="Arial" w:cs="Arial" w:eastAsia="Arial" w:hAnsi="Arial"/>
          <w:sz w:val="14"/>
          <w:szCs w:val="14"/>
          <w:color w:val="4D4D4F"/>
        </w:rPr>
      </w:pPr>
      <w:r>
        <w:rPr>
          <w:rFonts w:ascii="Arial" w:cs="Arial" w:eastAsia="Arial" w:hAnsi="Arial"/>
          <w:sz w:val="14"/>
          <w:szCs w:val="14"/>
          <w:color w:val="4D4D4F"/>
        </w:rPr>
        <w:t>This column represents the full grant date fair value of stock options under ASC 718 granted to each of the NEOs in the fiscal year ended December 31, 2020. Generally, the full grant date fair market value is the amount that we will expense in our financial statements over the award’s vesting period. Fair market value was calculated using the Black-Scholes value on the grant date. See the information appearing in Note 2 to our consolidated financial statements included as part of our Annual Report on Form 10-K for the year ended December 31, 2020 for certain assumptions made in the valuation of these awards for Class A common stock.</w:t>
      </w:r>
    </w:p>
    <w:p>
      <w:pPr>
        <w:spacing w:after="0" w:line="39" w:lineRule="exact"/>
        <w:rPr>
          <w:rFonts w:ascii="Arial" w:cs="Arial" w:eastAsia="Arial" w:hAnsi="Arial"/>
          <w:sz w:val="14"/>
          <w:szCs w:val="14"/>
          <w:color w:val="4D4D4F"/>
        </w:rPr>
      </w:pPr>
    </w:p>
    <w:p>
      <w:pPr>
        <w:jc w:val="both"/>
        <w:ind w:left="340" w:hanging="332"/>
        <w:spacing w:after="0" w:line="244" w:lineRule="auto"/>
        <w:tabs>
          <w:tab w:leader="none" w:pos="340" w:val="left"/>
        </w:tabs>
        <w:numPr>
          <w:ilvl w:val="0"/>
          <w:numId w:val="57"/>
        </w:numPr>
        <w:rPr>
          <w:rFonts w:ascii="Arial" w:cs="Arial" w:eastAsia="Arial" w:hAnsi="Arial"/>
          <w:sz w:val="14"/>
          <w:szCs w:val="14"/>
          <w:color w:val="4D4D4F"/>
        </w:rPr>
      </w:pPr>
      <w:r>
        <w:rPr>
          <w:rFonts w:ascii="Arial" w:cs="Arial" w:eastAsia="Arial" w:hAnsi="Arial"/>
          <w:sz w:val="14"/>
          <w:szCs w:val="14"/>
          <w:color w:val="4D4D4F"/>
        </w:rPr>
        <w:t>Option award for shares of ACM Research (Shanghai), Inc. Option exercisable, subject to vesting, to acquire shares of ACM Research (Shanghai), Inc. One-half of the option vests on January 1, 2023, generally subject to continued service and key financial metrics. The remaining half of the option vests on January 1, 2024, generally subject to continued service and key financial metrics. In each case, vesting is also contingent on the applicable NEO’s performance rating for the year prior to the applicable time-based vesting date, such that 100% of the option that would otherwise vest pursuant to the foregoing two sentences will vest if such performance rating is “excellent” or “good,” 80% if such performance rating is “medium,” 60% if such performance rating is “pass,” and 0% if such performance rating is below “pass.” All such options accelerate vesting upon a defined change in control of ACM.</w:t>
      </w:r>
    </w:p>
    <w:p>
      <w:pPr>
        <w:spacing w:after="0" w:line="43" w:lineRule="exact"/>
        <w:rPr>
          <w:rFonts w:ascii="Arial" w:cs="Arial" w:eastAsia="Arial" w:hAnsi="Arial"/>
          <w:sz w:val="14"/>
          <w:szCs w:val="14"/>
          <w:color w:val="4D4D4F"/>
        </w:rPr>
      </w:pPr>
    </w:p>
    <w:p>
      <w:pPr>
        <w:ind w:left="340" w:hanging="332"/>
        <w:spacing w:after="0"/>
        <w:tabs>
          <w:tab w:leader="none" w:pos="340" w:val="left"/>
        </w:tabs>
        <w:numPr>
          <w:ilvl w:val="0"/>
          <w:numId w:val="57"/>
        </w:numPr>
        <w:rPr>
          <w:rFonts w:ascii="Arial" w:cs="Arial" w:eastAsia="Arial" w:hAnsi="Arial"/>
          <w:sz w:val="14"/>
          <w:szCs w:val="14"/>
          <w:color w:val="4D4D4F"/>
        </w:rPr>
      </w:pPr>
      <w:r>
        <w:rPr>
          <w:rFonts w:ascii="Arial" w:cs="Arial" w:eastAsia="Arial" w:hAnsi="Arial"/>
          <w:sz w:val="14"/>
          <w:szCs w:val="14"/>
          <w:color w:val="4D4D4F"/>
        </w:rPr>
        <w:t>Option award for shares of Class A common stock.</w:t>
      </w:r>
    </w:p>
    <w:p>
      <w:pPr>
        <w:spacing w:after="0" w:line="55" w:lineRule="exact"/>
        <w:rPr>
          <w:rFonts w:ascii="Arial" w:cs="Arial" w:eastAsia="Arial" w:hAnsi="Arial"/>
          <w:sz w:val="14"/>
          <w:szCs w:val="14"/>
          <w:color w:val="4D4D4F"/>
        </w:rPr>
      </w:pPr>
    </w:p>
    <w:p>
      <w:pPr>
        <w:ind w:left="340" w:right="20" w:hanging="332"/>
        <w:spacing w:after="0" w:line="245" w:lineRule="auto"/>
        <w:tabs>
          <w:tab w:leader="none" w:pos="340" w:val="left"/>
        </w:tabs>
        <w:numPr>
          <w:ilvl w:val="0"/>
          <w:numId w:val="57"/>
        </w:numPr>
        <w:rPr>
          <w:rFonts w:ascii="Arial" w:cs="Arial" w:eastAsia="Arial" w:hAnsi="Arial"/>
          <w:sz w:val="14"/>
          <w:szCs w:val="14"/>
          <w:color w:val="4D4D4F"/>
        </w:rPr>
      </w:pPr>
      <w:r>
        <w:rPr>
          <w:rFonts w:ascii="Arial" w:cs="Arial" w:eastAsia="Arial" w:hAnsi="Arial"/>
          <w:sz w:val="14"/>
          <w:szCs w:val="14"/>
          <w:color w:val="4D4D4F"/>
        </w:rPr>
        <w:t>Performance-based option award pursuant to which one-third of the shares subject to the award vests and becomes exercisable upon an increase in our market capitalization of $1.0 billion, $2.0 billion and $3.0 billion, respectively, from the market capitalization of $553,383,586 on the grant date. An initial 181,799 shares vested and became exercisable on August 5, 2020, which was the first trading day as of which our market capitalization equaled or exceeded $1,553,383,586. The remaining shares will vest and become exercisable in two equal installments upon the first trading days, if any, on which our market capitalization equals or exceeds $2,553,383,586 and $3,553,383,586, respectively.</w:t>
      </w:r>
    </w:p>
    <w:p>
      <w:pPr>
        <w:spacing w:after="0" w:line="42" w:lineRule="exact"/>
        <w:rPr>
          <w:rFonts w:ascii="Arial" w:cs="Arial" w:eastAsia="Arial" w:hAnsi="Arial"/>
          <w:sz w:val="14"/>
          <w:szCs w:val="14"/>
          <w:color w:val="4D4D4F"/>
        </w:rPr>
      </w:pPr>
    </w:p>
    <w:p>
      <w:pPr>
        <w:ind w:left="340" w:hanging="332"/>
        <w:spacing w:after="0" w:line="258" w:lineRule="auto"/>
        <w:tabs>
          <w:tab w:leader="none" w:pos="340" w:val="left"/>
        </w:tabs>
        <w:numPr>
          <w:ilvl w:val="0"/>
          <w:numId w:val="57"/>
        </w:numPr>
        <w:rPr>
          <w:rFonts w:ascii="Arial" w:cs="Arial" w:eastAsia="Arial" w:hAnsi="Arial"/>
          <w:sz w:val="14"/>
          <w:szCs w:val="14"/>
          <w:color w:val="4D4D4F"/>
        </w:rPr>
      </w:pPr>
      <w:r>
        <w:rPr>
          <w:rFonts w:ascii="Arial" w:cs="Arial" w:eastAsia="Arial" w:hAnsi="Arial"/>
          <w:sz w:val="14"/>
          <w:szCs w:val="14"/>
          <w:color w:val="4D4D4F"/>
        </w:rPr>
        <w:t>Performance-based option award pursuant to which one-half of the shares subject to the award vests and becomes exercisable upon our receipt of our first demo tool order from a specified semiconductor company and the other half vests and becomes exercisable upon the qualification of our first demo tool for such semiconductor company.</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9" w:name="page40"/>
    <w:bookmarkEnd w:id="39"/>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b w:val="1"/>
          <w:bCs w:val="1"/>
          <w:color w:val="0079C0"/>
        </w:rPr>
        <w:t>Outstanding Equity Awards at December 31, 2020</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4D4D4F"/>
        </w:rPr>
        <w:t>The following table sets forth information regarding each unexercised option held by each of our NEOs as of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57785</wp:posOffset>
            </wp:positionV>
            <wp:extent cx="524637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246370" cy="8890"/>
                    </a:xfrm>
                    <a:prstGeom prst="rect">
                      <a:avLst/>
                    </a:prstGeom>
                    <a:noFill/>
                  </pic:spPr>
                </pic:pic>
              </a:graphicData>
            </a:graphic>
          </wp:anchor>
        </w:drawing>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100" w:type="dxa"/>
            <w:vAlign w:val="bottom"/>
            <w:shd w:val="clear" w:color="auto" w:fill="003E64"/>
          </w:tcPr>
          <w:p>
            <w:pPr>
              <w:spacing w:after="0"/>
              <w:rPr>
                <w:sz w:val="16"/>
                <w:szCs w:val="16"/>
                <w:color w:val="auto"/>
              </w:rPr>
            </w:pPr>
          </w:p>
        </w:tc>
        <w:tc>
          <w:tcPr>
            <w:tcW w:w="880" w:type="dxa"/>
            <w:vAlign w:val="bottom"/>
            <w:shd w:val="clear" w:color="auto" w:fill="003E64"/>
          </w:tcPr>
          <w:p>
            <w:pPr>
              <w:spacing w:after="0"/>
              <w:rPr>
                <w:sz w:val="16"/>
                <w:szCs w:val="16"/>
                <w:color w:val="auto"/>
              </w:rPr>
            </w:pPr>
          </w:p>
        </w:tc>
        <w:tc>
          <w:tcPr>
            <w:tcW w:w="1340" w:type="dxa"/>
            <w:vAlign w:val="bottom"/>
            <w:shd w:val="clear" w:color="auto" w:fill="003E64"/>
          </w:tcPr>
          <w:p>
            <w:pPr>
              <w:spacing w:after="0"/>
              <w:rPr>
                <w:sz w:val="16"/>
                <w:szCs w:val="16"/>
                <w:color w:val="auto"/>
              </w:rPr>
            </w:pPr>
          </w:p>
        </w:tc>
        <w:tc>
          <w:tcPr>
            <w:tcW w:w="1680" w:type="dxa"/>
            <w:vAlign w:val="bottom"/>
            <w:shd w:val="clear" w:color="auto" w:fill="003E64"/>
          </w:tcPr>
          <w:p>
            <w:pPr>
              <w:spacing w:after="0"/>
              <w:rPr>
                <w:sz w:val="16"/>
                <w:szCs w:val="16"/>
                <w:color w:val="auto"/>
              </w:rPr>
            </w:pPr>
          </w:p>
        </w:tc>
        <w:tc>
          <w:tcPr>
            <w:tcW w:w="1880" w:type="dxa"/>
            <w:vAlign w:val="bottom"/>
            <w:shd w:val="clear" w:color="auto" w:fill="003E64"/>
          </w:tcPr>
          <w:p>
            <w:pPr>
              <w:ind w:left="600"/>
              <w:spacing w:after="0"/>
              <w:rPr>
                <w:sz w:val="20"/>
                <w:szCs w:val="20"/>
                <w:color w:val="auto"/>
              </w:rPr>
            </w:pPr>
            <w:r>
              <w:rPr>
                <w:rFonts w:ascii="Arial" w:cs="Arial" w:eastAsia="Arial" w:hAnsi="Arial"/>
                <w:sz w:val="14"/>
                <w:szCs w:val="14"/>
                <w:b w:val="1"/>
                <w:bCs w:val="1"/>
                <w:color w:val="FFFFFF"/>
              </w:rPr>
              <w:t>Option Awards</w:t>
            </w:r>
          </w:p>
        </w:tc>
        <w:tc>
          <w:tcPr>
            <w:tcW w:w="1620" w:type="dxa"/>
            <w:vAlign w:val="bottom"/>
            <w:shd w:val="clear" w:color="auto" w:fill="003E64"/>
          </w:tcPr>
          <w:p>
            <w:pPr>
              <w:spacing w:after="0"/>
              <w:rPr>
                <w:sz w:val="16"/>
                <w:szCs w:val="16"/>
                <w:color w:val="auto"/>
              </w:rPr>
            </w:pPr>
          </w:p>
        </w:tc>
        <w:tc>
          <w:tcPr>
            <w:tcW w:w="1740" w:type="dxa"/>
            <w:vAlign w:val="bottom"/>
            <w:shd w:val="clear" w:color="auto" w:fill="003E64"/>
          </w:tcPr>
          <w:p>
            <w:pPr>
              <w:spacing w:after="0"/>
              <w:rPr>
                <w:sz w:val="16"/>
                <w:szCs w:val="16"/>
                <w:color w:val="auto"/>
              </w:rPr>
            </w:pPr>
          </w:p>
        </w:tc>
      </w:tr>
      <w:tr>
        <w:trPr>
          <w:trHeight w:val="162"/>
        </w:trPr>
        <w:tc>
          <w:tcPr>
            <w:tcW w:w="2100" w:type="dxa"/>
            <w:vAlign w:val="bottom"/>
            <w:shd w:val="clear" w:color="auto" w:fill="003E64"/>
          </w:tcPr>
          <w:p>
            <w:pPr>
              <w:spacing w:after="0"/>
              <w:rPr>
                <w:sz w:val="14"/>
                <w:szCs w:val="14"/>
                <w:color w:val="auto"/>
              </w:rPr>
            </w:pPr>
          </w:p>
        </w:tc>
        <w:tc>
          <w:tcPr>
            <w:tcW w:w="880" w:type="dxa"/>
            <w:vAlign w:val="bottom"/>
            <w:shd w:val="clear" w:color="auto" w:fill="003E64"/>
          </w:tcPr>
          <w:p>
            <w:pPr>
              <w:spacing w:after="0"/>
              <w:rPr>
                <w:sz w:val="14"/>
                <w:szCs w:val="14"/>
                <w:color w:val="auto"/>
              </w:rPr>
            </w:pPr>
          </w:p>
        </w:tc>
        <w:tc>
          <w:tcPr>
            <w:tcW w:w="1340" w:type="dxa"/>
            <w:vAlign w:val="bottom"/>
            <w:shd w:val="clear" w:color="auto" w:fill="003E64"/>
          </w:tcPr>
          <w:p>
            <w:pPr>
              <w:spacing w:after="0"/>
              <w:rPr>
                <w:sz w:val="14"/>
                <w:szCs w:val="14"/>
                <w:color w:val="auto"/>
              </w:rPr>
            </w:pPr>
          </w:p>
        </w:tc>
        <w:tc>
          <w:tcPr>
            <w:tcW w:w="1680" w:type="dxa"/>
            <w:vAlign w:val="bottom"/>
            <w:shd w:val="clear" w:color="auto" w:fill="003E64"/>
          </w:tcPr>
          <w:p>
            <w:pPr>
              <w:spacing w:after="0"/>
              <w:rPr>
                <w:sz w:val="14"/>
                <w:szCs w:val="14"/>
                <w:color w:val="auto"/>
              </w:rPr>
            </w:pPr>
          </w:p>
        </w:tc>
        <w:tc>
          <w:tcPr>
            <w:tcW w:w="1880" w:type="dxa"/>
            <w:vAlign w:val="bottom"/>
            <w:shd w:val="clear" w:color="auto" w:fill="003E64"/>
          </w:tcPr>
          <w:p>
            <w:pPr>
              <w:jc w:val="center"/>
              <w:spacing w:after="0"/>
              <w:rPr>
                <w:sz w:val="20"/>
                <w:szCs w:val="20"/>
                <w:color w:val="auto"/>
              </w:rPr>
            </w:pPr>
            <w:r>
              <w:rPr>
                <w:rFonts w:ascii="Arial" w:cs="Arial" w:eastAsia="Arial" w:hAnsi="Arial"/>
                <w:sz w:val="14"/>
                <w:szCs w:val="14"/>
                <w:b w:val="1"/>
                <w:bCs w:val="1"/>
                <w:color w:val="FFFFFF"/>
              </w:rPr>
              <w:t>Equity Incentive</w:t>
            </w:r>
          </w:p>
        </w:tc>
        <w:tc>
          <w:tcPr>
            <w:tcW w:w="1620" w:type="dxa"/>
            <w:vAlign w:val="bottom"/>
            <w:shd w:val="clear" w:color="auto" w:fill="003E64"/>
          </w:tcPr>
          <w:p>
            <w:pPr>
              <w:spacing w:after="0"/>
              <w:rPr>
                <w:sz w:val="14"/>
                <w:szCs w:val="14"/>
                <w:color w:val="auto"/>
              </w:rPr>
            </w:pPr>
          </w:p>
        </w:tc>
        <w:tc>
          <w:tcPr>
            <w:tcW w:w="1740" w:type="dxa"/>
            <w:vAlign w:val="bottom"/>
            <w:shd w:val="clear" w:color="auto" w:fill="003E64"/>
          </w:tcPr>
          <w:p>
            <w:pPr>
              <w:spacing w:after="0"/>
              <w:rPr>
                <w:sz w:val="14"/>
                <w:szCs w:val="14"/>
                <w:color w:val="auto"/>
              </w:rPr>
            </w:pPr>
          </w:p>
        </w:tc>
      </w:tr>
      <w:tr>
        <w:trPr>
          <w:trHeight w:val="162"/>
        </w:trPr>
        <w:tc>
          <w:tcPr>
            <w:tcW w:w="2100" w:type="dxa"/>
            <w:vAlign w:val="bottom"/>
            <w:shd w:val="clear" w:color="auto" w:fill="003E64"/>
          </w:tcPr>
          <w:p>
            <w:pPr>
              <w:spacing w:after="0"/>
              <w:rPr>
                <w:sz w:val="14"/>
                <w:szCs w:val="14"/>
                <w:color w:val="auto"/>
              </w:rPr>
            </w:pPr>
          </w:p>
        </w:tc>
        <w:tc>
          <w:tcPr>
            <w:tcW w:w="880" w:type="dxa"/>
            <w:vAlign w:val="bottom"/>
            <w:shd w:val="clear" w:color="auto" w:fill="003E64"/>
          </w:tcPr>
          <w:p>
            <w:pPr>
              <w:spacing w:after="0"/>
              <w:rPr>
                <w:sz w:val="14"/>
                <w:szCs w:val="14"/>
                <w:color w:val="auto"/>
              </w:rPr>
            </w:pPr>
          </w:p>
        </w:tc>
        <w:tc>
          <w:tcPr>
            <w:tcW w:w="1340" w:type="dxa"/>
            <w:vAlign w:val="bottom"/>
            <w:shd w:val="clear" w:color="auto" w:fill="003E64"/>
          </w:tcPr>
          <w:p>
            <w:pPr>
              <w:jc w:val="center"/>
              <w:spacing w:after="0"/>
              <w:rPr>
                <w:sz w:val="20"/>
                <w:szCs w:val="20"/>
                <w:color w:val="auto"/>
              </w:rPr>
            </w:pPr>
            <w:r>
              <w:rPr>
                <w:rFonts w:ascii="Arial" w:cs="Arial" w:eastAsia="Arial" w:hAnsi="Arial"/>
                <w:sz w:val="14"/>
                <w:szCs w:val="14"/>
                <w:b w:val="1"/>
                <w:bCs w:val="1"/>
                <w:color w:val="FFFFFF"/>
              </w:rPr>
              <w:t>Number of</w:t>
            </w:r>
          </w:p>
        </w:tc>
        <w:tc>
          <w:tcPr>
            <w:tcW w:w="1680" w:type="dxa"/>
            <w:vAlign w:val="bottom"/>
            <w:shd w:val="clear" w:color="auto" w:fill="003E64"/>
          </w:tcPr>
          <w:p>
            <w:pPr>
              <w:jc w:val="center"/>
              <w:ind w:left="8"/>
              <w:spacing w:after="0"/>
              <w:rPr>
                <w:sz w:val="20"/>
                <w:szCs w:val="20"/>
                <w:color w:val="auto"/>
              </w:rPr>
            </w:pPr>
            <w:r>
              <w:rPr>
                <w:rFonts w:ascii="Arial" w:cs="Arial" w:eastAsia="Arial" w:hAnsi="Arial"/>
                <w:sz w:val="14"/>
                <w:szCs w:val="14"/>
                <w:b w:val="1"/>
                <w:bCs w:val="1"/>
                <w:color w:val="FFFFFF"/>
              </w:rPr>
              <w:t>Number of</w:t>
            </w:r>
          </w:p>
        </w:tc>
        <w:tc>
          <w:tcPr>
            <w:tcW w:w="1880" w:type="dxa"/>
            <w:vAlign w:val="bottom"/>
            <w:shd w:val="clear" w:color="auto" w:fill="003E64"/>
          </w:tcPr>
          <w:p>
            <w:pPr>
              <w:jc w:val="center"/>
              <w:spacing w:after="0"/>
              <w:rPr>
                <w:sz w:val="20"/>
                <w:szCs w:val="20"/>
                <w:color w:val="auto"/>
              </w:rPr>
            </w:pPr>
            <w:r>
              <w:rPr>
                <w:rFonts w:ascii="Arial" w:cs="Arial" w:eastAsia="Arial" w:hAnsi="Arial"/>
                <w:sz w:val="14"/>
                <w:szCs w:val="14"/>
                <w:b w:val="1"/>
                <w:bCs w:val="1"/>
                <w:color w:val="FFFFFF"/>
              </w:rPr>
              <w:t>Plan Awards:</w:t>
            </w:r>
          </w:p>
        </w:tc>
        <w:tc>
          <w:tcPr>
            <w:tcW w:w="1620" w:type="dxa"/>
            <w:vAlign w:val="bottom"/>
            <w:shd w:val="clear" w:color="auto" w:fill="003E64"/>
          </w:tcPr>
          <w:p>
            <w:pPr>
              <w:spacing w:after="0"/>
              <w:rPr>
                <w:sz w:val="14"/>
                <w:szCs w:val="14"/>
                <w:color w:val="auto"/>
              </w:rPr>
            </w:pPr>
          </w:p>
        </w:tc>
        <w:tc>
          <w:tcPr>
            <w:tcW w:w="1740" w:type="dxa"/>
            <w:vAlign w:val="bottom"/>
            <w:shd w:val="clear" w:color="auto" w:fill="003E64"/>
          </w:tcPr>
          <w:p>
            <w:pPr>
              <w:spacing w:after="0"/>
              <w:rPr>
                <w:sz w:val="14"/>
                <w:szCs w:val="14"/>
                <w:color w:val="auto"/>
              </w:rPr>
            </w:pPr>
          </w:p>
        </w:tc>
      </w:tr>
      <w:tr>
        <w:trPr>
          <w:trHeight w:val="162"/>
        </w:trPr>
        <w:tc>
          <w:tcPr>
            <w:tcW w:w="2100" w:type="dxa"/>
            <w:vAlign w:val="bottom"/>
            <w:shd w:val="clear" w:color="auto" w:fill="003E64"/>
          </w:tcPr>
          <w:p>
            <w:pPr>
              <w:spacing w:after="0"/>
              <w:rPr>
                <w:sz w:val="14"/>
                <w:szCs w:val="14"/>
                <w:color w:val="auto"/>
              </w:rPr>
            </w:pPr>
          </w:p>
        </w:tc>
        <w:tc>
          <w:tcPr>
            <w:tcW w:w="880" w:type="dxa"/>
            <w:vAlign w:val="bottom"/>
            <w:shd w:val="clear" w:color="auto" w:fill="003E64"/>
          </w:tcPr>
          <w:p>
            <w:pPr>
              <w:spacing w:after="0"/>
              <w:rPr>
                <w:sz w:val="14"/>
                <w:szCs w:val="14"/>
                <w:color w:val="auto"/>
              </w:rPr>
            </w:pPr>
          </w:p>
        </w:tc>
        <w:tc>
          <w:tcPr>
            <w:tcW w:w="1340" w:type="dxa"/>
            <w:vAlign w:val="bottom"/>
            <w:shd w:val="clear" w:color="auto" w:fill="003E64"/>
          </w:tcPr>
          <w:p>
            <w:pPr>
              <w:jc w:val="center"/>
              <w:spacing w:after="0"/>
              <w:rPr>
                <w:sz w:val="20"/>
                <w:szCs w:val="20"/>
                <w:color w:val="auto"/>
              </w:rPr>
            </w:pPr>
            <w:r>
              <w:rPr>
                <w:rFonts w:ascii="Arial" w:cs="Arial" w:eastAsia="Arial" w:hAnsi="Arial"/>
                <w:sz w:val="14"/>
                <w:szCs w:val="14"/>
                <w:b w:val="1"/>
                <w:bCs w:val="1"/>
                <w:color w:val="FFFFFF"/>
              </w:rPr>
              <w:t>Securities</w:t>
            </w:r>
          </w:p>
        </w:tc>
        <w:tc>
          <w:tcPr>
            <w:tcW w:w="1680" w:type="dxa"/>
            <w:vAlign w:val="bottom"/>
            <w:shd w:val="clear" w:color="auto" w:fill="003E64"/>
          </w:tcPr>
          <w:p>
            <w:pPr>
              <w:jc w:val="center"/>
              <w:ind w:left="8"/>
              <w:spacing w:after="0"/>
              <w:rPr>
                <w:sz w:val="20"/>
                <w:szCs w:val="20"/>
                <w:color w:val="auto"/>
              </w:rPr>
            </w:pPr>
            <w:r>
              <w:rPr>
                <w:rFonts w:ascii="Arial" w:cs="Arial" w:eastAsia="Arial" w:hAnsi="Arial"/>
                <w:sz w:val="14"/>
                <w:szCs w:val="14"/>
                <w:b w:val="1"/>
                <w:bCs w:val="1"/>
                <w:color w:val="FFFFFF"/>
              </w:rPr>
              <w:t>Securities</w:t>
            </w:r>
          </w:p>
        </w:tc>
        <w:tc>
          <w:tcPr>
            <w:tcW w:w="1880" w:type="dxa"/>
            <w:vAlign w:val="bottom"/>
            <w:shd w:val="clear" w:color="auto" w:fill="003E64"/>
          </w:tcPr>
          <w:p>
            <w:pPr>
              <w:jc w:val="center"/>
              <w:spacing w:after="0"/>
              <w:rPr>
                <w:sz w:val="20"/>
                <w:szCs w:val="20"/>
                <w:color w:val="auto"/>
              </w:rPr>
            </w:pPr>
            <w:r>
              <w:rPr>
                <w:rFonts w:ascii="Arial" w:cs="Arial" w:eastAsia="Arial" w:hAnsi="Arial"/>
                <w:sz w:val="14"/>
                <w:szCs w:val="14"/>
                <w:b w:val="1"/>
                <w:bCs w:val="1"/>
                <w:color w:val="FFFFFF"/>
              </w:rPr>
              <w:t>Number of</w:t>
            </w:r>
          </w:p>
        </w:tc>
        <w:tc>
          <w:tcPr>
            <w:tcW w:w="1620" w:type="dxa"/>
            <w:vAlign w:val="bottom"/>
            <w:shd w:val="clear" w:color="auto" w:fill="003E64"/>
          </w:tcPr>
          <w:p>
            <w:pPr>
              <w:spacing w:after="0"/>
              <w:rPr>
                <w:sz w:val="14"/>
                <w:szCs w:val="14"/>
                <w:color w:val="auto"/>
              </w:rPr>
            </w:pPr>
          </w:p>
        </w:tc>
        <w:tc>
          <w:tcPr>
            <w:tcW w:w="1740" w:type="dxa"/>
            <w:vAlign w:val="bottom"/>
            <w:shd w:val="clear" w:color="auto" w:fill="003E64"/>
          </w:tcPr>
          <w:p>
            <w:pPr>
              <w:spacing w:after="0"/>
              <w:rPr>
                <w:sz w:val="14"/>
                <w:szCs w:val="14"/>
                <w:color w:val="auto"/>
              </w:rPr>
            </w:pPr>
          </w:p>
        </w:tc>
      </w:tr>
      <w:tr>
        <w:trPr>
          <w:trHeight w:val="162"/>
        </w:trPr>
        <w:tc>
          <w:tcPr>
            <w:tcW w:w="2100" w:type="dxa"/>
            <w:vAlign w:val="bottom"/>
            <w:shd w:val="clear" w:color="auto" w:fill="003E64"/>
          </w:tcPr>
          <w:p>
            <w:pPr>
              <w:spacing w:after="0"/>
              <w:rPr>
                <w:sz w:val="14"/>
                <w:szCs w:val="14"/>
                <w:color w:val="auto"/>
              </w:rPr>
            </w:pPr>
          </w:p>
        </w:tc>
        <w:tc>
          <w:tcPr>
            <w:tcW w:w="880" w:type="dxa"/>
            <w:vAlign w:val="bottom"/>
            <w:shd w:val="clear" w:color="auto" w:fill="003E64"/>
          </w:tcPr>
          <w:p>
            <w:pPr>
              <w:spacing w:after="0"/>
              <w:rPr>
                <w:sz w:val="14"/>
                <w:szCs w:val="14"/>
                <w:color w:val="auto"/>
              </w:rPr>
            </w:pPr>
          </w:p>
        </w:tc>
        <w:tc>
          <w:tcPr>
            <w:tcW w:w="1340" w:type="dxa"/>
            <w:vAlign w:val="bottom"/>
            <w:shd w:val="clear" w:color="auto" w:fill="003E64"/>
          </w:tcPr>
          <w:p>
            <w:pPr>
              <w:jc w:val="center"/>
              <w:spacing w:after="0"/>
              <w:rPr>
                <w:sz w:val="20"/>
                <w:szCs w:val="20"/>
                <w:color w:val="auto"/>
              </w:rPr>
            </w:pPr>
            <w:r>
              <w:rPr>
                <w:rFonts w:ascii="Arial" w:cs="Arial" w:eastAsia="Arial" w:hAnsi="Arial"/>
                <w:sz w:val="14"/>
                <w:szCs w:val="14"/>
                <w:b w:val="1"/>
                <w:bCs w:val="1"/>
                <w:color w:val="FFFFFF"/>
              </w:rPr>
              <w:t>Underlying</w:t>
            </w:r>
          </w:p>
        </w:tc>
        <w:tc>
          <w:tcPr>
            <w:tcW w:w="1680" w:type="dxa"/>
            <w:vAlign w:val="bottom"/>
            <w:shd w:val="clear" w:color="auto" w:fill="003E64"/>
          </w:tcPr>
          <w:p>
            <w:pPr>
              <w:jc w:val="center"/>
              <w:ind w:left="8"/>
              <w:spacing w:after="0"/>
              <w:rPr>
                <w:sz w:val="20"/>
                <w:szCs w:val="20"/>
                <w:color w:val="auto"/>
              </w:rPr>
            </w:pPr>
            <w:r>
              <w:rPr>
                <w:rFonts w:ascii="Arial" w:cs="Arial" w:eastAsia="Arial" w:hAnsi="Arial"/>
                <w:sz w:val="14"/>
                <w:szCs w:val="14"/>
                <w:b w:val="1"/>
                <w:bCs w:val="1"/>
                <w:color w:val="FFFFFF"/>
              </w:rPr>
              <w:t>Underlying</w:t>
            </w:r>
          </w:p>
        </w:tc>
        <w:tc>
          <w:tcPr>
            <w:tcW w:w="1880" w:type="dxa"/>
            <w:vAlign w:val="bottom"/>
            <w:shd w:val="clear" w:color="auto" w:fill="003E64"/>
          </w:tcPr>
          <w:p>
            <w:pPr>
              <w:jc w:val="center"/>
              <w:spacing w:after="0"/>
              <w:rPr>
                <w:sz w:val="20"/>
                <w:szCs w:val="20"/>
                <w:color w:val="auto"/>
              </w:rPr>
            </w:pPr>
            <w:r>
              <w:rPr>
                <w:rFonts w:ascii="Arial" w:cs="Arial" w:eastAsia="Arial" w:hAnsi="Arial"/>
                <w:sz w:val="14"/>
                <w:szCs w:val="14"/>
                <w:b w:val="1"/>
                <w:bCs w:val="1"/>
                <w:color w:val="FFFFFF"/>
              </w:rPr>
              <w:t>Securities</w:t>
            </w:r>
          </w:p>
        </w:tc>
        <w:tc>
          <w:tcPr>
            <w:tcW w:w="1620" w:type="dxa"/>
            <w:vAlign w:val="bottom"/>
            <w:shd w:val="clear" w:color="auto" w:fill="003E64"/>
          </w:tcPr>
          <w:p>
            <w:pPr>
              <w:spacing w:after="0"/>
              <w:rPr>
                <w:sz w:val="14"/>
                <w:szCs w:val="14"/>
                <w:color w:val="auto"/>
              </w:rPr>
            </w:pPr>
          </w:p>
        </w:tc>
        <w:tc>
          <w:tcPr>
            <w:tcW w:w="1740" w:type="dxa"/>
            <w:vAlign w:val="bottom"/>
            <w:shd w:val="clear" w:color="auto" w:fill="003E64"/>
          </w:tcPr>
          <w:p>
            <w:pPr>
              <w:spacing w:after="0"/>
              <w:rPr>
                <w:sz w:val="14"/>
                <w:szCs w:val="14"/>
                <w:color w:val="auto"/>
              </w:rPr>
            </w:pPr>
          </w:p>
        </w:tc>
      </w:tr>
      <w:tr>
        <w:trPr>
          <w:trHeight w:val="162"/>
        </w:trPr>
        <w:tc>
          <w:tcPr>
            <w:tcW w:w="2100" w:type="dxa"/>
            <w:vAlign w:val="bottom"/>
            <w:shd w:val="clear" w:color="auto" w:fill="003E64"/>
          </w:tcPr>
          <w:p>
            <w:pPr>
              <w:spacing w:after="0"/>
              <w:rPr>
                <w:sz w:val="14"/>
                <w:szCs w:val="14"/>
                <w:color w:val="auto"/>
              </w:rPr>
            </w:pPr>
          </w:p>
        </w:tc>
        <w:tc>
          <w:tcPr>
            <w:tcW w:w="880" w:type="dxa"/>
            <w:vAlign w:val="bottom"/>
            <w:shd w:val="clear" w:color="auto" w:fill="003E64"/>
          </w:tcPr>
          <w:p>
            <w:pPr>
              <w:spacing w:after="0"/>
              <w:rPr>
                <w:sz w:val="14"/>
                <w:szCs w:val="14"/>
                <w:color w:val="auto"/>
              </w:rPr>
            </w:pPr>
          </w:p>
        </w:tc>
        <w:tc>
          <w:tcPr>
            <w:tcW w:w="1340" w:type="dxa"/>
            <w:vAlign w:val="bottom"/>
            <w:shd w:val="clear" w:color="auto" w:fill="003E64"/>
          </w:tcPr>
          <w:p>
            <w:pPr>
              <w:jc w:val="center"/>
              <w:spacing w:after="0"/>
              <w:rPr>
                <w:sz w:val="20"/>
                <w:szCs w:val="20"/>
                <w:color w:val="auto"/>
              </w:rPr>
            </w:pPr>
            <w:r>
              <w:rPr>
                <w:rFonts w:ascii="Arial" w:cs="Arial" w:eastAsia="Arial" w:hAnsi="Arial"/>
                <w:sz w:val="14"/>
                <w:szCs w:val="14"/>
                <w:b w:val="1"/>
                <w:bCs w:val="1"/>
                <w:color w:val="FFFFFF"/>
              </w:rPr>
              <w:t>Unexercised</w:t>
            </w:r>
          </w:p>
        </w:tc>
        <w:tc>
          <w:tcPr>
            <w:tcW w:w="1680" w:type="dxa"/>
            <w:vAlign w:val="bottom"/>
            <w:shd w:val="clear" w:color="auto" w:fill="003E64"/>
          </w:tcPr>
          <w:p>
            <w:pPr>
              <w:jc w:val="center"/>
              <w:ind w:left="28"/>
              <w:spacing w:after="0"/>
              <w:rPr>
                <w:sz w:val="20"/>
                <w:szCs w:val="20"/>
                <w:color w:val="auto"/>
              </w:rPr>
            </w:pPr>
            <w:r>
              <w:rPr>
                <w:rFonts w:ascii="Arial" w:cs="Arial" w:eastAsia="Arial" w:hAnsi="Arial"/>
                <w:sz w:val="14"/>
                <w:szCs w:val="14"/>
                <w:b w:val="1"/>
                <w:bCs w:val="1"/>
                <w:color w:val="FFFFFF"/>
              </w:rPr>
              <w:t>Unexercised</w:t>
            </w:r>
          </w:p>
        </w:tc>
        <w:tc>
          <w:tcPr>
            <w:tcW w:w="1880" w:type="dxa"/>
            <w:vAlign w:val="bottom"/>
            <w:shd w:val="clear" w:color="auto" w:fill="003E64"/>
          </w:tcPr>
          <w:p>
            <w:pPr>
              <w:jc w:val="center"/>
              <w:spacing w:after="0"/>
              <w:rPr>
                <w:sz w:val="20"/>
                <w:szCs w:val="20"/>
                <w:color w:val="auto"/>
              </w:rPr>
            </w:pPr>
            <w:r>
              <w:rPr>
                <w:rFonts w:ascii="Arial" w:cs="Arial" w:eastAsia="Arial" w:hAnsi="Arial"/>
                <w:sz w:val="14"/>
                <w:szCs w:val="14"/>
                <w:b w:val="1"/>
                <w:bCs w:val="1"/>
                <w:color w:val="FFFFFF"/>
              </w:rPr>
              <w:t>Underlying</w:t>
            </w:r>
          </w:p>
        </w:tc>
        <w:tc>
          <w:tcPr>
            <w:tcW w:w="1620" w:type="dxa"/>
            <w:vAlign w:val="bottom"/>
            <w:shd w:val="clear" w:color="auto" w:fill="003E64"/>
          </w:tcPr>
          <w:p>
            <w:pPr>
              <w:spacing w:after="0"/>
              <w:rPr>
                <w:sz w:val="14"/>
                <w:szCs w:val="14"/>
                <w:color w:val="auto"/>
              </w:rPr>
            </w:pPr>
          </w:p>
        </w:tc>
        <w:tc>
          <w:tcPr>
            <w:tcW w:w="1740" w:type="dxa"/>
            <w:vAlign w:val="bottom"/>
            <w:shd w:val="clear" w:color="auto" w:fill="003E64"/>
          </w:tcPr>
          <w:p>
            <w:pPr>
              <w:spacing w:after="0"/>
              <w:rPr>
                <w:sz w:val="14"/>
                <w:szCs w:val="14"/>
                <w:color w:val="auto"/>
              </w:rPr>
            </w:pPr>
          </w:p>
        </w:tc>
      </w:tr>
      <w:tr>
        <w:trPr>
          <w:trHeight w:val="162"/>
        </w:trPr>
        <w:tc>
          <w:tcPr>
            <w:tcW w:w="2100" w:type="dxa"/>
            <w:vAlign w:val="bottom"/>
            <w:shd w:val="clear" w:color="auto" w:fill="003E64"/>
          </w:tcPr>
          <w:p>
            <w:pPr>
              <w:spacing w:after="0"/>
              <w:rPr>
                <w:sz w:val="14"/>
                <w:szCs w:val="14"/>
                <w:color w:val="auto"/>
              </w:rPr>
            </w:pPr>
          </w:p>
        </w:tc>
        <w:tc>
          <w:tcPr>
            <w:tcW w:w="880" w:type="dxa"/>
            <w:vAlign w:val="bottom"/>
            <w:shd w:val="clear" w:color="auto" w:fill="003E64"/>
          </w:tcPr>
          <w:p>
            <w:pPr>
              <w:spacing w:after="0"/>
              <w:rPr>
                <w:sz w:val="14"/>
                <w:szCs w:val="14"/>
                <w:color w:val="auto"/>
              </w:rPr>
            </w:pPr>
          </w:p>
        </w:tc>
        <w:tc>
          <w:tcPr>
            <w:tcW w:w="1340" w:type="dxa"/>
            <w:vAlign w:val="bottom"/>
            <w:shd w:val="clear" w:color="auto" w:fill="003E64"/>
          </w:tcPr>
          <w:p>
            <w:pPr>
              <w:jc w:val="center"/>
              <w:spacing w:after="0"/>
              <w:rPr>
                <w:sz w:val="20"/>
                <w:szCs w:val="20"/>
                <w:color w:val="auto"/>
              </w:rPr>
            </w:pPr>
            <w:r>
              <w:rPr>
                <w:rFonts w:ascii="Arial" w:cs="Arial" w:eastAsia="Arial" w:hAnsi="Arial"/>
                <w:sz w:val="14"/>
                <w:szCs w:val="14"/>
                <w:b w:val="1"/>
                <w:bCs w:val="1"/>
                <w:color w:val="FFFFFF"/>
              </w:rPr>
              <w:t>Options</w:t>
            </w:r>
          </w:p>
        </w:tc>
        <w:tc>
          <w:tcPr>
            <w:tcW w:w="1680" w:type="dxa"/>
            <w:vAlign w:val="bottom"/>
            <w:shd w:val="clear" w:color="auto" w:fill="003E64"/>
          </w:tcPr>
          <w:p>
            <w:pPr>
              <w:jc w:val="center"/>
              <w:ind w:left="28"/>
              <w:spacing w:after="0"/>
              <w:rPr>
                <w:sz w:val="20"/>
                <w:szCs w:val="20"/>
                <w:color w:val="auto"/>
              </w:rPr>
            </w:pPr>
            <w:r>
              <w:rPr>
                <w:rFonts w:ascii="Arial" w:cs="Arial" w:eastAsia="Arial" w:hAnsi="Arial"/>
                <w:sz w:val="14"/>
                <w:szCs w:val="14"/>
                <w:b w:val="1"/>
                <w:bCs w:val="1"/>
                <w:color w:val="FFFFFF"/>
              </w:rPr>
              <w:t>Options</w:t>
            </w:r>
          </w:p>
        </w:tc>
        <w:tc>
          <w:tcPr>
            <w:tcW w:w="1880" w:type="dxa"/>
            <w:vAlign w:val="bottom"/>
            <w:shd w:val="clear" w:color="auto" w:fill="003E64"/>
          </w:tcPr>
          <w:p>
            <w:pPr>
              <w:jc w:val="center"/>
              <w:spacing w:after="0"/>
              <w:rPr>
                <w:sz w:val="20"/>
                <w:szCs w:val="20"/>
                <w:color w:val="auto"/>
              </w:rPr>
            </w:pPr>
            <w:r>
              <w:rPr>
                <w:rFonts w:ascii="Arial" w:cs="Arial" w:eastAsia="Arial" w:hAnsi="Arial"/>
                <w:sz w:val="14"/>
                <w:szCs w:val="14"/>
                <w:b w:val="1"/>
                <w:bCs w:val="1"/>
                <w:color w:val="FFFFFF"/>
              </w:rPr>
              <w:t>Unexercised</w:t>
            </w:r>
          </w:p>
        </w:tc>
        <w:tc>
          <w:tcPr>
            <w:tcW w:w="1620" w:type="dxa"/>
            <w:vAlign w:val="bottom"/>
            <w:shd w:val="clear" w:color="auto" w:fill="003E64"/>
          </w:tcPr>
          <w:p>
            <w:pPr>
              <w:jc w:val="center"/>
              <w:spacing w:after="0"/>
              <w:rPr>
                <w:sz w:val="20"/>
                <w:szCs w:val="20"/>
                <w:color w:val="auto"/>
              </w:rPr>
            </w:pPr>
            <w:r>
              <w:rPr>
                <w:rFonts w:ascii="Arial" w:cs="Arial" w:eastAsia="Arial" w:hAnsi="Arial"/>
                <w:sz w:val="14"/>
                <w:szCs w:val="14"/>
                <w:b w:val="1"/>
                <w:bCs w:val="1"/>
                <w:color w:val="FFFFFF"/>
              </w:rPr>
              <w:t>Option Exercise</w:t>
            </w:r>
          </w:p>
        </w:tc>
        <w:tc>
          <w:tcPr>
            <w:tcW w:w="1740" w:type="dxa"/>
            <w:vAlign w:val="bottom"/>
            <w:shd w:val="clear" w:color="auto" w:fill="003E64"/>
          </w:tcPr>
          <w:p>
            <w:pPr>
              <w:jc w:val="center"/>
              <w:spacing w:after="0"/>
              <w:rPr>
                <w:sz w:val="20"/>
                <w:szCs w:val="20"/>
                <w:color w:val="auto"/>
              </w:rPr>
            </w:pPr>
            <w:r>
              <w:rPr>
                <w:rFonts w:ascii="Arial" w:cs="Arial" w:eastAsia="Arial" w:hAnsi="Arial"/>
                <w:sz w:val="14"/>
                <w:szCs w:val="14"/>
                <w:b w:val="1"/>
                <w:bCs w:val="1"/>
                <w:color w:val="FFFFFF"/>
              </w:rPr>
              <w:t>Option Expiration</w:t>
            </w:r>
          </w:p>
        </w:tc>
      </w:tr>
      <w:tr>
        <w:trPr>
          <w:trHeight w:val="175"/>
        </w:trPr>
        <w:tc>
          <w:tcPr>
            <w:tcW w:w="2100" w:type="dxa"/>
            <w:vAlign w:val="bottom"/>
            <w:shd w:val="clear" w:color="auto" w:fill="003E64"/>
          </w:tcPr>
          <w:p>
            <w:pPr>
              <w:ind w:left="860"/>
              <w:spacing w:after="0"/>
              <w:rPr>
                <w:sz w:val="20"/>
                <w:szCs w:val="20"/>
                <w:color w:val="auto"/>
              </w:rPr>
            </w:pPr>
            <w:r>
              <w:rPr>
                <w:rFonts w:ascii="Arial" w:cs="Arial" w:eastAsia="Arial" w:hAnsi="Arial"/>
                <w:sz w:val="14"/>
                <w:szCs w:val="14"/>
                <w:b w:val="1"/>
                <w:bCs w:val="1"/>
                <w:color w:val="FFFFFF"/>
              </w:rPr>
              <w:t>Name</w:t>
            </w:r>
          </w:p>
        </w:tc>
        <w:tc>
          <w:tcPr>
            <w:tcW w:w="880" w:type="dxa"/>
            <w:vAlign w:val="bottom"/>
            <w:shd w:val="clear" w:color="auto" w:fill="003E64"/>
          </w:tcPr>
          <w:p>
            <w:pPr>
              <w:spacing w:after="0"/>
              <w:rPr>
                <w:sz w:val="15"/>
                <w:szCs w:val="15"/>
                <w:color w:val="auto"/>
              </w:rPr>
            </w:pPr>
          </w:p>
        </w:tc>
        <w:tc>
          <w:tcPr>
            <w:tcW w:w="1340" w:type="dxa"/>
            <w:vAlign w:val="bottom"/>
            <w:shd w:val="clear" w:color="auto" w:fill="003E64"/>
          </w:tcPr>
          <w:p>
            <w:pPr>
              <w:jc w:val="center"/>
              <w:spacing w:after="0"/>
              <w:rPr>
                <w:sz w:val="20"/>
                <w:szCs w:val="20"/>
                <w:color w:val="auto"/>
              </w:rPr>
            </w:pPr>
            <w:r>
              <w:rPr>
                <w:rFonts w:ascii="Arial" w:cs="Arial" w:eastAsia="Arial" w:hAnsi="Arial"/>
                <w:sz w:val="14"/>
                <w:szCs w:val="14"/>
                <w:b w:val="1"/>
                <w:bCs w:val="1"/>
                <w:color w:val="FFFFFF"/>
              </w:rPr>
              <w:t>(#) Exercisable</w:t>
            </w:r>
          </w:p>
        </w:tc>
        <w:tc>
          <w:tcPr>
            <w:tcW w:w="1680" w:type="dxa"/>
            <w:vAlign w:val="bottom"/>
            <w:shd w:val="clear" w:color="auto" w:fill="003E64"/>
          </w:tcPr>
          <w:p>
            <w:pPr>
              <w:jc w:val="center"/>
              <w:ind w:left="8"/>
              <w:spacing w:after="0"/>
              <w:rPr>
                <w:sz w:val="20"/>
                <w:szCs w:val="20"/>
                <w:color w:val="auto"/>
              </w:rPr>
            </w:pPr>
            <w:r>
              <w:rPr>
                <w:rFonts w:ascii="Arial" w:cs="Arial" w:eastAsia="Arial" w:hAnsi="Arial"/>
                <w:sz w:val="14"/>
                <w:szCs w:val="14"/>
                <w:b w:val="1"/>
                <w:bCs w:val="1"/>
                <w:color w:val="FFFFFF"/>
              </w:rPr>
              <w:t>(#) Unexercisable</w:t>
            </w:r>
          </w:p>
        </w:tc>
        <w:tc>
          <w:tcPr>
            <w:tcW w:w="1880" w:type="dxa"/>
            <w:vAlign w:val="bottom"/>
            <w:shd w:val="clear" w:color="auto" w:fill="003E64"/>
          </w:tcPr>
          <w:p>
            <w:pPr>
              <w:jc w:val="center"/>
              <w:spacing w:after="0"/>
              <w:rPr>
                <w:sz w:val="20"/>
                <w:szCs w:val="20"/>
                <w:color w:val="auto"/>
              </w:rPr>
            </w:pPr>
            <w:r>
              <w:rPr>
                <w:rFonts w:ascii="Arial" w:cs="Arial" w:eastAsia="Arial" w:hAnsi="Arial"/>
                <w:sz w:val="14"/>
                <w:szCs w:val="14"/>
                <w:b w:val="1"/>
                <w:bCs w:val="1"/>
                <w:color w:val="FFFFFF"/>
              </w:rPr>
              <w:t>Unearned Options (#)</w:t>
            </w:r>
          </w:p>
        </w:tc>
        <w:tc>
          <w:tcPr>
            <w:tcW w:w="1620" w:type="dxa"/>
            <w:vAlign w:val="bottom"/>
            <w:shd w:val="clear" w:color="auto" w:fill="003E64"/>
          </w:tcPr>
          <w:p>
            <w:pPr>
              <w:jc w:val="center"/>
              <w:spacing w:after="0"/>
              <w:rPr>
                <w:sz w:val="20"/>
                <w:szCs w:val="20"/>
                <w:color w:val="auto"/>
              </w:rPr>
            </w:pPr>
            <w:r>
              <w:rPr>
                <w:rFonts w:ascii="Arial" w:cs="Arial" w:eastAsia="Arial" w:hAnsi="Arial"/>
                <w:sz w:val="14"/>
                <w:szCs w:val="14"/>
                <w:b w:val="1"/>
                <w:bCs w:val="1"/>
                <w:color w:val="FFFFFF"/>
              </w:rPr>
              <w:t>Price($)</w:t>
            </w:r>
          </w:p>
        </w:tc>
        <w:tc>
          <w:tcPr>
            <w:tcW w:w="1740" w:type="dxa"/>
            <w:vAlign w:val="bottom"/>
            <w:shd w:val="clear" w:color="auto" w:fill="003E64"/>
          </w:tcPr>
          <w:p>
            <w:pPr>
              <w:jc w:val="center"/>
              <w:spacing w:after="0"/>
              <w:rPr>
                <w:sz w:val="20"/>
                <w:szCs w:val="20"/>
                <w:color w:val="auto"/>
              </w:rPr>
            </w:pPr>
            <w:r>
              <w:rPr>
                <w:rFonts w:ascii="Arial" w:cs="Arial" w:eastAsia="Arial" w:hAnsi="Arial"/>
                <w:sz w:val="14"/>
                <w:szCs w:val="14"/>
                <w:b w:val="1"/>
                <w:bCs w:val="1"/>
                <w:color w:val="FFFFFF"/>
              </w:rPr>
              <w:t>Date</w:t>
            </w:r>
          </w:p>
        </w:tc>
      </w:tr>
      <w:tr>
        <w:trPr>
          <w:trHeight w:val="143"/>
        </w:trPr>
        <w:tc>
          <w:tcPr>
            <w:tcW w:w="2100" w:type="dxa"/>
            <w:vAlign w:val="bottom"/>
          </w:tcPr>
          <w:p>
            <w:pPr>
              <w:spacing w:after="0" w:line="143" w:lineRule="exact"/>
              <w:rPr>
                <w:sz w:val="20"/>
                <w:szCs w:val="20"/>
                <w:color w:val="auto"/>
              </w:rPr>
            </w:pPr>
            <w:r>
              <w:rPr>
                <w:rFonts w:ascii="Arial" w:cs="Arial" w:eastAsia="Arial" w:hAnsi="Arial"/>
                <w:sz w:val="14"/>
                <w:szCs w:val="14"/>
                <w:color w:val="4D4D4F"/>
              </w:rPr>
              <w:t>David H. Wang</w:t>
            </w:r>
          </w:p>
        </w:tc>
        <w:tc>
          <w:tcPr>
            <w:tcW w:w="880" w:type="dxa"/>
            <w:vAlign w:val="bottom"/>
          </w:tcPr>
          <w:p>
            <w:pPr>
              <w:jc w:val="center"/>
              <w:ind w:left="148"/>
              <w:spacing w:after="0" w:line="143" w:lineRule="exact"/>
              <w:rPr>
                <w:sz w:val="20"/>
                <w:szCs w:val="20"/>
                <w:color w:val="auto"/>
              </w:rPr>
            </w:pPr>
            <w:r>
              <w:rPr>
                <w:rFonts w:ascii="Arial" w:cs="Arial" w:eastAsia="Arial" w:hAnsi="Arial"/>
                <w:sz w:val="14"/>
                <w:szCs w:val="14"/>
                <w:color w:val="4D4D4F"/>
              </w:rPr>
              <w:t>(1)(3)</w:t>
            </w:r>
          </w:p>
        </w:tc>
        <w:tc>
          <w:tcPr>
            <w:tcW w:w="1340" w:type="dxa"/>
            <w:vAlign w:val="bottom"/>
          </w:tcPr>
          <w:p>
            <w:pPr>
              <w:jc w:val="center"/>
              <w:spacing w:after="0" w:line="143" w:lineRule="exact"/>
              <w:rPr>
                <w:sz w:val="20"/>
                <w:szCs w:val="20"/>
                <w:color w:val="auto"/>
              </w:rPr>
            </w:pPr>
            <w:r>
              <w:rPr>
                <w:rFonts w:ascii="Arial" w:cs="Arial" w:eastAsia="Arial" w:hAnsi="Arial"/>
                <w:sz w:val="14"/>
                <w:szCs w:val="14"/>
                <w:color w:val="4D4D4F"/>
              </w:rPr>
              <w:t>100,001</w:t>
            </w:r>
          </w:p>
        </w:tc>
        <w:tc>
          <w:tcPr>
            <w:tcW w:w="1680" w:type="dxa"/>
            <w:vAlign w:val="bottom"/>
          </w:tcPr>
          <w:p>
            <w:pPr>
              <w:jc w:val="center"/>
              <w:ind w:left="28"/>
              <w:spacing w:after="0" w:line="143" w:lineRule="exact"/>
              <w:rPr>
                <w:sz w:val="20"/>
                <w:szCs w:val="20"/>
                <w:color w:val="auto"/>
              </w:rPr>
            </w:pPr>
            <w:r>
              <w:rPr>
                <w:rFonts w:ascii="Arial" w:cs="Arial" w:eastAsia="Arial" w:hAnsi="Arial"/>
                <w:sz w:val="14"/>
                <w:szCs w:val="14"/>
                <w:color w:val="4D4D4F"/>
                <w:w w:val="99"/>
              </w:rPr>
              <w:t>—</w:t>
            </w:r>
          </w:p>
        </w:tc>
        <w:tc>
          <w:tcPr>
            <w:tcW w:w="1880" w:type="dxa"/>
            <w:vAlign w:val="bottom"/>
          </w:tcPr>
          <w:p>
            <w:pPr>
              <w:jc w:val="center"/>
              <w:spacing w:after="0" w:line="143" w:lineRule="exact"/>
              <w:rPr>
                <w:sz w:val="20"/>
                <w:szCs w:val="20"/>
                <w:color w:val="auto"/>
              </w:rPr>
            </w:pPr>
            <w:r>
              <w:rPr>
                <w:rFonts w:ascii="Arial" w:cs="Arial" w:eastAsia="Arial" w:hAnsi="Arial"/>
                <w:sz w:val="14"/>
                <w:szCs w:val="14"/>
                <w:color w:val="4D4D4F"/>
                <w:w w:val="99"/>
              </w:rPr>
              <w:t>—</w:t>
            </w:r>
          </w:p>
        </w:tc>
        <w:tc>
          <w:tcPr>
            <w:tcW w:w="1620" w:type="dxa"/>
            <w:vAlign w:val="bottom"/>
          </w:tcPr>
          <w:p>
            <w:pPr>
              <w:jc w:val="center"/>
              <w:spacing w:after="0" w:line="143" w:lineRule="exact"/>
              <w:rPr>
                <w:sz w:val="20"/>
                <w:szCs w:val="20"/>
                <w:color w:val="auto"/>
              </w:rPr>
            </w:pPr>
            <w:r>
              <w:rPr>
                <w:rFonts w:ascii="Arial" w:cs="Arial" w:eastAsia="Arial" w:hAnsi="Arial"/>
                <w:sz w:val="14"/>
                <w:szCs w:val="14"/>
                <w:color w:val="4D4D4F"/>
              </w:rPr>
              <w:t>$0.75</w:t>
            </w:r>
          </w:p>
        </w:tc>
        <w:tc>
          <w:tcPr>
            <w:tcW w:w="1740" w:type="dxa"/>
            <w:vAlign w:val="bottom"/>
          </w:tcPr>
          <w:p>
            <w:pPr>
              <w:jc w:val="center"/>
              <w:spacing w:after="0" w:line="143" w:lineRule="exact"/>
              <w:rPr>
                <w:sz w:val="20"/>
                <w:szCs w:val="20"/>
                <w:color w:val="auto"/>
              </w:rPr>
            </w:pPr>
            <w:r>
              <w:rPr>
                <w:rFonts w:ascii="Arial" w:cs="Arial" w:eastAsia="Arial" w:hAnsi="Arial"/>
                <w:sz w:val="14"/>
                <w:szCs w:val="14"/>
                <w:color w:val="4D4D4F"/>
              </w:rPr>
              <w:t>4/30/2021</w:t>
            </w:r>
          </w:p>
        </w:tc>
      </w:tr>
      <w:tr>
        <w:trPr>
          <w:trHeight w:val="175"/>
        </w:trPr>
        <w:tc>
          <w:tcPr>
            <w:tcW w:w="2100" w:type="dxa"/>
            <w:vAlign w:val="bottom"/>
          </w:tcPr>
          <w:p>
            <w:pPr>
              <w:spacing w:after="0"/>
              <w:rPr>
                <w:sz w:val="15"/>
                <w:szCs w:val="15"/>
                <w:color w:val="auto"/>
              </w:rPr>
            </w:pPr>
          </w:p>
        </w:tc>
        <w:tc>
          <w:tcPr>
            <w:tcW w:w="880" w:type="dxa"/>
            <w:vAlign w:val="bottom"/>
          </w:tcPr>
          <w:p>
            <w:pPr>
              <w:jc w:val="center"/>
              <w:ind w:left="148"/>
              <w:spacing w:after="0"/>
              <w:rPr>
                <w:sz w:val="20"/>
                <w:szCs w:val="20"/>
                <w:color w:val="auto"/>
              </w:rPr>
            </w:pPr>
            <w:r>
              <w:rPr>
                <w:rFonts w:ascii="Arial" w:cs="Arial" w:eastAsia="Arial" w:hAnsi="Arial"/>
                <w:sz w:val="14"/>
                <w:szCs w:val="14"/>
                <w:color w:val="4D4D4F"/>
              </w:rPr>
              <w:t>(1)(4)</w:t>
            </w:r>
          </w:p>
        </w:tc>
        <w:tc>
          <w:tcPr>
            <w:tcW w:w="1340" w:type="dxa"/>
            <w:vAlign w:val="bottom"/>
          </w:tcPr>
          <w:p>
            <w:pPr>
              <w:jc w:val="center"/>
              <w:spacing w:after="0"/>
              <w:rPr>
                <w:sz w:val="20"/>
                <w:szCs w:val="20"/>
                <w:color w:val="auto"/>
              </w:rPr>
            </w:pPr>
            <w:r>
              <w:rPr>
                <w:rFonts w:ascii="Arial" w:cs="Arial" w:eastAsia="Arial" w:hAnsi="Arial"/>
                <w:sz w:val="14"/>
                <w:szCs w:val="14"/>
                <w:color w:val="4D4D4F"/>
              </w:rPr>
              <w:t>400,000</w:t>
            </w:r>
          </w:p>
        </w:tc>
        <w:tc>
          <w:tcPr>
            <w:tcW w:w="1680" w:type="dxa"/>
            <w:vAlign w:val="bottom"/>
          </w:tcPr>
          <w:p>
            <w:pPr>
              <w:jc w:val="center"/>
              <w:ind w:left="28"/>
              <w:spacing w:after="0"/>
              <w:rPr>
                <w:sz w:val="20"/>
                <w:szCs w:val="20"/>
                <w:color w:val="auto"/>
              </w:rPr>
            </w:pPr>
            <w:r>
              <w:rPr>
                <w:rFonts w:ascii="Arial" w:cs="Arial" w:eastAsia="Arial" w:hAnsi="Arial"/>
                <w:sz w:val="14"/>
                <w:szCs w:val="14"/>
                <w:color w:val="4D4D4F"/>
                <w:w w:val="99"/>
              </w:rPr>
              <w:t>—</w:t>
            </w:r>
          </w:p>
        </w:tc>
        <w:tc>
          <w:tcPr>
            <w:tcW w:w="1880" w:type="dxa"/>
            <w:vAlign w:val="bottom"/>
          </w:tcPr>
          <w:p>
            <w:pPr>
              <w:jc w:val="center"/>
              <w:spacing w:after="0"/>
              <w:rPr>
                <w:sz w:val="20"/>
                <w:szCs w:val="20"/>
                <w:color w:val="auto"/>
              </w:rPr>
            </w:pPr>
            <w:r>
              <w:rPr>
                <w:rFonts w:ascii="Arial" w:cs="Arial" w:eastAsia="Arial" w:hAnsi="Arial"/>
                <w:sz w:val="14"/>
                <w:szCs w:val="14"/>
                <w:color w:val="4D4D4F"/>
                <w:w w:val="99"/>
              </w:rPr>
              <w:t>—</w:t>
            </w:r>
          </w:p>
        </w:tc>
        <w:tc>
          <w:tcPr>
            <w:tcW w:w="1620" w:type="dxa"/>
            <w:vAlign w:val="bottom"/>
          </w:tcPr>
          <w:p>
            <w:pPr>
              <w:jc w:val="center"/>
              <w:spacing w:after="0"/>
              <w:rPr>
                <w:sz w:val="20"/>
                <w:szCs w:val="20"/>
                <w:color w:val="auto"/>
              </w:rPr>
            </w:pPr>
            <w:r>
              <w:rPr>
                <w:rFonts w:ascii="Arial" w:cs="Arial" w:eastAsia="Arial" w:hAnsi="Arial"/>
                <w:sz w:val="14"/>
                <w:szCs w:val="14"/>
                <w:color w:val="4D4D4F"/>
              </w:rPr>
              <w:t>1.50</w:t>
            </w:r>
          </w:p>
        </w:tc>
        <w:tc>
          <w:tcPr>
            <w:tcW w:w="1740" w:type="dxa"/>
            <w:vAlign w:val="bottom"/>
          </w:tcPr>
          <w:p>
            <w:pPr>
              <w:jc w:val="center"/>
              <w:spacing w:after="0"/>
              <w:rPr>
                <w:sz w:val="20"/>
                <w:szCs w:val="20"/>
                <w:color w:val="auto"/>
              </w:rPr>
            </w:pPr>
            <w:r>
              <w:rPr>
                <w:rFonts w:ascii="Arial" w:cs="Arial" w:eastAsia="Arial" w:hAnsi="Arial"/>
                <w:sz w:val="14"/>
                <w:szCs w:val="14"/>
                <w:color w:val="4D4D4F"/>
              </w:rPr>
              <w:t>4/30/2025</w:t>
            </w:r>
          </w:p>
        </w:tc>
      </w:tr>
      <w:tr>
        <w:trPr>
          <w:trHeight w:val="176"/>
        </w:trPr>
        <w:tc>
          <w:tcPr>
            <w:tcW w:w="2100" w:type="dxa"/>
            <w:vAlign w:val="bottom"/>
          </w:tcPr>
          <w:p>
            <w:pPr>
              <w:spacing w:after="0"/>
              <w:rPr>
                <w:sz w:val="15"/>
                <w:szCs w:val="15"/>
                <w:color w:val="auto"/>
              </w:rPr>
            </w:pPr>
          </w:p>
        </w:tc>
        <w:tc>
          <w:tcPr>
            <w:tcW w:w="880" w:type="dxa"/>
            <w:vAlign w:val="bottom"/>
          </w:tcPr>
          <w:p>
            <w:pPr>
              <w:jc w:val="center"/>
              <w:ind w:left="148"/>
              <w:spacing w:after="0"/>
              <w:rPr>
                <w:sz w:val="20"/>
                <w:szCs w:val="20"/>
                <w:color w:val="auto"/>
              </w:rPr>
            </w:pPr>
            <w:r>
              <w:rPr>
                <w:rFonts w:ascii="Arial" w:cs="Arial" w:eastAsia="Arial" w:hAnsi="Arial"/>
                <w:sz w:val="14"/>
                <w:szCs w:val="14"/>
                <w:color w:val="4D4D4F"/>
              </w:rPr>
              <w:t>(1)(5)</w:t>
            </w:r>
          </w:p>
        </w:tc>
        <w:tc>
          <w:tcPr>
            <w:tcW w:w="1340" w:type="dxa"/>
            <w:vAlign w:val="bottom"/>
          </w:tcPr>
          <w:p>
            <w:pPr>
              <w:jc w:val="center"/>
              <w:spacing w:after="0"/>
              <w:rPr>
                <w:sz w:val="20"/>
                <w:szCs w:val="20"/>
                <w:color w:val="auto"/>
              </w:rPr>
            </w:pPr>
            <w:r>
              <w:rPr>
                <w:rFonts w:ascii="Arial" w:cs="Arial" w:eastAsia="Arial" w:hAnsi="Arial"/>
                <w:sz w:val="14"/>
                <w:szCs w:val="14"/>
                <w:color w:val="4D4D4F"/>
              </w:rPr>
              <w:t>326,397</w:t>
            </w:r>
          </w:p>
        </w:tc>
        <w:tc>
          <w:tcPr>
            <w:tcW w:w="1680" w:type="dxa"/>
            <w:vAlign w:val="bottom"/>
          </w:tcPr>
          <w:p>
            <w:pPr>
              <w:jc w:val="center"/>
              <w:ind w:left="28"/>
              <w:spacing w:after="0"/>
              <w:rPr>
                <w:sz w:val="20"/>
                <w:szCs w:val="20"/>
                <w:color w:val="auto"/>
              </w:rPr>
            </w:pPr>
            <w:r>
              <w:rPr>
                <w:rFonts w:ascii="Arial" w:cs="Arial" w:eastAsia="Arial" w:hAnsi="Arial"/>
                <w:sz w:val="14"/>
                <w:szCs w:val="14"/>
                <w:color w:val="4D4D4F"/>
              </w:rPr>
              <w:t>6,937</w:t>
            </w:r>
          </w:p>
        </w:tc>
        <w:tc>
          <w:tcPr>
            <w:tcW w:w="1880" w:type="dxa"/>
            <w:vAlign w:val="bottom"/>
          </w:tcPr>
          <w:p>
            <w:pPr>
              <w:jc w:val="center"/>
              <w:spacing w:after="0"/>
              <w:rPr>
                <w:sz w:val="20"/>
                <w:szCs w:val="20"/>
                <w:color w:val="auto"/>
              </w:rPr>
            </w:pPr>
            <w:r>
              <w:rPr>
                <w:rFonts w:ascii="Arial" w:cs="Arial" w:eastAsia="Arial" w:hAnsi="Arial"/>
                <w:sz w:val="14"/>
                <w:szCs w:val="14"/>
                <w:color w:val="4D4D4F"/>
                <w:w w:val="99"/>
              </w:rPr>
              <w:t>—</w:t>
            </w:r>
          </w:p>
        </w:tc>
        <w:tc>
          <w:tcPr>
            <w:tcW w:w="1620" w:type="dxa"/>
            <w:vAlign w:val="bottom"/>
          </w:tcPr>
          <w:p>
            <w:pPr>
              <w:jc w:val="center"/>
              <w:spacing w:after="0"/>
              <w:rPr>
                <w:sz w:val="20"/>
                <w:szCs w:val="20"/>
                <w:color w:val="auto"/>
              </w:rPr>
            </w:pPr>
            <w:r>
              <w:rPr>
                <w:rFonts w:ascii="Arial" w:cs="Arial" w:eastAsia="Arial" w:hAnsi="Arial"/>
                <w:sz w:val="14"/>
                <w:szCs w:val="14"/>
                <w:color w:val="4D4D4F"/>
              </w:rPr>
              <w:t>3.00</w:t>
            </w:r>
          </w:p>
        </w:tc>
        <w:tc>
          <w:tcPr>
            <w:tcW w:w="1740" w:type="dxa"/>
            <w:vAlign w:val="bottom"/>
          </w:tcPr>
          <w:p>
            <w:pPr>
              <w:jc w:val="center"/>
              <w:spacing w:after="0"/>
              <w:rPr>
                <w:sz w:val="20"/>
                <w:szCs w:val="20"/>
                <w:color w:val="auto"/>
              </w:rPr>
            </w:pPr>
            <w:r>
              <w:rPr>
                <w:rFonts w:ascii="Arial" w:cs="Arial" w:eastAsia="Arial" w:hAnsi="Arial"/>
                <w:sz w:val="14"/>
                <w:szCs w:val="14"/>
                <w:color w:val="4D4D4F"/>
              </w:rPr>
              <w:t>12/27/2026</w:t>
            </w:r>
          </w:p>
        </w:tc>
      </w:tr>
      <w:tr>
        <w:trPr>
          <w:trHeight w:val="176"/>
        </w:trPr>
        <w:tc>
          <w:tcPr>
            <w:tcW w:w="2100" w:type="dxa"/>
            <w:vAlign w:val="bottom"/>
          </w:tcPr>
          <w:p>
            <w:pPr>
              <w:spacing w:after="0"/>
              <w:rPr>
                <w:sz w:val="15"/>
                <w:szCs w:val="15"/>
                <w:color w:val="auto"/>
              </w:rPr>
            </w:pPr>
          </w:p>
        </w:tc>
        <w:tc>
          <w:tcPr>
            <w:tcW w:w="880" w:type="dxa"/>
            <w:vAlign w:val="bottom"/>
          </w:tcPr>
          <w:p>
            <w:pPr>
              <w:jc w:val="center"/>
              <w:ind w:left="148"/>
              <w:spacing w:after="0"/>
              <w:rPr>
                <w:sz w:val="20"/>
                <w:szCs w:val="20"/>
                <w:color w:val="auto"/>
              </w:rPr>
            </w:pPr>
            <w:r>
              <w:rPr>
                <w:rFonts w:ascii="Arial" w:cs="Arial" w:eastAsia="Arial" w:hAnsi="Arial"/>
                <w:sz w:val="14"/>
                <w:szCs w:val="14"/>
                <w:color w:val="4D4D4F"/>
              </w:rPr>
              <w:t>(1)(6)</w:t>
            </w:r>
          </w:p>
        </w:tc>
        <w:tc>
          <w:tcPr>
            <w:tcW w:w="1340" w:type="dxa"/>
            <w:vAlign w:val="bottom"/>
          </w:tcPr>
          <w:p>
            <w:pPr>
              <w:jc w:val="center"/>
              <w:spacing w:after="0"/>
              <w:rPr>
                <w:sz w:val="20"/>
                <w:szCs w:val="20"/>
                <w:color w:val="auto"/>
              </w:rPr>
            </w:pPr>
            <w:r>
              <w:rPr>
                <w:rFonts w:ascii="Arial" w:cs="Arial" w:eastAsia="Arial" w:hAnsi="Arial"/>
                <w:sz w:val="14"/>
                <w:szCs w:val="14"/>
                <w:color w:val="4D4D4F"/>
              </w:rPr>
              <w:t>20,833</w:t>
            </w:r>
          </w:p>
        </w:tc>
        <w:tc>
          <w:tcPr>
            <w:tcW w:w="1680" w:type="dxa"/>
            <w:vAlign w:val="bottom"/>
          </w:tcPr>
          <w:p>
            <w:pPr>
              <w:jc w:val="center"/>
              <w:ind w:left="28"/>
              <w:spacing w:after="0"/>
              <w:rPr>
                <w:sz w:val="20"/>
                <w:szCs w:val="20"/>
                <w:color w:val="auto"/>
              </w:rPr>
            </w:pPr>
            <w:r>
              <w:rPr>
                <w:rFonts w:ascii="Arial" w:cs="Arial" w:eastAsia="Arial" w:hAnsi="Arial"/>
                <w:sz w:val="14"/>
                <w:szCs w:val="14"/>
                <w:color w:val="4D4D4F"/>
              </w:rPr>
              <w:t>29,167</w:t>
            </w:r>
          </w:p>
        </w:tc>
        <w:tc>
          <w:tcPr>
            <w:tcW w:w="1880" w:type="dxa"/>
            <w:vAlign w:val="bottom"/>
          </w:tcPr>
          <w:p>
            <w:pPr>
              <w:jc w:val="center"/>
              <w:spacing w:after="0"/>
              <w:rPr>
                <w:sz w:val="20"/>
                <w:szCs w:val="20"/>
                <w:color w:val="auto"/>
              </w:rPr>
            </w:pPr>
            <w:r>
              <w:rPr>
                <w:rFonts w:ascii="Arial" w:cs="Arial" w:eastAsia="Arial" w:hAnsi="Arial"/>
                <w:sz w:val="14"/>
                <w:szCs w:val="14"/>
                <w:color w:val="4D4D4F"/>
                <w:w w:val="99"/>
              </w:rPr>
              <w:t>—</w:t>
            </w:r>
          </w:p>
        </w:tc>
        <w:tc>
          <w:tcPr>
            <w:tcW w:w="1620" w:type="dxa"/>
            <w:vAlign w:val="bottom"/>
          </w:tcPr>
          <w:p>
            <w:pPr>
              <w:jc w:val="center"/>
              <w:spacing w:after="0"/>
              <w:rPr>
                <w:sz w:val="20"/>
                <w:szCs w:val="20"/>
                <w:color w:val="auto"/>
              </w:rPr>
            </w:pPr>
            <w:r>
              <w:rPr>
                <w:rFonts w:ascii="Arial" w:cs="Arial" w:eastAsia="Arial" w:hAnsi="Arial"/>
                <w:sz w:val="14"/>
                <w:szCs w:val="14"/>
                <w:color w:val="4D4D4F"/>
              </w:rPr>
              <w:t>16.81</w:t>
            </w:r>
          </w:p>
        </w:tc>
        <w:tc>
          <w:tcPr>
            <w:tcW w:w="1740" w:type="dxa"/>
            <w:vAlign w:val="bottom"/>
          </w:tcPr>
          <w:p>
            <w:pPr>
              <w:jc w:val="center"/>
              <w:spacing w:after="0"/>
              <w:rPr>
                <w:sz w:val="20"/>
                <w:szCs w:val="20"/>
                <w:color w:val="auto"/>
              </w:rPr>
            </w:pPr>
            <w:r>
              <w:rPr>
                <w:rFonts w:ascii="Arial" w:cs="Arial" w:eastAsia="Arial" w:hAnsi="Arial"/>
                <w:sz w:val="14"/>
                <w:szCs w:val="14"/>
                <w:color w:val="4D4D4F"/>
              </w:rPr>
              <w:t>4/22/2029</w:t>
            </w:r>
          </w:p>
        </w:tc>
      </w:tr>
      <w:tr>
        <w:trPr>
          <w:trHeight w:val="175"/>
        </w:trPr>
        <w:tc>
          <w:tcPr>
            <w:tcW w:w="2100" w:type="dxa"/>
            <w:vAlign w:val="bottom"/>
          </w:tcPr>
          <w:p>
            <w:pPr>
              <w:spacing w:after="0"/>
              <w:rPr>
                <w:sz w:val="15"/>
                <w:szCs w:val="15"/>
                <w:color w:val="auto"/>
              </w:rPr>
            </w:pPr>
          </w:p>
        </w:tc>
        <w:tc>
          <w:tcPr>
            <w:tcW w:w="880" w:type="dxa"/>
            <w:vAlign w:val="bottom"/>
          </w:tcPr>
          <w:p>
            <w:pPr>
              <w:jc w:val="center"/>
              <w:ind w:left="148"/>
              <w:spacing w:after="0"/>
              <w:rPr>
                <w:sz w:val="20"/>
                <w:szCs w:val="20"/>
                <w:color w:val="auto"/>
              </w:rPr>
            </w:pPr>
            <w:r>
              <w:rPr>
                <w:rFonts w:ascii="Arial" w:cs="Arial" w:eastAsia="Arial" w:hAnsi="Arial"/>
                <w:sz w:val="14"/>
                <w:szCs w:val="14"/>
                <w:color w:val="4D4D4F"/>
              </w:rPr>
              <w:t>(1)(7)</w:t>
            </w:r>
          </w:p>
        </w:tc>
        <w:tc>
          <w:tcPr>
            <w:tcW w:w="1340" w:type="dxa"/>
            <w:vAlign w:val="bottom"/>
          </w:tcPr>
          <w:p>
            <w:pPr>
              <w:jc w:val="center"/>
              <w:spacing w:after="0"/>
              <w:rPr>
                <w:sz w:val="20"/>
                <w:szCs w:val="20"/>
                <w:color w:val="auto"/>
              </w:rPr>
            </w:pPr>
            <w:r>
              <w:rPr>
                <w:rFonts w:ascii="Arial" w:cs="Arial" w:eastAsia="Arial" w:hAnsi="Arial"/>
                <w:sz w:val="14"/>
                <w:szCs w:val="14"/>
                <w:color w:val="4D4D4F"/>
              </w:rPr>
              <w:t>181,799</w:t>
            </w:r>
          </w:p>
        </w:tc>
        <w:tc>
          <w:tcPr>
            <w:tcW w:w="1680" w:type="dxa"/>
            <w:vAlign w:val="bottom"/>
          </w:tcPr>
          <w:p>
            <w:pPr>
              <w:jc w:val="center"/>
              <w:ind w:left="28"/>
              <w:spacing w:after="0"/>
              <w:rPr>
                <w:sz w:val="20"/>
                <w:szCs w:val="20"/>
                <w:color w:val="auto"/>
              </w:rPr>
            </w:pPr>
            <w:r>
              <w:rPr>
                <w:rFonts w:ascii="Arial" w:cs="Arial" w:eastAsia="Arial" w:hAnsi="Arial"/>
                <w:sz w:val="14"/>
                <w:szCs w:val="14"/>
                <w:color w:val="4D4D4F"/>
                <w:w w:val="99"/>
              </w:rPr>
              <w:t>—</w:t>
            </w:r>
          </w:p>
        </w:tc>
        <w:tc>
          <w:tcPr>
            <w:tcW w:w="1880" w:type="dxa"/>
            <w:vAlign w:val="bottom"/>
          </w:tcPr>
          <w:p>
            <w:pPr>
              <w:jc w:val="center"/>
              <w:spacing w:after="0"/>
              <w:rPr>
                <w:sz w:val="20"/>
                <w:szCs w:val="20"/>
                <w:color w:val="auto"/>
              </w:rPr>
            </w:pPr>
            <w:r>
              <w:rPr>
                <w:rFonts w:ascii="Arial" w:cs="Arial" w:eastAsia="Arial" w:hAnsi="Arial"/>
                <w:sz w:val="14"/>
                <w:szCs w:val="14"/>
                <w:color w:val="4D4D4F"/>
              </w:rPr>
              <w:t>363,598</w:t>
            </w:r>
          </w:p>
        </w:tc>
        <w:tc>
          <w:tcPr>
            <w:tcW w:w="1620" w:type="dxa"/>
            <w:vAlign w:val="bottom"/>
          </w:tcPr>
          <w:p>
            <w:pPr>
              <w:jc w:val="center"/>
              <w:spacing w:after="0"/>
              <w:rPr>
                <w:sz w:val="20"/>
                <w:szCs w:val="20"/>
                <w:color w:val="auto"/>
              </w:rPr>
            </w:pPr>
            <w:r>
              <w:rPr>
                <w:rFonts w:ascii="Arial" w:cs="Arial" w:eastAsia="Arial" w:hAnsi="Arial"/>
                <w:sz w:val="14"/>
                <w:szCs w:val="14"/>
                <w:color w:val="4D4D4F"/>
              </w:rPr>
              <w:t>22.07</w:t>
            </w:r>
          </w:p>
        </w:tc>
        <w:tc>
          <w:tcPr>
            <w:tcW w:w="1740" w:type="dxa"/>
            <w:vAlign w:val="bottom"/>
          </w:tcPr>
          <w:p>
            <w:pPr>
              <w:jc w:val="center"/>
              <w:spacing w:after="0"/>
              <w:rPr>
                <w:sz w:val="20"/>
                <w:szCs w:val="20"/>
                <w:color w:val="auto"/>
              </w:rPr>
            </w:pPr>
            <w:r>
              <w:rPr>
                <w:rFonts w:ascii="Arial" w:cs="Arial" w:eastAsia="Arial" w:hAnsi="Arial"/>
                <w:sz w:val="14"/>
                <w:szCs w:val="14"/>
                <w:color w:val="4D4D4F"/>
              </w:rPr>
              <w:t>3/19/2030</w:t>
            </w:r>
          </w:p>
        </w:tc>
      </w:tr>
      <w:tr>
        <w:trPr>
          <w:trHeight w:val="208"/>
        </w:trPr>
        <w:tc>
          <w:tcPr>
            <w:tcW w:w="2100" w:type="dxa"/>
            <w:vAlign w:val="bottom"/>
          </w:tcPr>
          <w:p>
            <w:pPr>
              <w:spacing w:after="0"/>
              <w:rPr>
                <w:sz w:val="18"/>
                <w:szCs w:val="18"/>
                <w:color w:val="auto"/>
              </w:rPr>
            </w:pPr>
          </w:p>
        </w:tc>
        <w:tc>
          <w:tcPr>
            <w:tcW w:w="880" w:type="dxa"/>
            <w:vAlign w:val="bottom"/>
          </w:tcPr>
          <w:p>
            <w:pPr>
              <w:jc w:val="center"/>
              <w:ind w:left="148"/>
              <w:spacing w:after="0"/>
              <w:rPr>
                <w:sz w:val="20"/>
                <w:szCs w:val="20"/>
                <w:color w:val="auto"/>
              </w:rPr>
            </w:pPr>
            <w:r>
              <w:rPr>
                <w:rFonts w:ascii="Arial" w:cs="Arial" w:eastAsia="Arial" w:hAnsi="Arial"/>
                <w:sz w:val="14"/>
                <w:szCs w:val="14"/>
                <w:color w:val="4D4D4F"/>
              </w:rPr>
              <w:t>(2)(8)</w:t>
            </w:r>
          </w:p>
        </w:tc>
        <w:tc>
          <w:tcPr>
            <w:tcW w:w="1340" w:type="dxa"/>
            <w:vAlign w:val="bottom"/>
          </w:tcPr>
          <w:p>
            <w:pPr>
              <w:jc w:val="center"/>
              <w:spacing w:after="0"/>
              <w:rPr>
                <w:sz w:val="20"/>
                <w:szCs w:val="20"/>
                <w:color w:val="auto"/>
              </w:rPr>
            </w:pPr>
            <w:r>
              <w:rPr>
                <w:rFonts w:ascii="Arial" w:cs="Arial" w:eastAsia="Arial" w:hAnsi="Arial"/>
                <w:sz w:val="14"/>
                <w:szCs w:val="14"/>
                <w:color w:val="4D4D4F"/>
                <w:w w:val="99"/>
              </w:rPr>
              <w:t>—</w:t>
            </w:r>
          </w:p>
        </w:tc>
        <w:tc>
          <w:tcPr>
            <w:tcW w:w="1680" w:type="dxa"/>
            <w:vAlign w:val="bottom"/>
          </w:tcPr>
          <w:p>
            <w:pPr>
              <w:jc w:val="center"/>
              <w:ind w:left="28"/>
              <w:spacing w:after="0"/>
              <w:rPr>
                <w:sz w:val="20"/>
                <w:szCs w:val="20"/>
                <w:color w:val="auto"/>
              </w:rPr>
            </w:pPr>
            <w:r>
              <w:rPr>
                <w:rFonts w:ascii="Arial" w:cs="Arial" w:eastAsia="Arial" w:hAnsi="Arial"/>
                <w:sz w:val="14"/>
                <w:szCs w:val="14"/>
                <w:color w:val="4D4D4F"/>
                <w:w w:val="99"/>
              </w:rPr>
              <w:t>—</w:t>
            </w:r>
          </w:p>
        </w:tc>
        <w:tc>
          <w:tcPr>
            <w:tcW w:w="1880" w:type="dxa"/>
            <w:vAlign w:val="bottom"/>
          </w:tcPr>
          <w:p>
            <w:pPr>
              <w:jc w:val="center"/>
              <w:spacing w:after="0"/>
              <w:rPr>
                <w:sz w:val="20"/>
                <w:szCs w:val="20"/>
                <w:color w:val="auto"/>
              </w:rPr>
            </w:pPr>
            <w:r>
              <w:rPr>
                <w:rFonts w:ascii="Arial" w:cs="Arial" w:eastAsia="Arial" w:hAnsi="Arial"/>
                <w:sz w:val="14"/>
                <w:szCs w:val="14"/>
                <w:color w:val="4D4D4F"/>
              </w:rPr>
              <w:t>538,462</w:t>
            </w:r>
          </w:p>
        </w:tc>
        <w:tc>
          <w:tcPr>
            <w:tcW w:w="1620" w:type="dxa"/>
            <w:vAlign w:val="bottom"/>
          </w:tcPr>
          <w:p>
            <w:pPr>
              <w:jc w:val="center"/>
              <w:spacing w:after="0"/>
              <w:rPr>
                <w:sz w:val="20"/>
                <w:szCs w:val="20"/>
                <w:color w:val="auto"/>
              </w:rPr>
            </w:pPr>
            <w:r>
              <w:rPr>
                <w:rFonts w:ascii="Arial" w:cs="Arial" w:eastAsia="Arial" w:hAnsi="Arial"/>
                <w:sz w:val="14"/>
                <w:szCs w:val="14"/>
                <w:color w:val="4D4D4F"/>
              </w:rPr>
              <w:t>1.89</w:t>
            </w:r>
          </w:p>
        </w:tc>
        <w:tc>
          <w:tcPr>
            <w:tcW w:w="1740" w:type="dxa"/>
            <w:vAlign w:val="bottom"/>
          </w:tcPr>
          <w:p>
            <w:pPr>
              <w:jc w:val="center"/>
              <w:spacing w:after="0"/>
              <w:rPr>
                <w:sz w:val="20"/>
                <w:szCs w:val="20"/>
                <w:color w:val="auto"/>
              </w:rPr>
            </w:pPr>
            <w:r>
              <w:rPr>
                <w:rFonts w:ascii="Arial" w:cs="Arial" w:eastAsia="Arial" w:hAnsi="Arial"/>
                <w:sz w:val="14"/>
                <w:szCs w:val="14"/>
                <w:color w:val="4D4D4F"/>
              </w:rPr>
              <w:t>12/31/2024</w:t>
            </w:r>
          </w:p>
        </w:tc>
      </w:tr>
      <w:tr>
        <w:trPr>
          <w:trHeight w:val="175"/>
        </w:trPr>
        <w:tc>
          <w:tcPr>
            <w:tcW w:w="2100" w:type="dxa"/>
            <w:vAlign w:val="bottom"/>
            <w:shd w:val="clear" w:color="auto" w:fill="CCEEFF"/>
          </w:tcPr>
          <w:p>
            <w:pPr>
              <w:spacing w:after="0"/>
              <w:rPr>
                <w:sz w:val="20"/>
                <w:szCs w:val="20"/>
                <w:color w:val="auto"/>
              </w:rPr>
            </w:pPr>
            <w:r>
              <w:rPr>
                <w:rFonts w:ascii="Arial" w:cs="Arial" w:eastAsia="Arial" w:hAnsi="Arial"/>
                <w:sz w:val="14"/>
                <w:szCs w:val="14"/>
                <w:color w:val="4D4D4F"/>
              </w:rPr>
              <w:t>Mark McKechnie</w:t>
            </w:r>
          </w:p>
        </w:tc>
        <w:tc>
          <w:tcPr>
            <w:tcW w:w="880" w:type="dxa"/>
            <w:vAlign w:val="bottom"/>
            <w:shd w:val="clear" w:color="auto" w:fill="CCEEFF"/>
          </w:tcPr>
          <w:p>
            <w:pPr>
              <w:jc w:val="center"/>
              <w:ind w:left="148"/>
              <w:spacing w:after="0"/>
              <w:rPr>
                <w:sz w:val="20"/>
                <w:szCs w:val="20"/>
                <w:color w:val="auto"/>
              </w:rPr>
            </w:pPr>
            <w:r>
              <w:rPr>
                <w:rFonts w:ascii="Arial" w:cs="Arial" w:eastAsia="Arial" w:hAnsi="Arial"/>
                <w:sz w:val="14"/>
                <w:szCs w:val="14"/>
                <w:color w:val="4D4D4F"/>
              </w:rPr>
              <w:t>(1)(9)</w:t>
            </w:r>
          </w:p>
        </w:tc>
        <w:tc>
          <w:tcPr>
            <w:tcW w:w="1340" w:type="dxa"/>
            <w:vAlign w:val="bottom"/>
            <w:shd w:val="clear" w:color="auto" w:fill="CCEEFF"/>
          </w:tcPr>
          <w:p>
            <w:pPr>
              <w:jc w:val="center"/>
              <w:spacing w:after="0"/>
              <w:rPr>
                <w:sz w:val="20"/>
                <w:szCs w:val="20"/>
                <w:color w:val="auto"/>
              </w:rPr>
            </w:pPr>
            <w:r>
              <w:rPr>
                <w:rFonts w:ascii="Arial" w:cs="Arial" w:eastAsia="Arial" w:hAnsi="Arial"/>
                <w:sz w:val="14"/>
                <w:szCs w:val="14"/>
                <w:color w:val="4D4D4F"/>
              </w:rPr>
              <w:t>13,333</w:t>
            </w:r>
          </w:p>
        </w:tc>
        <w:tc>
          <w:tcPr>
            <w:tcW w:w="168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4D4D4F"/>
              </w:rPr>
              <w:t>16,667</w:t>
            </w:r>
          </w:p>
        </w:tc>
        <w:tc>
          <w:tcPr>
            <w:tcW w:w="1880" w:type="dxa"/>
            <w:vAlign w:val="bottom"/>
            <w:shd w:val="clear" w:color="auto" w:fill="CCEEFF"/>
          </w:tcPr>
          <w:p>
            <w:pPr>
              <w:jc w:val="center"/>
              <w:spacing w:after="0"/>
              <w:rPr>
                <w:sz w:val="20"/>
                <w:szCs w:val="20"/>
                <w:color w:val="auto"/>
              </w:rPr>
            </w:pPr>
            <w:r>
              <w:rPr>
                <w:rFonts w:ascii="Arial" w:cs="Arial" w:eastAsia="Arial" w:hAnsi="Arial"/>
                <w:sz w:val="14"/>
                <w:szCs w:val="14"/>
                <w:color w:val="4D4D4F"/>
                <w:w w:val="99"/>
              </w:rPr>
              <w:t>—</w:t>
            </w:r>
          </w:p>
        </w:tc>
        <w:tc>
          <w:tcPr>
            <w:tcW w:w="1620" w:type="dxa"/>
            <w:vAlign w:val="bottom"/>
            <w:shd w:val="clear" w:color="auto" w:fill="CCEEFF"/>
          </w:tcPr>
          <w:p>
            <w:pPr>
              <w:jc w:val="center"/>
              <w:spacing w:after="0"/>
              <w:rPr>
                <w:sz w:val="20"/>
                <w:szCs w:val="20"/>
                <w:color w:val="auto"/>
              </w:rPr>
            </w:pPr>
            <w:r>
              <w:rPr>
                <w:rFonts w:ascii="Arial" w:cs="Arial" w:eastAsia="Arial" w:hAnsi="Arial"/>
                <w:sz w:val="14"/>
                <w:szCs w:val="14"/>
                <w:color w:val="4D4D4F"/>
              </w:rPr>
              <w:t>13.85</w:t>
            </w:r>
          </w:p>
        </w:tc>
        <w:tc>
          <w:tcPr>
            <w:tcW w:w="1740" w:type="dxa"/>
            <w:vAlign w:val="bottom"/>
            <w:shd w:val="clear" w:color="auto" w:fill="CCEEFF"/>
          </w:tcPr>
          <w:p>
            <w:pPr>
              <w:jc w:val="center"/>
              <w:spacing w:after="0"/>
              <w:rPr>
                <w:sz w:val="20"/>
                <w:szCs w:val="20"/>
                <w:color w:val="auto"/>
              </w:rPr>
            </w:pPr>
            <w:r>
              <w:rPr>
                <w:rFonts w:ascii="Arial" w:cs="Arial" w:eastAsia="Arial" w:hAnsi="Arial"/>
                <w:sz w:val="14"/>
                <w:szCs w:val="14"/>
                <w:color w:val="4D4D4F"/>
              </w:rPr>
              <w:t>07/31/2028</w:t>
            </w:r>
          </w:p>
        </w:tc>
      </w:tr>
      <w:tr>
        <w:trPr>
          <w:trHeight w:val="176"/>
        </w:trPr>
        <w:tc>
          <w:tcPr>
            <w:tcW w:w="2100" w:type="dxa"/>
            <w:vAlign w:val="bottom"/>
            <w:shd w:val="clear" w:color="auto" w:fill="CCEEFF"/>
          </w:tcPr>
          <w:p>
            <w:pPr>
              <w:spacing w:after="0"/>
              <w:rPr>
                <w:sz w:val="15"/>
                <w:szCs w:val="15"/>
                <w:color w:val="auto"/>
              </w:rPr>
            </w:pPr>
          </w:p>
        </w:tc>
        <w:tc>
          <w:tcPr>
            <w:tcW w:w="880" w:type="dxa"/>
            <w:vAlign w:val="bottom"/>
            <w:shd w:val="clear" w:color="auto" w:fill="CCEEFF"/>
          </w:tcPr>
          <w:p>
            <w:pPr>
              <w:jc w:val="center"/>
              <w:ind w:left="148"/>
              <w:spacing w:after="0"/>
              <w:rPr>
                <w:sz w:val="20"/>
                <w:szCs w:val="20"/>
                <w:color w:val="auto"/>
              </w:rPr>
            </w:pPr>
            <w:r>
              <w:rPr>
                <w:rFonts w:ascii="Arial" w:cs="Arial" w:eastAsia="Arial" w:hAnsi="Arial"/>
                <w:sz w:val="14"/>
                <w:szCs w:val="14"/>
                <w:color w:val="4D4D4F"/>
              </w:rPr>
              <w:t>(1)(6)</w:t>
            </w:r>
          </w:p>
        </w:tc>
        <w:tc>
          <w:tcPr>
            <w:tcW w:w="1340" w:type="dxa"/>
            <w:vAlign w:val="bottom"/>
            <w:shd w:val="clear" w:color="auto" w:fill="CCEEFF"/>
          </w:tcPr>
          <w:p>
            <w:pPr>
              <w:jc w:val="center"/>
              <w:spacing w:after="0"/>
              <w:rPr>
                <w:sz w:val="20"/>
                <w:szCs w:val="20"/>
                <w:color w:val="auto"/>
              </w:rPr>
            </w:pPr>
            <w:r>
              <w:rPr>
                <w:rFonts w:ascii="Arial" w:cs="Arial" w:eastAsia="Arial" w:hAnsi="Arial"/>
                <w:sz w:val="14"/>
                <w:szCs w:val="14"/>
                <w:color w:val="4D4D4F"/>
              </w:rPr>
              <w:t>5,000</w:t>
            </w:r>
          </w:p>
        </w:tc>
        <w:tc>
          <w:tcPr>
            <w:tcW w:w="168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4D4D4F"/>
              </w:rPr>
              <w:t>17,500</w:t>
            </w:r>
          </w:p>
        </w:tc>
        <w:tc>
          <w:tcPr>
            <w:tcW w:w="1880" w:type="dxa"/>
            <w:vAlign w:val="bottom"/>
            <w:shd w:val="clear" w:color="auto" w:fill="CCEEFF"/>
          </w:tcPr>
          <w:p>
            <w:pPr>
              <w:jc w:val="center"/>
              <w:spacing w:after="0"/>
              <w:rPr>
                <w:sz w:val="20"/>
                <w:szCs w:val="20"/>
                <w:color w:val="auto"/>
              </w:rPr>
            </w:pPr>
            <w:r>
              <w:rPr>
                <w:rFonts w:ascii="Arial" w:cs="Arial" w:eastAsia="Arial" w:hAnsi="Arial"/>
                <w:sz w:val="14"/>
                <w:szCs w:val="14"/>
                <w:color w:val="4D4D4F"/>
                <w:w w:val="99"/>
              </w:rPr>
              <w:t>—</w:t>
            </w:r>
          </w:p>
        </w:tc>
        <w:tc>
          <w:tcPr>
            <w:tcW w:w="1620" w:type="dxa"/>
            <w:vAlign w:val="bottom"/>
            <w:shd w:val="clear" w:color="auto" w:fill="CCEEFF"/>
          </w:tcPr>
          <w:p>
            <w:pPr>
              <w:jc w:val="center"/>
              <w:spacing w:after="0"/>
              <w:rPr>
                <w:sz w:val="20"/>
                <w:szCs w:val="20"/>
                <w:color w:val="auto"/>
              </w:rPr>
            </w:pPr>
            <w:r>
              <w:rPr>
                <w:rFonts w:ascii="Arial" w:cs="Arial" w:eastAsia="Arial" w:hAnsi="Arial"/>
                <w:sz w:val="14"/>
                <w:szCs w:val="14"/>
                <w:color w:val="4D4D4F"/>
              </w:rPr>
              <w:t>16.81</w:t>
            </w:r>
          </w:p>
        </w:tc>
        <w:tc>
          <w:tcPr>
            <w:tcW w:w="1740" w:type="dxa"/>
            <w:vAlign w:val="bottom"/>
            <w:shd w:val="clear" w:color="auto" w:fill="CCEEFF"/>
          </w:tcPr>
          <w:p>
            <w:pPr>
              <w:jc w:val="center"/>
              <w:spacing w:after="0"/>
              <w:rPr>
                <w:sz w:val="20"/>
                <w:szCs w:val="20"/>
                <w:color w:val="auto"/>
              </w:rPr>
            </w:pPr>
            <w:r>
              <w:rPr>
                <w:rFonts w:ascii="Arial" w:cs="Arial" w:eastAsia="Arial" w:hAnsi="Arial"/>
                <w:sz w:val="14"/>
                <w:szCs w:val="14"/>
                <w:color w:val="4D4D4F"/>
              </w:rPr>
              <w:t>04/22/2029</w:t>
            </w:r>
          </w:p>
        </w:tc>
      </w:tr>
      <w:tr>
        <w:trPr>
          <w:trHeight w:val="175"/>
        </w:trPr>
        <w:tc>
          <w:tcPr>
            <w:tcW w:w="2100" w:type="dxa"/>
            <w:vAlign w:val="bottom"/>
            <w:shd w:val="clear" w:color="auto" w:fill="CCEEFF"/>
          </w:tcPr>
          <w:p>
            <w:pPr>
              <w:spacing w:after="0"/>
              <w:rPr>
                <w:sz w:val="15"/>
                <w:szCs w:val="15"/>
                <w:color w:val="auto"/>
              </w:rPr>
            </w:pPr>
          </w:p>
        </w:tc>
        <w:tc>
          <w:tcPr>
            <w:tcW w:w="880" w:type="dxa"/>
            <w:vAlign w:val="bottom"/>
            <w:shd w:val="clear" w:color="auto" w:fill="CCEEFF"/>
          </w:tcPr>
          <w:p>
            <w:pPr>
              <w:jc w:val="center"/>
              <w:ind w:left="148"/>
              <w:spacing w:after="0"/>
              <w:rPr>
                <w:sz w:val="20"/>
                <w:szCs w:val="20"/>
                <w:color w:val="auto"/>
              </w:rPr>
            </w:pPr>
            <w:r>
              <w:rPr>
                <w:rFonts w:ascii="Arial" w:cs="Arial" w:eastAsia="Arial" w:hAnsi="Arial"/>
                <w:sz w:val="14"/>
                <w:szCs w:val="14"/>
                <w:color w:val="4D4D4F"/>
              </w:rPr>
              <w:t>(1)(10)</w:t>
            </w:r>
          </w:p>
        </w:tc>
        <w:tc>
          <w:tcPr>
            <w:tcW w:w="1340" w:type="dxa"/>
            <w:vAlign w:val="bottom"/>
            <w:shd w:val="clear" w:color="auto" w:fill="CCEEFF"/>
          </w:tcPr>
          <w:p>
            <w:pPr>
              <w:jc w:val="center"/>
              <w:spacing w:after="0"/>
              <w:rPr>
                <w:sz w:val="20"/>
                <w:szCs w:val="20"/>
                <w:color w:val="auto"/>
              </w:rPr>
            </w:pPr>
            <w:r>
              <w:rPr>
                <w:rFonts w:ascii="Arial" w:cs="Arial" w:eastAsia="Arial" w:hAnsi="Arial"/>
                <w:sz w:val="14"/>
                <w:szCs w:val="14"/>
                <w:color w:val="4D4D4F"/>
              </w:rPr>
              <w:t>5,416</w:t>
            </w:r>
          </w:p>
        </w:tc>
        <w:tc>
          <w:tcPr>
            <w:tcW w:w="168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4D4D4F"/>
              </w:rPr>
              <w:t>14,584</w:t>
            </w:r>
          </w:p>
        </w:tc>
        <w:tc>
          <w:tcPr>
            <w:tcW w:w="1880" w:type="dxa"/>
            <w:vAlign w:val="bottom"/>
            <w:shd w:val="clear" w:color="auto" w:fill="CCEEFF"/>
          </w:tcPr>
          <w:p>
            <w:pPr>
              <w:jc w:val="center"/>
              <w:spacing w:after="0"/>
              <w:rPr>
                <w:sz w:val="20"/>
                <w:szCs w:val="20"/>
                <w:color w:val="auto"/>
              </w:rPr>
            </w:pPr>
            <w:r>
              <w:rPr>
                <w:rFonts w:ascii="Arial" w:cs="Arial" w:eastAsia="Arial" w:hAnsi="Arial"/>
                <w:sz w:val="14"/>
                <w:szCs w:val="14"/>
                <w:color w:val="4D4D4F"/>
                <w:w w:val="99"/>
              </w:rPr>
              <w:t>—</w:t>
            </w:r>
          </w:p>
        </w:tc>
        <w:tc>
          <w:tcPr>
            <w:tcW w:w="1620" w:type="dxa"/>
            <w:vAlign w:val="bottom"/>
            <w:shd w:val="clear" w:color="auto" w:fill="CCEEFF"/>
          </w:tcPr>
          <w:p>
            <w:pPr>
              <w:jc w:val="center"/>
              <w:spacing w:after="0"/>
              <w:rPr>
                <w:sz w:val="20"/>
                <w:szCs w:val="20"/>
                <w:color w:val="auto"/>
              </w:rPr>
            </w:pPr>
            <w:r>
              <w:rPr>
                <w:rFonts w:ascii="Arial" w:cs="Arial" w:eastAsia="Arial" w:hAnsi="Arial"/>
                <w:sz w:val="14"/>
                <w:szCs w:val="14"/>
                <w:color w:val="4D4D4F"/>
              </w:rPr>
              <w:t>13.64</w:t>
            </w:r>
          </w:p>
        </w:tc>
        <w:tc>
          <w:tcPr>
            <w:tcW w:w="1740" w:type="dxa"/>
            <w:vAlign w:val="bottom"/>
            <w:shd w:val="clear" w:color="auto" w:fill="CCEEFF"/>
          </w:tcPr>
          <w:p>
            <w:pPr>
              <w:jc w:val="center"/>
              <w:spacing w:after="0"/>
              <w:rPr>
                <w:sz w:val="20"/>
                <w:szCs w:val="20"/>
                <w:color w:val="auto"/>
              </w:rPr>
            </w:pPr>
            <w:r>
              <w:rPr>
                <w:rFonts w:ascii="Arial" w:cs="Arial" w:eastAsia="Arial" w:hAnsi="Arial"/>
                <w:sz w:val="14"/>
                <w:szCs w:val="14"/>
                <w:color w:val="4D4D4F"/>
              </w:rPr>
              <w:t>11/03/2029</w:t>
            </w:r>
          </w:p>
        </w:tc>
      </w:tr>
      <w:tr>
        <w:trPr>
          <w:trHeight w:val="143"/>
        </w:trPr>
        <w:tc>
          <w:tcPr>
            <w:tcW w:w="2100" w:type="dxa"/>
            <w:vAlign w:val="bottom"/>
          </w:tcPr>
          <w:p>
            <w:pPr>
              <w:spacing w:after="0" w:line="143" w:lineRule="exact"/>
              <w:rPr>
                <w:sz w:val="20"/>
                <w:szCs w:val="20"/>
                <w:color w:val="auto"/>
              </w:rPr>
            </w:pPr>
            <w:r>
              <w:rPr>
                <w:rFonts w:ascii="Arial" w:cs="Arial" w:eastAsia="Arial" w:hAnsi="Arial"/>
                <w:sz w:val="14"/>
                <w:szCs w:val="14"/>
                <w:color w:val="4D4D4F"/>
              </w:rPr>
              <w:t>Jian Wang</w:t>
            </w:r>
          </w:p>
        </w:tc>
        <w:tc>
          <w:tcPr>
            <w:tcW w:w="880" w:type="dxa"/>
            <w:vAlign w:val="bottom"/>
          </w:tcPr>
          <w:p>
            <w:pPr>
              <w:jc w:val="center"/>
              <w:ind w:left="148"/>
              <w:spacing w:after="0" w:line="143" w:lineRule="exact"/>
              <w:rPr>
                <w:sz w:val="20"/>
                <w:szCs w:val="20"/>
                <w:color w:val="auto"/>
              </w:rPr>
            </w:pPr>
            <w:r>
              <w:rPr>
                <w:rFonts w:ascii="Arial" w:cs="Arial" w:eastAsia="Arial" w:hAnsi="Arial"/>
                <w:sz w:val="14"/>
                <w:szCs w:val="14"/>
                <w:color w:val="4D4D4F"/>
              </w:rPr>
              <w:t>(1)(11)</w:t>
            </w:r>
          </w:p>
        </w:tc>
        <w:tc>
          <w:tcPr>
            <w:tcW w:w="1340" w:type="dxa"/>
            <w:vAlign w:val="bottom"/>
          </w:tcPr>
          <w:p>
            <w:pPr>
              <w:jc w:val="center"/>
              <w:spacing w:after="0" w:line="143" w:lineRule="exact"/>
              <w:rPr>
                <w:sz w:val="20"/>
                <w:szCs w:val="20"/>
                <w:color w:val="auto"/>
              </w:rPr>
            </w:pPr>
            <w:r>
              <w:rPr>
                <w:rFonts w:ascii="Arial" w:cs="Arial" w:eastAsia="Arial" w:hAnsi="Arial"/>
                <w:sz w:val="14"/>
                <w:szCs w:val="14"/>
                <w:color w:val="4D4D4F"/>
              </w:rPr>
              <w:t>23,333</w:t>
            </w:r>
          </w:p>
        </w:tc>
        <w:tc>
          <w:tcPr>
            <w:tcW w:w="1680" w:type="dxa"/>
            <w:vAlign w:val="bottom"/>
          </w:tcPr>
          <w:p>
            <w:pPr>
              <w:jc w:val="center"/>
              <w:ind w:left="28"/>
              <w:spacing w:after="0" w:line="143" w:lineRule="exact"/>
              <w:rPr>
                <w:sz w:val="20"/>
                <w:szCs w:val="20"/>
                <w:color w:val="auto"/>
              </w:rPr>
            </w:pPr>
            <w:r>
              <w:rPr>
                <w:rFonts w:ascii="Arial" w:cs="Arial" w:eastAsia="Arial" w:hAnsi="Arial"/>
                <w:sz w:val="14"/>
                <w:szCs w:val="14"/>
                <w:color w:val="4D4D4F"/>
              </w:rPr>
              <w:t>16,667</w:t>
            </w:r>
          </w:p>
        </w:tc>
        <w:tc>
          <w:tcPr>
            <w:tcW w:w="1880" w:type="dxa"/>
            <w:vAlign w:val="bottom"/>
          </w:tcPr>
          <w:p>
            <w:pPr>
              <w:jc w:val="center"/>
              <w:spacing w:after="0" w:line="143" w:lineRule="exact"/>
              <w:rPr>
                <w:sz w:val="20"/>
                <w:szCs w:val="20"/>
                <w:color w:val="auto"/>
              </w:rPr>
            </w:pPr>
            <w:r>
              <w:rPr>
                <w:rFonts w:ascii="Arial" w:cs="Arial" w:eastAsia="Arial" w:hAnsi="Arial"/>
                <w:sz w:val="14"/>
                <w:szCs w:val="14"/>
                <w:color w:val="4D4D4F"/>
                <w:w w:val="99"/>
              </w:rPr>
              <w:t>—</w:t>
            </w:r>
          </w:p>
        </w:tc>
        <w:tc>
          <w:tcPr>
            <w:tcW w:w="1620" w:type="dxa"/>
            <w:vAlign w:val="bottom"/>
          </w:tcPr>
          <w:p>
            <w:pPr>
              <w:jc w:val="center"/>
              <w:spacing w:after="0" w:line="143" w:lineRule="exact"/>
              <w:rPr>
                <w:sz w:val="20"/>
                <w:szCs w:val="20"/>
                <w:color w:val="auto"/>
              </w:rPr>
            </w:pPr>
            <w:r>
              <w:rPr>
                <w:rFonts w:ascii="Arial" w:cs="Arial" w:eastAsia="Arial" w:hAnsi="Arial"/>
                <w:sz w:val="14"/>
                <w:szCs w:val="14"/>
                <w:color w:val="4D4D4F"/>
              </w:rPr>
              <w:t>13.85</w:t>
            </w:r>
          </w:p>
        </w:tc>
        <w:tc>
          <w:tcPr>
            <w:tcW w:w="1740" w:type="dxa"/>
            <w:vAlign w:val="bottom"/>
          </w:tcPr>
          <w:p>
            <w:pPr>
              <w:jc w:val="center"/>
              <w:spacing w:after="0" w:line="143" w:lineRule="exact"/>
              <w:rPr>
                <w:sz w:val="20"/>
                <w:szCs w:val="20"/>
                <w:color w:val="auto"/>
              </w:rPr>
            </w:pPr>
            <w:r>
              <w:rPr>
                <w:rFonts w:ascii="Arial" w:cs="Arial" w:eastAsia="Arial" w:hAnsi="Arial"/>
                <w:sz w:val="14"/>
                <w:szCs w:val="14"/>
                <w:color w:val="4D4D4F"/>
              </w:rPr>
              <w:t>7/31/2028</w:t>
            </w:r>
          </w:p>
        </w:tc>
      </w:tr>
      <w:tr>
        <w:trPr>
          <w:trHeight w:val="176"/>
        </w:trPr>
        <w:tc>
          <w:tcPr>
            <w:tcW w:w="2100" w:type="dxa"/>
            <w:vAlign w:val="bottom"/>
          </w:tcPr>
          <w:p>
            <w:pPr>
              <w:spacing w:after="0"/>
              <w:rPr>
                <w:sz w:val="15"/>
                <w:szCs w:val="15"/>
                <w:color w:val="auto"/>
              </w:rPr>
            </w:pPr>
          </w:p>
        </w:tc>
        <w:tc>
          <w:tcPr>
            <w:tcW w:w="880" w:type="dxa"/>
            <w:vAlign w:val="bottom"/>
          </w:tcPr>
          <w:p>
            <w:pPr>
              <w:jc w:val="center"/>
              <w:ind w:left="148"/>
              <w:spacing w:after="0"/>
              <w:rPr>
                <w:sz w:val="20"/>
                <w:szCs w:val="20"/>
                <w:color w:val="auto"/>
              </w:rPr>
            </w:pPr>
            <w:r>
              <w:rPr>
                <w:rFonts w:ascii="Arial" w:cs="Arial" w:eastAsia="Arial" w:hAnsi="Arial"/>
                <w:sz w:val="14"/>
                <w:szCs w:val="14"/>
                <w:color w:val="4D4D4F"/>
              </w:rPr>
              <w:t>(1)(6)</w:t>
            </w:r>
          </w:p>
        </w:tc>
        <w:tc>
          <w:tcPr>
            <w:tcW w:w="1340" w:type="dxa"/>
            <w:vAlign w:val="bottom"/>
          </w:tcPr>
          <w:p>
            <w:pPr>
              <w:jc w:val="center"/>
              <w:spacing w:after="0"/>
              <w:rPr>
                <w:sz w:val="20"/>
                <w:szCs w:val="20"/>
                <w:color w:val="auto"/>
              </w:rPr>
            </w:pPr>
            <w:r>
              <w:rPr>
                <w:rFonts w:ascii="Arial" w:cs="Arial" w:eastAsia="Arial" w:hAnsi="Arial"/>
                <w:sz w:val="14"/>
                <w:szCs w:val="14"/>
                <w:color w:val="4D4D4F"/>
              </w:rPr>
              <w:t>12,500</w:t>
            </w:r>
          </w:p>
        </w:tc>
        <w:tc>
          <w:tcPr>
            <w:tcW w:w="1680" w:type="dxa"/>
            <w:vAlign w:val="bottom"/>
          </w:tcPr>
          <w:p>
            <w:pPr>
              <w:jc w:val="center"/>
              <w:ind w:left="28"/>
              <w:spacing w:after="0"/>
              <w:rPr>
                <w:sz w:val="20"/>
                <w:szCs w:val="20"/>
                <w:color w:val="auto"/>
              </w:rPr>
            </w:pPr>
            <w:r>
              <w:rPr>
                <w:rFonts w:ascii="Arial" w:cs="Arial" w:eastAsia="Arial" w:hAnsi="Arial"/>
                <w:sz w:val="14"/>
                <w:szCs w:val="14"/>
                <w:color w:val="4D4D4F"/>
              </w:rPr>
              <w:t>17,500</w:t>
            </w:r>
          </w:p>
        </w:tc>
        <w:tc>
          <w:tcPr>
            <w:tcW w:w="1880" w:type="dxa"/>
            <w:vAlign w:val="bottom"/>
          </w:tcPr>
          <w:p>
            <w:pPr>
              <w:jc w:val="center"/>
              <w:spacing w:after="0"/>
              <w:rPr>
                <w:sz w:val="20"/>
                <w:szCs w:val="20"/>
                <w:color w:val="auto"/>
              </w:rPr>
            </w:pPr>
            <w:r>
              <w:rPr>
                <w:rFonts w:ascii="Arial" w:cs="Arial" w:eastAsia="Arial" w:hAnsi="Arial"/>
                <w:sz w:val="14"/>
                <w:szCs w:val="14"/>
                <w:color w:val="4D4D4F"/>
                <w:w w:val="99"/>
              </w:rPr>
              <w:t>—</w:t>
            </w:r>
          </w:p>
        </w:tc>
        <w:tc>
          <w:tcPr>
            <w:tcW w:w="1620" w:type="dxa"/>
            <w:vAlign w:val="bottom"/>
          </w:tcPr>
          <w:p>
            <w:pPr>
              <w:jc w:val="center"/>
              <w:spacing w:after="0"/>
              <w:rPr>
                <w:sz w:val="20"/>
                <w:szCs w:val="20"/>
                <w:color w:val="auto"/>
              </w:rPr>
            </w:pPr>
            <w:r>
              <w:rPr>
                <w:rFonts w:ascii="Arial" w:cs="Arial" w:eastAsia="Arial" w:hAnsi="Arial"/>
                <w:sz w:val="14"/>
                <w:szCs w:val="14"/>
                <w:color w:val="4D4D4F"/>
              </w:rPr>
              <w:t>16.81</w:t>
            </w:r>
          </w:p>
        </w:tc>
        <w:tc>
          <w:tcPr>
            <w:tcW w:w="1740" w:type="dxa"/>
            <w:vAlign w:val="bottom"/>
          </w:tcPr>
          <w:p>
            <w:pPr>
              <w:jc w:val="center"/>
              <w:spacing w:after="0"/>
              <w:rPr>
                <w:sz w:val="20"/>
                <w:szCs w:val="20"/>
                <w:color w:val="auto"/>
              </w:rPr>
            </w:pPr>
            <w:r>
              <w:rPr>
                <w:rFonts w:ascii="Arial" w:cs="Arial" w:eastAsia="Arial" w:hAnsi="Arial"/>
                <w:sz w:val="14"/>
                <w:szCs w:val="14"/>
                <w:color w:val="4D4D4F"/>
              </w:rPr>
              <w:t>4/22/2029</w:t>
            </w:r>
          </w:p>
        </w:tc>
      </w:tr>
      <w:tr>
        <w:trPr>
          <w:trHeight w:val="208"/>
        </w:trPr>
        <w:tc>
          <w:tcPr>
            <w:tcW w:w="2100" w:type="dxa"/>
            <w:vAlign w:val="bottom"/>
          </w:tcPr>
          <w:p>
            <w:pPr>
              <w:spacing w:after="0"/>
              <w:rPr>
                <w:sz w:val="18"/>
                <w:szCs w:val="18"/>
                <w:color w:val="auto"/>
              </w:rPr>
            </w:pPr>
          </w:p>
        </w:tc>
        <w:tc>
          <w:tcPr>
            <w:tcW w:w="880" w:type="dxa"/>
            <w:vAlign w:val="bottom"/>
          </w:tcPr>
          <w:p>
            <w:pPr>
              <w:jc w:val="center"/>
              <w:ind w:left="148"/>
              <w:spacing w:after="0"/>
              <w:rPr>
                <w:sz w:val="20"/>
                <w:szCs w:val="20"/>
                <w:color w:val="auto"/>
              </w:rPr>
            </w:pPr>
            <w:r>
              <w:rPr>
                <w:rFonts w:ascii="Arial" w:cs="Arial" w:eastAsia="Arial" w:hAnsi="Arial"/>
                <w:sz w:val="14"/>
                <w:szCs w:val="14"/>
                <w:color w:val="4D4D4F"/>
              </w:rPr>
              <w:t>(2)(8)</w:t>
            </w:r>
          </w:p>
        </w:tc>
        <w:tc>
          <w:tcPr>
            <w:tcW w:w="1340" w:type="dxa"/>
            <w:vAlign w:val="bottom"/>
          </w:tcPr>
          <w:p>
            <w:pPr>
              <w:jc w:val="center"/>
              <w:spacing w:after="0"/>
              <w:rPr>
                <w:sz w:val="20"/>
                <w:szCs w:val="20"/>
                <w:color w:val="auto"/>
              </w:rPr>
            </w:pPr>
            <w:r>
              <w:rPr>
                <w:rFonts w:ascii="Arial" w:cs="Arial" w:eastAsia="Arial" w:hAnsi="Arial"/>
                <w:sz w:val="14"/>
                <w:szCs w:val="14"/>
                <w:color w:val="4D4D4F"/>
                <w:w w:val="99"/>
              </w:rPr>
              <w:t>—</w:t>
            </w:r>
          </w:p>
        </w:tc>
        <w:tc>
          <w:tcPr>
            <w:tcW w:w="1680" w:type="dxa"/>
            <w:vAlign w:val="bottom"/>
          </w:tcPr>
          <w:p>
            <w:pPr>
              <w:jc w:val="center"/>
              <w:ind w:left="28"/>
              <w:spacing w:after="0"/>
              <w:rPr>
                <w:sz w:val="20"/>
                <w:szCs w:val="20"/>
                <w:color w:val="auto"/>
              </w:rPr>
            </w:pPr>
            <w:r>
              <w:rPr>
                <w:rFonts w:ascii="Arial" w:cs="Arial" w:eastAsia="Arial" w:hAnsi="Arial"/>
                <w:sz w:val="14"/>
                <w:szCs w:val="14"/>
                <w:color w:val="4D4D4F"/>
                <w:w w:val="99"/>
              </w:rPr>
              <w:t>—</w:t>
            </w:r>
          </w:p>
        </w:tc>
        <w:tc>
          <w:tcPr>
            <w:tcW w:w="1880" w:type="dxa"/>
            <w:vAlign w:val="bottom"/>
          </w:tcPr>
          <w:p>
            <w:pPr>
              <w:jc w:val="center"/>
              <w:spacing w:after="0"/>
              <w:rPr>
                <w:sz w:val="20"/>
                <w:szCs w:val="20"/>
                <w:color w:val="auto"/>
              </w:rPr>
            </w:pPr>
            <w:r>
              <w:rPr>
                <w:rFonts w:ascii="Arial" w:cs="Arial" w:eastAsia="Arial" w:hAnsi="Arial"/>
                <w:sz w:val="14"/>
                <w:szCs w:val="14"/>
                <w:color w:val="4D4D4F"/>
              </w:rPr>
              <w:t>298,462</w:t>
            </w:r>
          </w:p>
        </w:tc>
        <w:tc>
          <w:tcPr>
            <w:tcW w:w="1620" w:type="dxa"/>
            <w:vAlign w:val="bottom"/>
          </w:tcPr>
          <w:p>
            <w:pPr>
              <w:jc w:val="center"/>
              <w:spacing w:after="0"/>
              <w:rPr>
                <w:sz w:val="20"/>
                <w:szCs w:val="20"/>
                <w:color w:val="auto"/>
              </w:rPr>
            </w:pPr>
            <w:r>
              <w:rPr>
                <w:rFonts w:ascii="Arial" w:cs="Arial" w:eastAsia="Arial" w:hAnsi="Arial"/>
                <w:sz w:val="14"/>
                <w:szCs w:val="14"/>
                <w:color w:val="4D4D4F"/>
              </w:rPr>
              <w:t>1.89</w:t>
            </w:r>
          </w:p>
        </w:tc>
        <w:tc>
          <w:tcPr>
            <w:tcW w:w="1740" w:type="dxa"/>
            <w:vAlign w:val="bottom"/>
          </w:tcPr>
          <w:p>
            <w:pPr>
              <w:jc w:val="center"/>
              <w:spacing w:after="0"/>
              <w:rPr>
                <w:sz w:val="20"/>
                <w:szCs w:val="20"/>
                <w:color w:val="auto"/>
              </w:rPr>
            </w:pPr>
            <w:r>
              <w:rPr>
                <w:rFonts w:ascii="Arial" w:cs="Arial" w:eastAsia="Arial" w:hAnsi="Arial"/>
                <w:sz w:val="14"/>
                <w:szCs w:val="14"/>
                <w:color w:val="4D4D4F"/>
              </w:rPr>
              <w:t>12/31/2024</w:t>
            </w:r>
          </w:p>
        </w:tc>
      </w:tr>
      <w:tr>
        <w:trPr>
          <w:trHeight w:val="176"/>
        </w:trPr>
        <w:tc>
          <w:tcPr>
            <w:tcW w:w="2100" w:type="dxa"/>
            <w:vAlign w:val="bottom"/>
            <w:shd w:val="clear" w:color="auto" w:fill="CCEEFF"/>
          </w:tcPr>
          <w:p>
            <w:pPr>
              <w:spacing w:after="0"/>
              <w:rPr>
                <w:sz w:val="20"/>
                <w:szCs w:val="20"/>
                <w:color w:val="auto"/>
              </w:rPr>
            </w:pPr>
            <w:r>
              <w:rPr>
                <w:rFonts w:ascii="Arial" w:cs="Arial" w:eastAsia="Arial" w:hAnsi="Arial"/>
                <w:sz w:val="14"/>
                <w:szCs w:val="14"/>
                <w:color w:val="4D4D4F"/>
              </w:rPr>
              <w:t>Lisa Feng</w:t>
            </w:r>
          </w:p>
        </w:tc>
        <w:tc>
          <w:tcPr>
            <w:tcW w:w="880" w:type="dxa"/>
            <w:vAlign w:val="bottom"/>
            <w:shd w:val="clear" w:color="auto" w:fill="CCEEFF"/>
          </w:tcPr>
          <w:p>
            <w:pPr>
              <w:jc w:val="center"/>
              <w:ind w:left="148"/>
              <w:spacing w:after="0"/>
              <w:rPr>
                <w:sz w:val="20"/>
                <w:szCs w:val="20"/>
                <w:color w:val="auto"/>
              </w:rPr>
            </w:pPr>
            <w:r>
              <w:rPr>
                <w:rFonts w:ascii="Arial" w:cs="Arial" w:eastAsia="Arial" w:hAnsi="Arial"/>
                <w:sz w:val="14"/>
                <w:szCs w:val="14"/>
                <w:color w:val="4D4D4F"/>
              </w:rPr>
              <w:t>(1)(12)</w:t>
            </w:r>
          </w:p>
        </w:tc>
        <w:tc>
          <w:tcPr>
            <w:tcW w:w="1340" w:type="dxa"/>
            <w:vAlign w:val="bottom"/>
            <w:shd w:val="clear" w:color="auto" w:fill="CCEEFF"/>
          </w:tcPr>
          <w:p>
            <w:pPr>
              <w:jc w:val="center"/>
              <w:spacing w:after="0"/>
              <w:rPr>
                <w:sz w:val="20"/>
                <w:szCs w:val="20"/>
                <w:color w:val="auto"/>
              </w:rPr>
            </w:pPr>
            <w:r>
              <w:rPr>
                <w:rFonts w:ascii="Arial" w:cs="Arial" w:eastAsia="Arial" w:hAnsi="Arial"/>
                <w:sz w:val="14"/>
                <w:szCs w:val="14"/>
                <w:color w:val="4D4D4F"/>
              </w:rPr>
              <w:t>3,123</w:t>
            </w:r>
          </w:p>
        </w:tc>
        <w:tc>
          <w:tcPr>
            <w:tcW w:w="168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4D4D4F"/>
              </w:rPr>
              <w:t>2,784</w:t>
            </w:r>
          </w:p>
        </w:tc>
        <w:tc>
          <w:tcPr>
            <w:tcW w:w="1880" w:type="dxa"/>
            <w:vAlign w:val="bottom"/>
            <w:shd w:val="clear" w:color="auto" w:fill="CCEEFF"/>
          </w:tcPr>
          <w:p>
            <w:pPr>
              <w:jc w:val="center"/>
              <w:spacing w:after="0"/>
              <w:rPr>
                <w:sz w:val="20"/>
                <w:szCs w:val="20"/>
                <w:color w:val="auto"/>
              </w:rPr>
            </w:pPr>
            <w:r>
              <w:rPr>
                <w:rFonts w:ascii="Arial" w:cs="Arial" w:eastAsia="Arial" w:hAnsi="Arial"/>
                <w:sz w:val="14"/>
                <w:szCs w:val="14"/>
                <w:color w:val="4D4D4F"/>
                <w:w w:val="99"/>
              </w:rPr>
              <w:t>—</w:t>
            </w:r>
          </w:p>
        </w:tc>
        <w:tc>
          <w:tcPr>
            <w:tcW w:w="1620" w:type="dxa"/>
            <w:vAlign w:val="bottom"/>
            <w:shd w:val="clear" w:color="auto" w:fill="CCEEFF"/>
          </w:tcPr>
          <w:p>
            <w:pPr>
              <w:jc w:val="center"/>
              <w:spacing w:after="0"/>
              <w:rPr>
                <w:sz w:val="20"/>
                <w:szCs w:val="20"/>
                <w:color w:val="auto"/>
              </w:rPr>
            </w:pPr>
            <w:r>
              <w:rPr>
                <w:rFonts w:ascii="Arial" w:cs="Arial" w:eastAsia="Arial" w:hAnsi="Arial"/>
                <w:sz w:val="14"/>
                <w:szCs w:val="14"/>
                <w:color w:val="4D4D4F"/>
              </w:rPr>
              <w:t>5.60</w:t>
            </w:r>
          </w:p>
        </w:tc>
        <w:tc>
          <w:tcPr>
            <w:tcW w:w="1740" w:type="dxa"/>
            <w:vAlign w:val="bottom"/>
            <w:shd w:val="clear" w:color="auto" w:fill="CCEEFF"/>
          </w:tcPr>
          <w:p>
            <w:pPr>
              <w:jc w:val="center"/>
              <w:spacing w:after="0"/>
              <w:rPr>
                <w:sz w:val="20"/>
                <w:szCs w:val="20"/>
                <w:color w:val="auto"/>
              </w:rPr>
            </w:pPr>
            <w:r>
              <w:rPr>
                <w:rFonts w:ascii="Arial" w:cs="Arial" w:eastAsia="Arial" w:hAnsi="Arial"/>
                <w:sz w:val="14"/>
                <w:szCs w:val="14"/>
                <w:color w:val="4D4D4F"/>
              </w:rPr>
              <w:t>11/1/2027</w:t>
            </w:r>
          </w:p>
        </w:tc>
      </w:tr>
      <w:tr>
        <w:trPr>
          <w:trHeight w:val="175"/>
        </w:trPr>
        <w:tc>
          <w:tcPr>
            <w:tcW w:w="2100" w:type="dxa"/>
            <w:vAlign w:val="bottom"/>
            <w:shd w:val="clear" w:color="auto" w:fill="CCEEFF"/>
          </w:tcPr>
          <w:p>
            <w:pPr>
              <w:spacing w:after="0"/>
              <w:rPr>
                <w:sz w:val="15"/>
                <w:szCs w:val="15"/>
                <w:color w:val="auto"/>
              </w:rPr>
            </w:pPr>
          </w:p>
        </w:tc>
        <w:tc>
          <w:tcPr>
            <w:tcW w:w="880" w:type="dxa"/>
            <w:vAlign w:val="bottom"/>
            <w:shd w:val="clear" w:color="auto" w:fill="CCEEFF"/>
          </w:tcPr>
          <w:p>
            <w:pPr>
              <w:jc w:val="center"/>
              <w:ind w:left="148"/>
              <w:spacing w:after="0"/>
              <w:rPr>
                <w:sz w:val="20"/>
                <w:szCs w:val="20"/>
                <w:color w:val="auto"/>
              </w:rPr>
            </w:pPr>
            <w:r>
              <w:rPr>
                <w:rFonts w:ascii="Arial" w:cs="Arial" w:eastAsia="Arial" w:hAnsi="Arial"/>
                <w:sz w:val="14"/>
                <w:szCs w:val="14"/>
                <w:color w:val="4D4D4F"/>
              </w:rPr>
              <w:t>(1)(13)</w:t>
            </w:r>
          </w:p>
        </w:tc>
        <w:tc>
          <w:tcPr>
            <w:tcW w:w="1340" w:type="dxa"/>
            <w:vAlign w:val="bottom"/>
            <w:shd w:val="clear" w:color="auto" w:fill="CCEEFF"/>
          </w:tcPr>
          <w:p>
            <w:pPr>
              <w:jc w:val="center"/>
              <w:spacing w:after="0"/>
              <w:rPr>
                <w:sz w:val="20"/>
                <w:szCs w:val="20"/>
                <w:color w:val="auto"/>
              </w:rPr>
            </w:pPr>
            <w:r>
              <w:rPr>
                <w:rFonts w:ascii="Arial" w:cs="Arial" w:eastAsia="Arial" w:hAnsi="Arial"/>
                <w:sz w:val="14"/>
                <w:szCs w:val="14"/>
                <w:color w:val="4D4D4F"/>
              </w:rPr>
              <w:t>6,875</w:t>
            </w:r>
          </w:p>
        </w:tc>
        <w:tc>
          <w:tcPr>
            <w:tcW w:w="168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4D4D4F"/>
              </w:rPr>
              <w:t>8,125</w:t>
            </w:r>
          </w:p>
        </w:tc>
        <w:tc>
          <w:tcPr>
            <w:tcW w:w="1880" w:type="dxa"/>
            <w:vAlign w:val="bottom"/>
            <w:shd w:val="clear" w:color="auto" w:fill="CCEEFF"/>
          </w:tcPr>
          <w:p>
            <w:pPr>
              <w:jc w:val="center"/>
              <w:spacing w:after="0"/>
              <w:rPr>
                <w:sz w:val="20"/>
                <w:szCs w:val="20"/>
                <w:color w:val="auto"/>
              </w:rPr>
            </w:pPr>
            <w:r>
              <w:rPr>
                <w:rFonts w:ascii="Arial" w:cs="Arial" w:eastAsia="Arial" w:hAnsi="Arial"/>
                <w:sz w:val="14"/>
                <w:szCs w:val="14"/>
                <w:color w:val="4D4D4F"/>
                <w:w w:val="99"/>
              </w:rPr>
              <w:t>—</w:t>
            </w:r>
          </w:p>
        </w:tc>
        <w:tc>
          <w:tcPr>
            <w:tcW w:w="1620" w:type="dxa"/>
            <w:vAlign w:val="bottom"/>
            <w:shd w:val="clear" w:color="auto" w:fill="CCEEFF"/>
          </w:tcPr>
          <w:p>
            <w:pPr>
              <w:jc w:val="center"/>
              <w:spacing w:after="0"/>
              <w:rPr>
                <w:sz w:val="20"/>
                <w:szCs w:val="20"/>
                <w:color w:val="auto"/>
              </w:rPr>
            </w:pPr>
            <w:r>
              <w:rPr>
                <w:rFonts w:ascii="Arial" w:cs="Arial" w:eastAsia="Arial" w:hAnsi="Arial"/>
                <w:sz w:val="14"/>
                <w:szCs w:val="14"/>
                <w:color w:val="4D4D4F"/>
              </w:rPr>
              <w:t>5.31</w:t>
            </w:r>
          </w:p>
        </w:tc>
        <w:tc>
          <w:tcPr>
            <w:tcW w:w="1740" w:type="dxa"/>
            <w:vAlign w:val="bottom"/>
            <w:shd w:val="clear" w:color="auto" w:fill="CCEEFF"/>
          </w:tcPr>
          <w:p>
            <w:pPr>
              <w:jc w:val="center"/>
              <w:spacing w:after="0"/>
              <w:rPr>
                <w:sz w:val="20"/>
                <w:szCs w:val="20"/>
                <w:color w:val="auto"/>
              </w:rPr>
            </w:pPr>
            <w:r>
              <w:rPr>
                <w:rFonts w:ascii="Arial" w:cs="Arial" w:eastAsia="Arial" w:hAnsi="Arial"/>
                <w:sz w:val="14"/>
                <w:szCs w:val="14"/>
                <w:color w:val="4D4D4F"/>
              </w:rPr>
              <w:t>1/24/2028</w:t>
            </w:r>
          </w:p>
        </w:tc>
      </w:tr>
      <w:tr>
        <w:trPr>
          <w:trHeight w:val="176"/>
        </w:trPr>
        <w:tc>
          <w:tcPr>
            <w:tcW w:w="2100" w:type="dxa"/>
            <w:vAlign w:val="bottom"/>
            <w:shd w:val="clear" w:color="auto" w:fill="CCEEFF"/>
          </w:tcPr>
          <w:p>
            <w:pPr>
              <w:spacing w:after="0"/>
              <w:rPr>
                <w:sz w:val="15"/>
                <w:szCs w:val="15"/>
                <w:color w:val="auto"/>
              </w:rPr>
            </w:pPr>
          </w:p>
        </w:tc>
        <w:tc>
          <w:tcPr>
            <w:tcW w:w="880" w:type="dxa"/>
            <w:vAlign w:val="bottom"/>
            <w:shd w:val="clear" w:color="auto" w:fill="CCEEFF"/>
          </w:tcPr>
          <w:p>
            <w:pPr>
              <w:jc w:val="center"/>
              <w:ind w:left="148"/>
              <w:spacing w:after="0"/>
              <w:rPr>
                <w:sz w:val="20"/>
                <w:szCs w:val="20"/>
                <w:color w:val="auto"/>
              </w:rPr>
            </w:pPr>
            <w:r>
              <w:rPr>
                <w:rFonts w:ascii="Arial" w:cs="Arial" w:eastAsia="Arial" w:hAnsi="Arial"/>
                <w:sz w:val="14"/>
                <w:szCs w:val="14"/>
                <w:color w:val="4D4D4F"/>
              </w:rPr>
              <w:t>(1)(6)</w:t>
            </w:r>
          </w:p>
        </w:tc>
        <w:tc>
          <w:tcPr>
            <w:tcW w:w="1340" w:type="dxa"/>
            <w:vAlign w:val="bottom"/>
            <w:shd w:val="clear" w:color="auto" w:fill="CCEEFF"/>
          </w:tcPr>
          <w:p>
            <w:pPr>
              <w:jc w:val="center"/>
              <w:spacing w:after="0"/>
              <w:rPr>
                <w:sz w:val="20"/>
                <w:szCs w:val="20"/>
                <w:color w:val="auto"/>
              </w:rPr>
            </w:pPr>
            <w:r>
              <w:rPr>
                <w:rFonts w:ascii="Arial" w:cs="Arial" w:eastAsia="Arial" w:hAnsi="Arial"/>
                <w:sz w:val="14"/>
                <w:szCs w:val="14"/>
                <w:color w:val="4D4D4F"/>
              </w:rPr>
              <w:t>10,416</w:t>
            </w:r>
          </w:p>
        </w:tc>
        <w:tc>
          <w:tcPr>
            <w:tcW w:w="168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4D4D4F"/>
              </w:rPr>
              <w:t>14,584</w:t>
            </w:r>
          </w:p>
        </w:tc>
        <w:tc>
          <w:tcPr>
            <w:tcW w:w="1880" w:type="dxa"/>
            <w:vAlign w:val="bottom"/>
            <w:shd w:val="clear" w:color="auto" w:fill="CCEEFF"/>
          </w:tcPr>
          <w:p>
            <w:pPr>
              <w:jc w:val="center"/>
              <w:spacing w:after="0"/>
              <w:rPr>
                <w:sz w:val="20"/>
                <w:szCs w:val="20"/>
                <w:color w:val="auto"/>
              </w:rPr>
            </w:pPr>
            <w:r>
              <w:rPr>
                <w:rFonts w:ascii="Arial" w:cs="Arial" w:eastAsia="Arial" w:hAnsi="Arial"/>
                <w:sz w:val="14"/>
                <w:szCs w:val="14"/>
                <w:color w:val="4D4D4F"/>
                <w:w w:val="99"/>
              </w:rPr>
              <w:t>—</w:t>
            </w:r>
          </w:p>
        </w:tc>
        <w:tc>
          <w:tcPr>
            <w:tcW w:w="1620" w:type="dxa"/>
            <w:vAlign w:val="bottom"/>
            <w:shd w:val="clear" w:color="auto" w:fill="CCEEFF"/>
          </w:tcPr>
          <w:p>
            <w:pPr>
              <w:jc w:val="center"/>
              <w:spacing w:after="0"/>
              <w:rPr>
                <w:sz w:val="20"/>
                <w:szCs w:val="20"/>
                <w:color w:val="auto"/>
              </w:rPr>
            </w:pPr>
            <w:r>
              <w:rPr>
                <w:rFonts w:ascii="Arial" w:cs="Arial" w:eastAsia="Arial" w:hAnsi="Arial"/>
                <w:sz w:val="14"/>
                <w:szCs w:val="14"/>
                <w:color w:val="4D4D4F"/>
              </w:rPr>
              <w:t>16.81</w:t>
            </w:r>
          </w:p>
        </w:tc>
        <w:tc>
          <w:tcPr>
            <w:tcW w:w="1740" w:type="dxa"/>
            <w:vAlign w:val="bottom"/>
            <w:shd w:val="clear" w:color="auto" w:fill="CCEEFF"/>
          </w:tcPr>
          <w:p>
            <w:pPr>
              <w:jc w:val="center"/>
              <w:spacing w:after="0"/>
              <w:rPr>
                <w:sz w:val="20"/>
                <w:szCs w:val="20"/>
                <w:color w:val="auto"/>
              </w:rPr>
            </w:pPr>
            <w:r>
              <w:rPr>
                <w:rFonts w:ascii="Arial" w:cs="Arial" w:eastAsia="Arial" w:hAnsi="Arial"/>
                <w:sz w:val="14"/>
                <w:szCs w:val="14"/>
                <w:color w:val="4D4D4F"/>
              </w:rPr>
              <w:t>4/22/2029</w:t>
            </w:r>
          </w:p>
        </w:tc>
      </w:tr>
      <w:tr>
        <w:trPr>
          <w:trHeight w:val="175"/>
        </w:trPr>
        <w:tc>
          <w:tcPr>
            <w:tcW w:w="2100" w:type="dxa"/>
            <w:vAlign w:val="bottom"/>
            <w:shd w:val="clear" w:color="auto" w:fill="CCEEFF"/>
          </w:tcPr>
          <w:p>
            <w:pPr>
              <w:spacing w:after="0"/>
              <w:rPr>
                <w:sz w:val="15"/>
                <w:szCs w:val="15"/>
                <w:color w:val="auto"/>
              </w:rPr>
            </w:pPr>
          </w:p>
        </w:tc>
        <w:tc>
          <w:tcPr>
            <w:tcW w:w="880" w:type="dxa"/>
            <w:vAlign w:val="bottom"/>
            <w:shd w:val="clear" w:color="auto" w:fill="CCEEFF"/>
          </w:tcPr>
          <w:p>
            <w:pPr>
              <w:jc w:val="center"/>
              <w:ind w:left="148"/>
              <w:spacing w:after="0"/>
              <w:rPr>
                <w:sz w:val="20"/>
                <w:szCs w:val="20"/>
                <w:color w:val="auto"/>
              </w:rPr>
            </w:pPr>
            <w:r>
              <w:rPr>
                <w:rFonts w:ascii="Arial" w:cs="Arial" w:eastAsia="Arial" w:hAnsi="Arial"/>
                <w:sz w:val="14"/>
                <w:szCs w:val="14"/>
                <w:color w:val="4D4D4F"/>
              </w:rPr>
              <w:t>(1)(10)</w:t>
            </w:r>
          </w:p>
        </w:tc>
        <w:tc>
          <w:tcPr>
            <w:tcW w:w="1340" w:type="dxa"/>
            <w:vAlign w:val="bottom"/>
            <w:shd w:val="clear" w:color="auto" w:fill="CCEEFF"/>
          </w:tcPr>
          <w:p>
            <w:pPr>
              <w:jc w:val="center"/>
              <w:spacing w:after="0"/>
              <w:rPr>
                <w:sz w:val="20"/>
                <w:szCs w:val="20"/>
                <w:color w:val="auto"/>
              </w:rPr>
            </w:pPr>
            <w:r>
              <w:rPr>
                <w:rFonts w:ascii="Arial" w:cs="Arial" w:eastAsia="Arial" w:hAnsi="Arial"/>
                <w:sz w:val="14"/>
                <w:szCs w:val="14"/>
                <w:color w:val="4D4D4F"/>
              </w:rPr>
              <w:t>2,708</w:t>
            </w:r>
          </w:p>
        </w:tc>
        <w:tc>
          <w:tcPr>
            <w:tcW w:w="168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4D4D4F"/>
              </w:rPr>
              <w:t>7,292</w:t>
            </w:r>
          </w:p>
        </w:tc>
        <w:tc>
          <w:tcPr>
            <w:tcW w:w="1880" w:type="dxa"/>
            <w:vAlign w:val="bottom"/>
            <w:shd w:val="clear" w:color="auto" w:fill="CCEEFF"/>
          </w:tcPr>
          <w:p>
            <w:pPr>
              <w:jc w:val="center"/>
              <w:spacing w:after="0"/>
              <w:rPr>
                <w:sz w:val="20"/>
                <w:szCs w:val="20"/>
                <w:color w:val="auto"/>
              </w:rPr>
            </w:pPr>
            <w:r>
              <w:rPr>
                <w:rFonts w:ascii="Arial" w:cs="Arial" w:eastAsia="Arial" w:hAnsi="Arial"/>
                <w:sz w:val="14"/>
                <w:szCs w:val="14"/>
                <w:color w:val="4D4D4F"/>
                <w:w w:val="99"/>
              </w:rPr>
              <w:t>—</w:t>
            </w:r>
          </w:p>
        </w:tc>
        <w:tc>
          <w:tcPr>
            <w:tcW w:w="1620" w:type="dxa"/>
            <w:vAlign w:val="bottom"/>
            <w:shd w:val="clear" w:color="auto" w:fill="CCEEFF"/>
          </w:tcPr>
          <w:p>
            <w:pPr>
              <w:jc w:val="center"/>
              <w:spacing w:after="0"/>
              <w:rPr>
                <w:sz w:val="20"/>
                <w:szCs w:val="20"/>
                <w:color w:val="auto"/>
              </w:rPr>
            </w:pPr>
            <w:r>
              <w:rPr>
                <w:rFonts w:ascii="Arial" w:cs="Arial" w:eastAsia="Arial" w:hAnsi="Arial"/>
                <w:sz w:val="14"/>
                <w:szCs w:val="14"/>
                <w:color w:val="4D4D4F"/>
              </w:rPr>
              <w:t>13.64</w:t>
            </w:r>
          </w:p>
        </w:tc>
        <w:tc>
          <w:tcPr>
            <w:tcW w:w="1740" w:type="dxa"/>
            <w:vAlign w:val="bottom"/>
            <w:shd w:val="clear" w:color="auto" w:fill="CCEEFF"/>
          </w:tcPr>
          <w:p>
            <w:pPr>
              <w:jc w:val="center"/>
              <w:spacing w:after="0"/>
              <w:rPr>
                <w:sz w:val="20"/>
                <w:szCs w:val="20"/>
                <w:color w:val="auto"/>
              </w:rPr>
            </w:pPr>
            <w:r>
              <w:rPr>
                <w:rFonts w:ascii="Arial" w:cs="Arial" w:eastAsia="Arial" w:hAnsi="Arial"/>
                <w:sz w:val="14"/>
                <w:szCs w:val="14"/>
                <w:color w:val="4D4D4F"/>
              </w:rPr>
              <w:t>11/3/2029</w:t>
            </w:r>
          </w:p>
        </w:tc>
      </w:tr>
      <w:tr>
        <w:trPr>
          <w:trHeight w:val="176"/>
        </w:trPr>
        <w:tc>
          <w:tcPr>
            <w:tcW w:w="2100" w:type="dxa"/>
            <w:vAlign w:val="bottom"/>
            <w:shd w:val="clear" w:color="auto" w:fill="CCEEFF"/>
          </w:tcPr>
          <w:p>
            <w:pPr>
              <w:spacing w:after="0"/>
              <w:rPr>
                <w:sz w:val="15"/>
                <w:szCs w:val="15"/>
                <w:color w:val="auto"/>
              </w:rPr>
            </w:pPr>
          </w:p>
        </w:tc>
        <w:tc>
          <w:tcPr>
            <w:tcW w:w="880" w:type="dxa"/>
            <w:vAlign w:val="bottom"/>
            <w:shd w:val="clear" w:color="auto" w:fill="CCEEFF"/>
          </w:tcPr>
          <w:p>
            <w:pPr>
              <w:jc w:val="center"/>
              <w:ind w:left="148"/>
              <w:spacing w:after="0"/>
              <w:rPr>
                <w:sz w:val="20"/>
                <w:szCs w:val="20"/>
                <w:color w:val="auto"/>
              </w:rPr>
            </w:pPr>
            <w:r>
              <w:rPr>
                <w:rFonts w:ascii="Arial" w:cs="Arial" w:eastAsia="Arial" w:hAnsi="Arial"/>
                <w:sz w:val="14"/>
                <w:szCs w:val="14"/>
                <w:color w:val="4D4D4F"/>
              </w:rPr>
              <w:t>(1)(14)</w:t>
            </w:r>
          </w:p>
        </w:tc>
        <w:tc>
          <w:tcPr>
            <w:tcW w:w="1340" w:type="dxa"/>
            <w:vAlign w:val="bottom"/>
            <w:shd w:val="clear" w:color="auto" w:fill="CCEEFF"/>
          </w:tcPr>
          <w:p>
            <w:pPr>
              <w:jc w:val="center"/>
              <w:spacing w:after="0"/>
              <w:rPr>
                <w:sz w:val="20"/>
                <w:szCs w:val="20"/>
                <w:color w:val="auto"/>
              </w:rPr>
            </w:pPr>
            <w:r>
              <w:rPr>
                <w:rFonts w:ascii="Arial" w:cs="Arial" w:eastAsia="Arial" w:hAnsi="Arial"/>
                <w:sz w:val="14"/>
                <w:szCs w:val="14"/>
                <w:color w:val="4D4D4F"/>
                <w:w w:val="99"/>
              </w:rPr>
              <w:t>—</w:t>
            </w:r>
          </w:p>
        </w:tc>
        <w:tc>
          <w:tcPr>
            <w:tcW w:w="168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4D4D4F"/>
              </w:rPr>
              <w:t>10,000</w:t>
            </w:r>
          </w:p>
        </w:tc>
        <w:tc>
          <w:tcPr>
            <w:tcW w:w="1880" w:type="dxa"/>
            <w:vAlign w:val="bottom"/>
            <w:shd w:val="clear" w:color="auto" w:fill="CCEEFF"/>
          </w:tcPr>
          <w:p>
            <w:pPr>
              <w:jc w:val="center"/>
              <w:spacing w:after="0"/>
              <w:rPr>
                <w:sz w:val="20"/>
                <w:szCs w:val="20"/>
                <w:color w:val="auto"/>
              </w:rPr>
            </w:pPr>
            <w:r>
              <w:rPr>
                <w:rFonts w:ascii="Arial" w:cs="Arial" w:eastAsia="Arial" w:hAnsi="Arial"/>
                <w:sz w:val="14"/>
                <w:szCs w:val="14"/>
                <w:color w:val="4D4D4F"/>
                <w:w w:val="99"/>
              </w:rPr>
              <w:t>—</w:t>
            </w:r>
          </w:p>
        </w:tc>
        <w:tc>
          <w:tcPr>
            <w:tcW w:w="1620" w:type="dxa"/>
            <w:vAlign w:val="bottom"/>
            <w:shd w:val="clear" w:color="auto" w:fill="CCEEFF"/>
          </w:tcPr>
          <w:p>
            <w:pPr>
              <w:jc w:val="center"/>
              <w:spacing w:after="0"/>
              <w:rPr>
                <w:sz w:val="20"/>
                <w:szCs w:val="20"/>
                <w:color w:val="auto"/>
              </w:rPr>
            </w:pPr>
            <w:r>
              <w:rPr>
                <w:rFonts w:ascii="Arial" w:cs="Arial" w:eastAsia="Arial" w:hAnsi="Arial"/>
                <w:sz w:val="14"/>
                <w:szCs w:val="14"/>
                <w:color w:val="4D4D4F"/>
              </w:rPr>
              <w:t>38.26</w:t>
            </w:r>
          </w:p>
        </w:tc>
        <w:tc>
          <w:tcPr>
            <w:tcW w:w="1740" w:type="dxa"/>
            <w:vAlign w:val="bottom"/>
            <w:shd w:val="clear" w:color="auto" w:fill="CCEEFF"/>
          </w:tcPr>
          <w:p>
            <w:pPr>
              <w:jc w:val="center"/>
              <w:spacing w:after="0"/>
              <w:rPr>
                <w:sz w:val="20"/>
                <w:szCs w:val="20"/>
                <w:color w:val="auto"/>
              </w:rPr>
            </w:pPr>
            <w:r>
              <w:rPr>
                <w:rFonts w:ascii="Arial" w:cs="Arial" w:eastAsia="Arial" w:hAnsi="Arial"/>
                <w:sz w:val="14"/>
                <w:szCs w:val="14"/>
                <w:color w:val="4D4D4F"/>
              </w:rPr>
              <w:t>4/27/2030</w:t>
            </w:r>
          </w:p>
        </w:tc>
      </w:tr>
      <w:tr>
        <w:trPr>
          <w:trHeight w:val="176"/>
        </w:trPr>
        <w:tc>
          <w:tcPr>
            <w:tcW w:w="2100" w:type="dxa"/>
            <w:vAlign w:val="bottom"/>
            <w:shd w:val="clear" w:color="auto" w:fill="CCEEFF"/>
          </w:tcPr>
          <w:p>
            <w:pPr>
              <w:spacing w:after="0"/>
              <w:rPr>
                <w:sz w:val="15"/>
                <w:szCs w:val="15"/>
                <w:color w:val="auto"/>
              </w:rPr>
            </w:pPr>
          </w:p>
        </w:tc>
        <w:tc>
          <w:tcPr>
            <w:tcW w:w="880" w:type="dxa"/>
            <w:vAlign w:val="bottom"/>
            <w:shd w:val="clear" w:color="auto" w:fill="CCEEFF"/>
          </w:tcPr>
          <w:p>
            <w:pPr>
              <w:jc w:val="center"/>
              <w:ind w:left="148"/>
              <w:spacing w:after="0"/>
              <w:rPr>
                <w:sz w:val="20"/>
                <w:szCs w:val="20"/>
                <w:color w:val="auto"/>
              </w:rPr>
            </w:pPr>
            <w:r>
              <w:rPr>
                <w:rFonts w:ascii="Arial" w:cs="Arial" w:eastAsia="Arial" w:hAnsi="Arial"/>
                <w:sz w:val="14"/>
                <w:szCs w:val="14"/>
                <w:color w:val="4D4D4F"/>
              </w:rPr>
              <w:t>(2)(8)</w:t>
            </w:r>
          </w:p>
        </w:tc>
        <w:tc>
          <w:tcPr>
            <w:tcW w:w="1340" w:type="dxa"/>
            <w:vAlign w:val="bottom"/>
            <w:shd w:val="clear" w:color="auto" w:fill="CCEEFF"/>
          </w:tcPr>
          <w:p>
            <w:pPr>
              <w:jc w:val="center"/>
              <w:spacing w:after="0"/>
              <w:rPr>
                <w:sz w:val="20"/>
                <w:szCs w:val="20"/>
                <w:color w:val="auto"/>
              </w:rPr>
            </w:pPr>
            <w:r>
              <w:rPr>
                <w:rFonts w:ascii="Arial" w:cs="Arial" w:eastAsia="Arial" w:hAnsi="Arial"/>
                <w:sz w:val="14"/>
                <w:szCs w:val="14"/>
                <w:color w:val="4D4D4F"/>
                <w:w w:val="99"/>
              </w:rPr>
              <w:t>—</w:t>
            </w:r>
          </w:p>
        </w:tc>
        <w:tc>
          <w:tcPr>
            <w:tcW w:w="168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4D4D4F"/>
                <w:w w:val="99"/>
              </w:rPr>
              <w:t>—</w:t>
            </w:r>
          </w:p>
        </w:tc>
        <w:tc>
          <w:tcPr>
            <w:tcW w:w="1880" w:type="dxa"/>
            <w:vAlign w:val="bottom"/>
            <w:shd w:val="clear" w:color="auto" w:fill="CCEEFF"/>
          </w:tcPr>
          <w:p>
            <w:pPr>
              <w:jc w:val="center"/>
              <w:spacing w:after="0"/>
              <w:rPr>
                <w:sz w:val="20"/>
                <w:szCs w:val="20"/>
                <w:color w:val="auto"/>
              </w:rPr>
            </w:pPr>
            <w:r>
              <w:rPr>
                <w:rFonts w:ascii="Arial" w:cs="Arial" w:eastAsia="Arial" w:hAnsi="Arial"/>
                <w:sz w:val="14"/>
                <w:szCs w:val="14"/>
                <w:color w:val="4D4D4F"/>
              </w:rPr>
              <w:t>260,000</w:t>
            </w:r>
          </w:p>
        </w:tc>
        <w:tc>
          <w:tcPr>
            <w:tcW w:w="1620" w:type="dxa"/>
            <w:vAlign w:val="bottom"/>
            <w:shd w:val="clear" w:color="auto" w:fill="CCEEFF"/>
          </w:tcPr>
          <w:p>
            <w:pPr>
              <w:jc w:val="center"/>
              <w:spacing w:after="0"/>
              <w:rPr>
                <w:sz w:val="20"/>
                <w:szCs w:val="20"/>
                <w:color w:val="auto"/>
              </w:rPr>
            </w:pPr>
            <w:r>
              <w:rPr>
                <w:rFonts w:ascii="Arial" w:cs="Arial" w:eastAsia="Arial" w:hAnsi="Arial"/>
                <w:sz w:val="14"/>
                <w:szCs w:val="14"/>
                <w:color w:val="4D4D4F"/>
              </w:rPr>
              <w:t>1.89</w:t>
            </w:r>
          </w:p>
        </w:tc>
        <w:tc>
          <w:tcPr>
            <w:tcW w:w="1740" w:type="dxa"/>
            <w:vAlign w:val="bottom"/>
            <w:shd w:val="clear" w:color="auto" w:fill="CCEEFF"/>
          </w:tcPr>
          <w:p>
            <w:pPr>
              <w:jc w:val="center"/>
              <w:spacing w:after="0"/>
              <w:rPr>
                <w:sz w:val="20"/>
                <w:szCs w:val="20"/>
                <w:color w:val="auto"/>
              </w:rPr>
            </w:pPr>
            <w:r>
              <w:rPr>
                <w:rFonts w:ascii="Arial" w:cs="Arial" w:eastAsia="Arial" w:hAnsi="Arial"/>
                <w:sz w:val="14"/>
                <w:szCs w:val="14"/>
                <w:color w:val="4D4D4F"/>
              </w:rPr>
              <w:t>12/31/2024</w:t>
            </w:r>
          </w:p>
        </w:tc>
      </w:tr>
      <w:tr>
        <w:trPr>
          <w:trHeight w:val="143"/>
        </w:trPr>
        <w:tc>
          <w:tcPr>
            <w:tcW w:w="2100" w:type="dxa"/>
            <w:vAlign w:val="bottom"/>
          </w:tcPr>
          <w:p>
            <w:pPr>
              <w:spacing w:after="0" w:line="143" w:lineRule="exact"/>
              <w:rPr>
                <w:sz w:val="20"/>
                <w:szCs w:val="20"/>
                <w:color w:val="auto"/>
              </w:rPr>
            </w:pPr>
            <w:r>
              <w:rPr>
                <w:rFonts w:ascii="Arial" w:cs="Arial" w:eastAsia="Arial" w:hAnsi="Arial"/>
                <w:sz w:val="14"/>
                <w:szCs w:val="14"/>
                <w:color w:val="4D4D4F"/>
              </w:rPr>
              <w:t>Fuping Chen</w:t>
            </w:r>
          </w:p>
        </w:tc>
        <w:tc>
          <w:tcPr>
            <w:tcW w:w="880" w:type="dxa"/>
            <w:vAlign w:val="bottom"/>
          </w:tcPr>
          <w:p>
            <w:pPr>
              <w:jc w:val="center"/>
              <w:ind w:left="148"/>
              <w:spacing w:after="0" w:line="143" w:lineRule="exact"/>
              <w:rPr>
                <w:sz w:val="20"/>
                <w:szCs w:val="20"/>
                <w:color w:val="auto"/>
              </w:rPr>
            </w:pPr>
            <w:r>
              <w:rPr>
                <w:rFonts w:ascii="Arial" w:cs="Arial" w:eastAsia="Arial" w:hAnsi="Arial"/>
                <w:sz w:val="14"/>
                <w:szCs w:val="14"/>
                <w:color w:val="4D4D4F"/>
              </w:rPr>
              <w:t>(1)(5)</w:t>
            </w:r>
          </w:p>
        </w:tc>
        <w:tc>
          <w:tcPr>
            <w:tcW w:w="1340" w:type="dxa"/>
            <w:vAlign w:val="bottom"/>
          </w:tcPr>
          <w:p>
            <w:pPr>
              <w:jc w:val="center"/>
              <w:spacing w:after="0" w:line="143" w:lineRule="exact"/>
              <w:rPr>
                <w:sz w:val="20"/>
                <w:szCs w:val="20"/>
                <w:color w:val="auto"/>
              </w:rPr>
            </w:pPr>
            <w:r>
              <w:rPr>
                <w:rFonts w:ascii="Arial" w:cs="Arial" w:eastAsia="Arial" w:hAnsi="Arial"/>
                <w:sz w:val="14"/>
                <w:szCs w:val="14"/>
                <w:color w:val="4D4D4F"/>
              </w:rPr>
              <w:t>15,388</w:t>
            </w:r>
          </w:p>
        </w:tc>
        <w:tc>
          <w:tcPr>
            <w:tcW w:w="1680" w:type="dxa"/>
            <w:vAlign w:val="bottom"/>
          </w:tcPr>
          <w:p>
            <w:pPr>
              <w:jc w:val="center"/>
              <w:ind w:left="28"/>
              <w:spacing w:after="0" w:line="143" w:lineRule="exact"/>
              <w:rPr>
                <w:sz w:val="20"/>
                <w:szCs w:val="20"/>
                <w:color w:val="auto"/>
              </w:rPr>
            </w:pPr>
            <w:r>
              <w:rPr>
                <w:rFonts w:ascii="Arial" w:cs="Arial" w:eastAsia="Arial" w:hAnsi="Arial"/>
                <w:sz w:val="14"/>
                <w:szCs w:val="14"/>
                <w:color w:val="4D4D4F"/>
                <w:w w:val="99"/>
              </w:rPr>
              <w:t>—</w:t>
            </w:r>
          </w:p>
        </w:tc>
        <w:tc>
          <w:tcPr>
            <w:tcW w:w="1880" w:type="dxa"/>
            <w:vAlign w:val="bottom"/>
          </w:tcPr>
          <w:p>
            <w:pPr>
              <w:jc w:val="center"/>
              <w:spacing w:after="0" w:line="143" w:lineRule="exact"/>
              <w:rPr>
                <w:sz w:val="20"/>
                <w:szCs w:val="20"/>
                <w:color w:val="auto"/>
              </w:rPr>
            </w:pPr>
            <w:r>
              <w:rPr>
                <w:rFonts w:ascii="Arial" w:cs="Arial" w:eastAsia="Arial" w:hAnsi="Arial"/>
                <w:sz w:val="14"/>
                <w:szCs w:val="14"/>
                <w:color w:val="4D4D4F"/>
                <w:w w:val="99"/>
              </w:rPr>
              <w:t>—</w:t>
            </w:r>
          </w:p>
        </w:tc>
        <w:tc>
          <w:tcPr>
            <w:tcW w:w="1620" w:type="dxa"/>
            <w:vAlign w:val="bottom"/>
          </w:tcPr>
          <w:p>
            <w:pPr>
              <w:jc w:val="center"/>
              <w:spacing w:after="0" w:line="143" w:lineRule="exact"/>
              <w:rPr>
                <w:sz w:val="20"/>
                <w:szCs w:val="20"/>
                <w:color w:val="auto"/>
              </w:rPr>
            </w:pPr>
            <w:r>
              <w:rPr>
                <w:rFonts w:ascii="Arial" w:cs="Arial" w:eastAsia="Arial" w:hAnsi="Arial"/>
                <w:sz w:val="14"/>
                <w:szCs w:val="14"/>
                <w:color w:val="4D4D4F"/>
              </w:rPr>
              <w:t>3.00</w:t>
            </w:r>
          </w:p>
        </w:tc>
        <w:tc>
          <w:tcPr>
            <w:tcW w:w="1740" w:type="dxa"/>
            <w:vAlign w:val="bottom"/>
          </w:tcPr>
          <w:p>
            <w:pPr>
              <w:jc w:val="center"/>
              <w:spacing w:after="0" w:line="143" w:lineRule="exact"/>
              <w:rPr>
                <w:sz w:val="20"/>
                <w:szCs w:val="20"/>
                <w:color w:val="auto"/>
              </w:rPr>
            </w:pPr>
            <w:r>
              <w:rPr>
                <w:rFonts w:ascii="Arial" w:cs="Arial" w:eastAsia="Arial" w:hAnsi="Arial"/>
                <w:sz w:val="14"/>
                <w:szCs w:val="14"/>
                <w:color w:val="4D4D4F"/>
              </w:rPr>
              <w:t>12/27/2026</w:t>
            </w:r>
          </w:p>
        </w:tc>
      </w:tr>
      <w:tr>
        <w:trPr>
          <w:trHeight w:val="176"/>
        </w:trPr>
        <w:tc>
          <w:tcPr>
            <w:tcW w:w="2100" w:type="dxa"/>
            <w:vAlign w:val="bottom"/>
          </w:tcPr>
          <w:p>
            <w:pPr>
              <w:spacing w:after="0"/>
              <w:rPr>
                <w:sz w:val="15"/>
                <w:szCs w:val="15"/>
                <w:color w:val="auto"/>
              </w:rPr>
            </w:pPr>
          </w:p>
        </w:tc>
        <w:tc>
          <w:tcPr>
            <w:tcW w:w="880" w:type="dxa"/>
            <w:vAlign w:val="bottom"/>
          </w:tcPr>
          <w:p>
            <w:pPr>
              <w:jc w:val="center"/>
              <w:ind w:left="148"/>
              <w:spacing w:after="0"/>
              <w:rPr>
                <w:sz w:val="20"/>
                <w:szCs w:val="20"/>
                <w:color w:val="auto"/>
              </w:rPr>
            </w:pPr>
            <w:r>
              <w:rPr>
                <w:rFonts w:ascii="Arial" w:cs="Arial" w:eastAsia="Arial" w:hAnsi="Arial"/>
                <w:sz w:val="14"/>
                <w:szCs w:val="14"/>
                <w:color w:val="4D4D4F"/>
              </w:rPr>
              <w:t>(1)(5)</w:t>
            </w:r>
          </w:p>
        </w:tc>
        <w:tc>
          <w:tcPr>
            <w:tcW w:w="1340" w:type="dxa"/>
            <w:vAlign w:val="bottom"/>
          </w:tcPr>
          <w:p>
            <w:pPr>
              <w:jc w:val="center"/>
              <w:spacing w:after="0"/>
              <w:rPr>
                <w:sz w:val="20"/>
                <w:szCs w:val="20"/>
                <w:color w:val="auto"/>
              </w:rPr>
            </w:pPr>
            <w:r>
              <w:rPr>
                <w:rFonts w:ascii="Arial" w:cs="Arial" w:eastAsia="Arial" w:hAnsi="Arial"/>
                <w:sz w:val="14"/>
                <w:szCs w:val="14"/>
                <w:color w:val="4D4D4F"/>
              </w:rPr>
              <w:t>46,667</w:t>
            </w:r>
          </w:p>
        </w:tc>
        <w:tc>
          <w:tcPr>
            <w:tcW w:w="1680" w:type="dxa"/>
            <w:vAlign w:val="bottom"/>
          </w:tcPr>
          <w:p>
            <w:pPr>
              <w:jc w:val="center"/>
              <w:ind w:left="28"/>
              <w:spacing w:after="0"/>
              <w:rPr>
                <w:sz w:val="20"/>
                <w:szCs w:val="20"/>
                <w:color w:val="auto"/>
              </w:rPr>
            </w:pPr>
            <w:r>
              <w:rPr>
                <w:rFonts w:ascii="Arial" w:cs="Arial" w:eastAsia="Arial" w:hAnsi="Arial"/>
                <w:sz w:val="14"/>
                <w:szCs w:val="14"/>
                <w:color w:val="4D4D4F"/>
                <w:w w:val="99"/>
              </w:rPr>
              <w:t>—</w:t>
            </w:r>
          </w:p>
        </w:tc>
        <w:tc>
          <w:tcPr>
            <w:tcW w:w="1880" w:type="dxa"/>
            <w:vAlign w:val="bottom"/>
          </w:tcPr>
          <w:p>
            <w:pPr>
              <w:jc w:val="center"/>
              <w:spacing w:after="0"/>
              <w:rPr>
                <w:sz w:val="20"/>
                <w:szCs w:val="20"/>
                <w:color w:val="auto"/>
              </w:rPr>
            </w:pPr>
            <w:r>
              <w:rPr>
                <w:rFonts w:ascii="Arial" w:cs="Arial" w:eastAsia="Arial" w:hAnsi="Arial"/>
                <w:sz w:val="14"/>
                <w:szCs w:val="14"/>
                <w:color w:val="4D4D4F"/>
                <w:w w:val="99"/>
              </w:rPr>
              <w:t>—</w:t>
            </w:r>
          </w:p>
        </w:tc>
        <w:tc>
          <w:tcPr>
            <w:tcW w:w="1620" w:type="dxa"/>
            <w:vAlign w:val="bottom"/>
          </w:tcPr>
          <w:p>
            <w:pPr>
              <w:jc w:val="center"/>
              <w:spacing w:after="0"/>
              <w:rPr>
                <w:sz w:val="20"/>
                <w:szCs w:val="20"/>
                <w:color w:val="auto"/>
              </w:rPr>
            </w:pPr>
            <w:r>
              <w:rPr>
                <w:rFonts w:ascii="Arial" w:cs="Arial" w:eastAsia="Arial" w:hAnsi="Arial"/>
                <w:sz w:val="14"/>
                <w:szCs w:val="14"/>
                <w:color w:val="4D4D4F"/>
              </w:rPr>
              <w:t>3.00</w:t>
            </w:r>
          </w:p>
        </w:tc>
        <w:tc>
          <w:tcPr>
            <w:tcW w:w="1740" w:type="dxa"/>
            <w:vAlign w:val="bottom"/>
          </w:tcPr>
          <w:p>
            <w:pPr>
              <w:jc w:val="center"/>
              <w:spacing w:after="0"/>
              <w:rPr>
                <w:sz w:val="20"/>
                <w:szCs w:val="20"/>
                <w:color w:val="auto"/>
              </w:rPr>
            </w:pPr>
            <w:r>
              <w:rPr>
                <w:rFonts w:ascii="Arial" w:cs="Arial" w:eastAsia="Arial" w:hAnsi="Arial"/>
                <w:sz w:val="14"/>
                <w:szCs w:val="14"/>
                <w:color w:val="4D4D4F"/>
              </w:rPr>
              <w:t>12/27/2026</w:t>
            </w:r>
          </w:p>
        </w:tc>
      </w:tr>
      <w:tr>
        <w:trPr>
          <w:trHeight w:val="175"/>
        </w:trPr>
        <w:tc>
          <w:tcPr>
            <w:tcW w:w="2100" w:type="dxa"/>
            <w:vAlign w:val="bottom"/>
          </w:tcPr>
          <w:p>
            <w:pPr>
              <w:spacing w:after="0"/>
              <w:rPr>
                <w:sz w:val="15"/>
                <w:szCs w:val="15"/>
                <w:color w:val="auto"/>
              </w:rPr>
            </w:pPr>
          </w:p>
        </w:tc>
        <w:tc>
          <w:tcPr>
            <w:tcW w:w="880" w:type="dxa"/>
            <w:vAlign w:val="bottom"/>
          </w:tcPr>
          <w:p>
            <w:pPr>
              <w:jc w:val="center"/>
              <w:ind w:left="148"/>
              <w:spacing w:after="0"/>
              <w:rPr>
                <w:sz w:val="20"/>
                <w:szCs w:val="20"/>
                <w:color w:val="auto"/>
              </w:rPr>
            </w:pPr>
            <w:r>
              <w:rPr>
                <w:rFonts w:ascii="Arial" w:cs="Arial" w:eastAsia="Arial" w:hAnsi="Arial"/>
                <w:sz w:val="14"/>
                <w:szCs w:val="14"/>
                <w:color w:val="4D4D4F"/>
              </w:rPr>
              <w:t>(1)(13)</w:t>
            </w:r>
          </w:p>
        </w:tc>
        <w:tc>
          <w:tcPr>
            <w:tcW w:w="1340" w:type="dxa"/>
            <w:vAlign w:val="bottom"/>
          </w:tcPr>
          <w:p>
            <w:pPr>
              <w:jc w:val="center"/>
              <w:spacing w:after="0"/>
              <w:rPr>
                <w:sz w:val="20"/>
                <w:szCs w:val="20"/>
                <w:color w:val="auto"/>
              </w:rPr>
            </w:pPr>
            <w:r>
              <w:rPr>
                <w:rFonts w:ascii="Arial" w:cs="Arial" w:eastAsia="Arial" w:hAnsi="Arial"/>
                <w:sz w:val="14"/>
                <w:szCs w:val="14"/>
                <w:color w:val="4D4D4F"/>
              </w:rPr>
              <w:t>36,458</w:t>
            </w:r>
          </w:p>
        </w:tc>
        <w:tc>
          <w:tcPr>
            <w:tcW w:w="1680" w:type="dxa"/>
            <w:vAlign w:val="bottom"/>
          </w:tcPr>
          <w:p>
            <w:pPr>
              <w:jc w:val="center"/>
              <w:ind w:left="28"/>
              <w:spacing w:after="0"/>
              <w:rPr>
                <w:sz w:val="20"/>
                <w:szCs w:val="20"/>
                <w:color w:val="auto"/>
              </w:rPr>
            </w:pPr>
            <w:r>
              <w:rPr>
                <w:rFonts w:ascii="Arial" w:cs="Arial" w:eastAsia="Arial" w:hAnsi="Arial"/>
                <w:sz w:val="14"/>
                <w:szCs w:val="14"/>
                <w:color w:val="4D4D4F"/>
              </w:rPr>
              <w:t>13,542</w:t>
            </w:r>
          </w:p>
        </w:tc>
        <w:tc>
          <w:tcPr>
            <w:tcW w:w="1880" w:type="dxa"/>
            <w:vAlign w:val="bottom"/>
          </w:tcPr>
          <w:p>
            <w:pPr>
              <w:jc w:val="center"/>
              <w:spacing w:after="0"/>
              <w:rPr>
                <w:sz w:val="20"/>
                <w:szCs w:val="20"/>
                <w:color w:val="auto"/>
              </w:rPr>
            </w:pPr>
            <w:r>
              <w:rPr>
                <w:rFonts w:ascii="Arial" w:cs="Arial" w:eastAsia="Arial" w:hAnsi="Arial"/>
                <w:sz w:val="14"/>
                <w:szCs w:val="14"/>
                <w:color w:val="4D4D4F"/>
                <w:w w:val="99"/>
              </w:rPr>
              <w:t>—</w:t>
            </w:r>
          </w:p>
        </w:tc>
        <w:tc>
          <w:tcPr>
            <w:tcW w:w="1620" w:type="dxa"/>
            <w:vAlign w:val="bottom"/>
          </w:tcPr>
          <w:p>
            <w:pPr>
              <w:jc w:val="center"/>
              <w:spacing w:after="0"/>
              <w:rPr>
                <w:sz w:val="20"/>
                <w:szCs w:val="20"/>
                <w:color w:val="auto"/>
              </w:rPr>
            </w:pPr>
            <w:r>
              <w:rPr>
                <w:rFonts w:ascii="Arial" w:cs="Arial" w:eastAsia="Arial" w:hAnsi="Arial"/>
                <w:sz w:val="14"/>
                <w:szCs w:val="14"/>
                <w:color w:val="4D4D4F"/>
              </w:rPr>
              <w:t>5.31</w:t>
            </w:r>
          </w:p>
        </w:tc>
        <w:tc>
          <w:tcPr>
            <w:tcW w:w="1740" w:type="dxa"/>
            <w:vAlign w:val="bottom"/>
          </w:tcPr>
          <w:p>
            <w:pPr>
              <w:jc w:val="center"/>
              <w:spacing w:after="0"/>
              <w:rPr>
                <w:sz w:val="20"/>
                <w:szCs w:val="20"/>
                <w:color w:val="auto"/>
              </w:rPr>
            </w:pPr>
            <w:r>
              <w:rPr>
                <w:rFonts w:ascii="Arial" w:cs="Arial" w:eastAsia="Arial" w:hAnsi="Arial"/>
                <w:sz w:val="14"/>
                <w:szCs w:val="14"/>
                <w:color w:val="4D4D4F"/>
              </w:rPr>
              <w:t>1/24/2028</w:t>
            </w:r>
          </w:p>
        </w:tc>
      </w:tr>
      <w:tr>
        <w:trPr>
          <w:trHeight w:val="176"/>
        </w:trPr>
        <w:tc>
          <w:tcPr>
            <w:tcW w:w="2100" w:type="dxa"/>
            <w:vAlign w:val="bottom"/>
          </w:tcPr>
          <w:p>
            <w:pPr>
              <w:spacing w:after="0"/>
              <w:rPr>
                <w:sz w:val="15"/>
                <w:szCs w:val="15"/>
                <w:color w:val="auto"/>
              </w:rPr>
            </w:pPr>
          </w:p>
        </w:tc>
        <w:tc>
          <w:tcPr>
            <w:tcW w:w="880" w:type="dxa"/>
            <w:vAlign w:val="bottom"/>
          </w:tcPr>
          <w:p>
            <w:pPr>
              <w:jc w:val="center"/>
              <w:ind w:left="148"/>
              <w:spacing w:after="0"/>
              <w:rPr>
                <w:sz w:val="20"/>
                <w:szCs w:val="20"/>
                <w:color w:val="auto"/>
              </w:rPr>
            </w:pPr>
            <w:r>
              <w:rPr>
                <w:rFonts w:ascii="Arial" w:cs="Arial" w:eastAsia="Arial" w:hAnsi="Arial"/>
                <w:sz w:val="14"/>
                <w:szCs w:val="14"/>
                <w:color w:val="4D4D4F"/>
              </w:rPr>
              <w:t>(1)(15)</w:t>
            </w:r>
          </w:p>
        </w:tc>
        <w:tc>
          <w:tcPr>
            <w:tcW w:w="1340" w:type="dxa"/>
            <w:vAlign w:val="bottom"/>
          </w:tcPr>
          <w:p>
            <w:pPr>
              <w:jc w:val="center"/>
              <w:spacing w:after="0"/>
              <w:rPr>
                <w:sz w:val="20"/>
                <w:szCs w:val="20"/>
                <w:color w:val="auto"/>
              </w:rPr>
            </w:pPr>
            <w:r>
              <w:rPr>
                <w:rFonts w:ascii="Arial" w:cs="Arial" w:eastAsia="Arial" w:hAnsi="Arial"/>
                <w:sz w:val="14"/>
                <w:szCs w:val="14"/>
                <w:color w:val="4D4D4F"/>
              </w:rPr>
              <w:t>3,332</w:t>
            </w:r>
          </w:p>
        </w:tc>
        <w:tc>
          <w:tcPr>
            <w:tcW w:w="1680" w:type="dxa"/>
            <w:vAlign w:val="bottom"/>
          </w:tcPr>
          <w:p>
            <w:pPr>
              <w:jc w:val="center"/>
              <w:ind w:left="28"/>
              <w:spacing w:after="0"/>
              <w:rPr>
                <w:sz w:val="20"/>
                <w:szCs w:val="20"/>
                <w:color w:val="auto"/>
              </w:rPr>
            </w:pPr>
            <w:r>
              <w:rPr>
                <w:rFonts w:ascii="Arial" w:cs="Arial" w:eastAsia="Arial" w:hAnsi="Arial"/>
                <w:sz w:val="14"/>
                <w:szCs w:val="14"/>
                <w:color w:val="4D4D4F"/>
              </w:rPr>
              <w:t>6,668</w:t>
            </w:r>
          </w:p>
        </w:tc>
        <w:tc>
          <w:tcPr>
            <w:tcW w:w="1880" w:type="dxa"/>
            <w:vAlign w:val="bottom"/>
          </w:tcPr>
          <w:p>
            <w:pPr>
              <w:jc w:val="center"/>
              <w:spacing w:after="0"/>
              <w:rPr>
                <w:sz w:val="20"/>
                <w:szCs w:val="20"/>
                <w:color w:val="auto"/>
              </w:rPr>
            </w:pPr>
            <w:r>
              <w:rPr>
                <w:rFonts w:ascii="Arial" w:cs="Arial" w:eastAsia="Arial" w:hAnsi="Arial"/>
                <w:sz w:val="14"/>
                <w:szCs w:val="14"/>
                <w:color w:val="4D4D4F"/>
                <w:w w:val="99"/>
              </w:rPr>
              <w:t>—</w:t>
            </w:r>
          </w:p>
        </w:tc>
        <w:tc>
          <w:tcPr>
            <w:tcW w:w="1620" w:type="dxa"/>
            <w:vAlign w:val="bottom"/>
          </w:tcPr>
          <w:p>
            <w:pPr>
              <w:jc w:val="center"/>
              <w:spacing w:after="0"/>
              <w:rPr>
                <w:sz w:val="20"/>
                <w:szCs w:val="20"/>
                <w:color w:val="auto"/>
              </w:rPr>
            </w:pPr>
            <w:r>
              <w:rPr>
                <w:rFonts w:ascii="Arial" w:cs="Arial" w:eastAsia="Arial" w:hAnsi="Arial"/>
                <w:sz w:val="14"/>
                <w:szCs w:val="14"/>
                <w:color w:val="4D4D4F"/>
              </w:rPr>
              <w:t>16.00</w:t>
            </w:r>
          </w:p>
        </w:tc>
        <w:tc>
          <w:tcPr>
            <w:tcW w:w="1740" w:type="dxa"/>
            <w:vAlign w:val="bottom"/>
          </w:tcPr>
          <w:p>
            <w:pPr>
              <w:jc w:val="center"/>
              <w:spacing w:after="0"/>
              <w:rPr>
                <w:sz w:val="20"/>
                <w:szCs w:val="20"/>
                <w:color w:val="auto"/>
              </w:rPr>
            </w:pPr>
            <w:r>
              <w:rPr>
                <w:rFonts w:ascii="Arial" w:cs="Arial" w:eastAsia="Arial" w:hAnsi="Arial"/>
                <w:sz w:val="14"/>
                <w:szCs w:val="14"/>
                <w:color w:val="4D4D4F"/>
              </w:rPr>
              <w:t>8/3/2029</w:t>
            </w:r>
          </w:p>
        </w:tc>
      </w:tr>
      <w:tr>
        <w:trPr>
          <w:trHeight w:val="176"/>
        </w:trPr>
        <w:tc>
          <w:tcPr>
            <w:tcW w:w="2100" w:type="dxa"/>
            <w:vAlign w:val="bottom"/>
          </w:tcPr>
          <w:p>
            <w:pPr>
              <w:spacing w:after="0"/>
              <w:rPr>
                <w:sz w:val="15"/>
                <w:szCs w:val="15"/>
                <w:color w:val="auto"/>
              </w:rPr>
            </w:pPr>
          </w:p>
        </w:tc>
        <w:tc>
          <w:tcPr>
            <w:tcW w:w="880" w:type="dxa"/>
            <w:vAlign w:val="bottom"/>
          </w:tcPr>
          <w:p>
            <w:pPr>
              <w:jc w:val="center"/>
              <w:ind w:left="148"/>
              <w:spacing w:after="0"/>
              <w:rPr>
                <w:sz w:val="20"/>
                <w:szCs w:val="20"/>
                <w:color w:val="auto"/>
              </w:rPr>
            </w:pPr>
            <w:r>
              <w:rPr>
                <w:rFonts w:ascii="Arial" w:cs="Arial" w:eastAsia="Arial" w:hAnsi="Arial"/>
                <w:sz w:val="14"/>
                <w:szCs w:val="14"/>
                <w:color w:val="4D4D4F"/>
              </w:rPr>
              <w:t>(1)(16)</w:t>
            </w:r>
          </w:p>
        </w:tc>
        <w:tc>
          <w:tcPr>
            <w:tcW w:w="1340" w:type="dxa"/>
            <w:vAlign w:val="bottom"/>
          </w:tcPr>
          <w:p>
            <w:pPr>
              <w:jc w:val="center"/>
              <w:spacing w:after="0"/>
              <w:rPr>
                <w:sz w:val="20"/>
                <w:szCs w:val="20"/>
                <w:color w:val="auto"/>
              </w:rPr>
            </w:pPr>
            <w:r>
              <w:rPr>
                <w:rFonts w:ascii="Arial" w:cs="Arial" w:eastAsia="Arial" w:hAnsi="Arial"/>
                <w:sz w:val="14"/>
                <w:szCs w:val="14"/>
                <w:color w:val="4D4D4F"/>
                <w:w w:val="99"/>
              </w:rPr>
              <w:t>—</w:t>
            </w:r>
          </w:p>
        </w:tc>
        <w:tc>
          <w:tcPr>
            <w:tcW w:w="1680" w:type="dxa"/>
            <w:vAlign w:val="bottom"/>
          </w:tcPr>
          <w:p>
            <w:pPr>
              <w:jc w:val="center"/>
              <w:ind w:left="28"/>
              <w:spacing w:after="0"/>
              <w:rPr>
                <w:sz w:val="20"/>
                <w:szCs w:val="20"/>
                <w:color w:val="auto"/>
              </w:rPr>
            </w:pPr>
            <w:r>
              <w:rPr>
                <w:rFonts w:ascii="Arial" w:cs="Arial" w:eastAsia="Arial" w:hAnsi="Arial"/>
                <w:sz w:val="14"/>
                <w:szCs w:val="14"/>
                <w:color w:val="4D4D4F"/>
                <w:w w:val="99"/>
              </w:rPr>
              <w:t>—</w:t>
            </w:r>
          </w:p>
        </w:tc>
        <w:tc>
          <w:tcPr>
            <w:tcW w:w="1880" w:type="dxa"/>
            <w:vAlign w:val="bottom"/>
          </w:tcPr>
          <w:p>
            <w:pPr>
              <w:jc w:val="center"/>
              <w:spacing w:after="0"/>
              <w:rPr>
                <w:sz w:val="20"/>
                <w:szCs w:val="20"/>
                <w:color w:val="auto"/>
              </w:rPr>
            </w:pPr>
            <w:r>
              <w:rPr>
                <w:rFonts w:ascii="Arial" w:cs="Arial" w:eastAsia="Arial" w:hAnsi="Arial"/>
                <w:sz w:val="14"/>
                <w:szCs w:val="14"/>
                <w:color w:val="4D4D4F"/>
              </w:rPr>
              <w:t>20,000</w:t>
            </w:r>
          </w:p>
        </w:tc>
        <w:tc>
          <w:tcPr>
            <w:tcW w:w="1620" w:type="dxa"/>
            <w:vAlign w:val="bottom"/>
          </w:tcPr>
          <w:p>
            <w:pPr>
              <w:jc w:val="center"/>
              <w:spacing w:after="0"/>
              <w:rPr>
                <w:sz w:val="20"/>
                <w:szCs w:val="20"/>
                <w:color w:val="auto"/>
              </w:rPr>
            </w:pPr>
            <w:r>
              <w:rPr>
                <w:rFonts w:ascii="Arial" w:cs="Arial" w:eastAsia="Arial" w:hAnsi="Arial"/>
                <w:sz w:val="14"/>
                <w:szCs w:val="14"/>
                <w:color w:val="4D4D4F"/>
              </w:rPr>
              <w:t>85.27</w:t>
            </w:r>
          </w:p>
        </w:tc>
        <w:tc>
          <w:tcPr>
            <w:tcW w:w="1740" w:type="dxa"/>
            <w:vAlign w:val="bottom"/>
          </w:tcPr>
          <w:p>
            <w:pPr>
              <w:jc w:val="center"/>
              <w:spacing w:after="0"/>
              <w:rPr>
                <w:sz w:val="20"/>
                <w:szCs w:val="20"/>
                <w:color w:val="auto"/>
              </w:rPr>
            </w:pPr>
            <w:r>
              <w:rPr>
                <w:rFonts w:ascii="Arial" w:cs="Arial" w:eastAsia="Arial" w:hAnsi="Arial"/>
                <w:sz w:val="14"/>
                <w:szCs w:val="14"/>
                <w:color w:val="4D4D4F"/>
              </w:rPr>
              <w:t>7/27/2030</w:t>
            </w:r>
          </w:p>
        </w:tc>
      </w:tr>
      <w:tr>
        <w:trPr>
          <w:trHeight w:val="226"/>
        </w:trPr>
        <w:tc>
          <w:tcPr>
            <w:tcW w:w="2100" w:type="dxa"/>
            <w:vAlign w:val="bottom"/>
          </w:tcPr>
          <w:p>
            <w:pPr>
              <w:spacing w:after="0"/>
              <w:rPr>
                <w:sz w:val="19"/>
                <w:szCs w:val="19"/>
                <w:color w:val="auto"/>
              </w:rPr>
            </w:pPr>
          </w:p>
        </w:tc>
        <w:tc>
          <w:tcPr>
            <w:tcW w:w="880" w:type="dxa"/>
            <w:vAlign w:val="bottom"/>
          </w:tcPr>
          <w:p>
            <w:pPr>
              <w:jc w:val="center"/>
              <w:ind w:left="148"/>
              <w:spacing w:after="0"/>
              <w:rPr>
                <w:sz w:val="20"/>
                <w:szCs w:val="20"/>
                <w:color w:val="auto"/>
              </w:rPr>
            </w:pPr>
            <w:r>
              <w:rPr>
                <w:rFonts w:ascii="Arial" w:cs="Arial" w:eastAsia="Arial" w:hAnsi="Arial"/>
                <w:sz w:val="14"/>
                <w:szCs w:val="14"/>
                <w:color w:val="4D4D4F"/>
              </w:rPr>
              <w:t>(2)(8)</w:t>
            </w:r>
          </w:p>
        </w:tc>
        <w:tc>
          <w:tcPr>
            <w:tcW w:w="1340" w:type="dxa"/>
            <w:vAlign w:val="bottom"/>
          </w:tcPr>
          <w:p>
            <w:pPr>
              <w:jc w:val="center"/>
              <w:spacing w:after="0"/>
              <w:rPr>
                <w:sz w:val="20"/>
                <w:szCs w:val="20"/>
                <w:color w:val="auto"/>
              </w:rPr>
            </w:pPr>
            <w:r>
              <w:rPr>
                <w:rFonts w:ascii="Arial" w:cs="Arial" w:eastAsia="Arial" w:hAnsi="Arial"/>
                <w:sz w:val="14"/>
                <w:szCs w:val="14"/>
                <w:color w:val="4D4D4F"/>
                <w:w w:val="99"/>
              </w:rPr>
              <w:t>—</w:t>
            </w:r>
          </w:p>
        </w:tc>
        <w:tc>
          <w:tcPr>
            <w:tcW w:w="1680" w:type="dxa"/>
            <w:vAlign w:val="bottom"/>
          </w:tcPr>
          <w:p>
            <w:pPr>
              <w:jc w:val="center"/>
              <w:ind w:left="28"/>
              <w:spacing w:after="0"/>
              <w:rPr>
                <w:sz w:val="20"/>
                <w:szCs w:val="20"/>
                <w:color w:val="auto"/>
              </w:rPr>
            </w:pPr>
            <w:r>
              <w:rPr>
                <w:rFonts w:ascii="Arial" w:cs="Arial" w:eastAsia="Arial" w:hAnsi="Arial"/>
                <w:sz w:val="14"/>
                <w:szCs w:val="14"/>
                <w:color w:val="4D4D4F"/>
                <w:w w:val="99"/>
              </w:rPr>
              <w:t>—</w:t>
            </w:r>
          </w:p>
        </w:tc>
        <w:tc>
          <w:tcPr>
            <w:tcW w:w="1880" w:type="dxa"/>
            <w:vAlign w:val="bottom"/>
          </w:tcPr>
          <w:p>
            <w:pPr>
              <w:jc w:val="center"/>
              <w:spacing w:after="0"/>
              <w:rPr>
                <w:sz w:val="20"/>
                <w:szCs w:val="20"/>
                <w:color w:val="auto"/>
              </w:rPr>
            </w:pPr>
            <w:r>
              <w:rPr>
                <w:rFonts w:ascii="Arial" w:cs="Arial" w:eastAsia="Arial" w:hAnsi="Arial"/>
                <w:sz w:val="14"/>
                <w:szCs w:val="14"/>
                <w:color w:val="4D4D4F"/>
              </w:rPr>
              <w:t>260,000</w:t>
            </w:r>
          </w:p>
        </w:tc>
        <w:tc>
          <w:tcPr>
            <w:tcW w:w="1620" w:type="dxa"/>
            <w:vAlign w:val="bottom"/>
          </w:tcPr>
          <w:p>
            <w:pPr>
              <w:jc w:val="center"/>
              <w:spacing w:after="0"/>
              <w:rPr>
                <w:sz w:val="20"/>
                <w:szCs w:val="20"/>
                <w:color w:val="auto"/>
              </w:rPr>
            </w:pPr>
            <w:r>
              <w:rPr>
                <w:rFonts w:ascii="Arial" w:cs="Arial" w:eastAsia="Arial" w:hAnsi="Arial"/>
                <w:sz w:val="14"/>
                <w:szCs w:val="14"/>
                <w:color w:val="4D4D4F"/>
              </w:rPr>
              <w:t>1.89</w:t>
            </w:r>
          </w:p>
        </w:tc>
        <w:tc>
          <w:tcPr>
            <w:tcW w:w="1740" w:type="dxa"/>
            <w:vAlign w:val="bottom"/>
          </w:tcPr>
          <w:p>
            <w:pPr>
              <w:jc w:val="center"/>
              <w:spacing w:after="0"/>
              <w:rPr>
                <w:sz w:val="20"/>
                <w:szCs w:val="20"/>
                <w:color w:val="auto"/>
              </w:rPr>
            </w:pPr>
            <w:r>
              <w:rPr>
                <w:rFonts w:ascii="Arial" w:cs="Arial" w:eastAsia="Arial" w:hAnsi="Arial"/>
                <w:sz w:val="14"/>
                <w:szCs w:val="14"/>
                <w:color w:val="4D4D4F"/>
              </w:rPr>
              <w:t>12/31/2024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-3413760</wp:posOffset>
            </wp:positionV>
            <wp:extent cx="524637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246370" cy="8255"/>
                    </a:xfrm>
                    <a:prstGeom prst="rect">
                      <a:avLst/>
                    </a:prstGeom>
                    <a:noFill/>
                  </pic:spPr>
                </pic:pic>
              </a:graphicData>
            </a:graphic>
          </wp:anchor>
        </w:drawing>
      </w:r>
    </w:p>
    <w:p>
      <w:pPr>
        <w:spacing w:after="0" w:line="21" w:lineRule="exact"/>
        <w:rPr>
          <w:sz w:val="20"/>
          <w:szCs w:val="20"/>
          <w:color w:val="auto"/>
        </w:rPr>
      </w:pPr>
    </w:p>
    <w:p>
      <w:pPr>
        <w:ind w:left="340" w:hanging="332"/>
        <w:spacing w:after="0"/>
        <w:tabs>
          <w:tab w:leader="none" w:pos="340" w:val="left"/>
        </w:tabs>
        <w:numPr>
          <w:ilvl w:val="0"/>
          <w:numId w:val="58"/>
        </w:numPr>
        <w:rPr>
          <w:rFonts w:ascii="Arial" w:cs="Arial" w:eastAsia="Arial" w:hAnsi="Arial"/>
          <w:sz w:val="14"/>
          <w:szCs w:val="14"/>
          <w:color w:val="4D4D4F"/>
        </w:rPr>
      </w:pPr>
      <w:r>
        <w:rPr>
          <w:rFonts w:ascii="Arial" w:cs="Arial" w:eastAsia="Arial" w:hAnsi="Arial"/>
          <w:sz w:val="14"/>
          <w:szCs w:val="14"/>
          <w:color w:val="4D4D4F"/>
        </w:rPr>
        <w:t>Option exercisable, subject to vesting, to acquire Class A common stock.</w:t>
      </w:r>
    </w:p>
    <w:p>
      <w:pPr>
        <w:spacing w:after="0" w:line="55" w:lineRule="exact"/>
        <w:rPr>
          <w:rFonts w:ascii="Arial" w:cs="Arial" w:eastAsia="Arial" w:hAnsi="Arial"/>
          <w:sz w:val="14"/>
          <w:szCs w:val="14"/>
          <w:color w:val="4D4D4F"/>
        </w:rPr>
      </w:pPr>
    </w:p>
    <w:p>
      <w:pPr>
        <w:jc w:val="both"/>
        <w:ind w:left="340" w:hanging="332"/>
        <w:spacing w:after="0" w:line="244" w:lineRule="auto"/>
        <w:tabs>
          <w:tab w:leader="none" w:pos="340" w:val="left"/>
        </w:tabs>
        <w:numPr>
          <w:ilvl w:val="0"/>
          <w:numId w:val="58"/>
        </w:numPr>
        <w:rPr>
          <w:rFonts w:ascii="Arial" w:cs="Arial" w:eastAsia="Arial" w:hAnsi="Arial"/>
          <w:sz w:val="14"/>
          <w:szCs w:val="14"/>
          <w:color w:val="4D4D4F"/>
        </w:rPr>
      </w:pPr>
      <w:r>
        <w:rPr>
          <w:rFonts w:ascii="Arial" w:cs="Arial" w:eastAsia="Arial" w:hAnsi="Arial"/>
          <w:sz w:val="14"/>
          <w:szCs w:val="14"/>
          <w:color w:val="4D4D4F"/>
        </w:rPr>
        <w:t>Option exercisable, subject to vesting, to acquire shares of ACM Research (Shanghai), Inc. Assumes threshold achievement. One-half of the option vests on January 1, 2023, generally subject to continued service and key financial metrics. The remaining half of the option vests on January 1, 2024, generally subject to continued service and key financial metrics. In each case, vesting is also contingent on the applicable NEO’s performance rating for the year prior to the applicable time-based vesting date, such that 100% of the option that would otherwise vest pursuant to the foregoing two sentences will vest if such performance rating is “excellent” or “good,” 80% if such performance rating is “medium,” 60% if such performance rating is “pass,” and 0% if such performance rating is below “pass.” All such options accelerate vesting upon a defined change in control of ACM.</w:t>
      </w:r>
    </w:p>
    <w:p>
      <w:pPr>
        <w:spacing w:after="0" w:line="43" w:lineRule="exact"/>
        <w:rPr>
          <w:rFonts w:ascii="Arial" w:cs="Arial" w:eastAsia="Arial" w:hAnsi="Arial"/>
          <w:sz w:val="14"/>
          <w:szCs w:val="14"/>
          <w:color w:val="4D4D4F"/>
        </w:rPr>
      </w:pPr>
    </w:p>
    <w:p>
      <w:pPr>
        <w:ind w:left="340" w:hanging="332"/>
        <w:spacing w:after="0"/>
        <w:tabs>
          <w:tab w:leader="none" w:pos="340" w:val="left"/>
        </w:tabs>
        <w:numPr>
          <w:ilvl w:val="0"/>
          <w:numId w:val="58"/>
        </w:numPr>
        <w:rPr>
          <w:rFonts w:ascii="Arial" w:cs="Arial" w:eastAsia="Arial" w:hAnsi="Arial"/>
          <w:sz w:val="14"/>
          <w:szCs w:val="14"/>
          <w:color w:val="4D4D4F"/>
        </w:rPr>
      </w:pPr>
      <w:r>
        <w:rPr>
          <w:rFonts w:ascii="Arial" w:cs="Arial" w:eastAsia="Arial" w:hAnsi="Arial"/>
          <w:sz w:val="14"/>
          <w:szCs w:val="14"/>
          <w:color w:val="4D4D4F"/>
        </w:rPr>
        <w:t>Option was fully vested on May 1, 2011.</w:t>
      </w:r>
    </w:p>
    <w:p>
      <w:pPr>
        <w:spacing w:after="0" w:line="17" w:lineRule="exact"/>
        <w:rPr>
          <w:rFonts w:ascii="Arial" w:cs="Arial" w:eastAsia="Arial" w:hAnsi="Arial"/>
          <w:sz w:val="14"/>
          <w:szCs w:val="14"/>
          <w:color w:val="4D4D4F"/>
        </w:rPr>
      </w:pPr>
    </w:p>
    <w:p>
      <w:pPr>
        <w:jc w:val="both"/>
        <w:ind w:left="340" w:hanging="332"/>
        <w:spacing w:after="0" w:line="306" w:lineRule="auto"/>
        <w:tabs>
          <w:tab w:leader="none" w:pos="340" w:val="left"/>
        </w:tabs>
        <w:numPr>
          <w:ilvl w:val="0"/>
          <w:numId w:val="58"/>
        </w:numPr>
        <w:rPr>
          <w:rFonts w:ascii="Arial" w:cs="Arial" w:eastAsia="Arial" w:hAnsi="Arial"/>
          <w:sz w:val="14"/>
          <w:szCs w:val="14"/>
          <w:color w:val="4D4D4F"/>
        </w:rPr>
      </w:pPr>
      <w:r>
        <w:rPr>
          <w:rFonts w:ascii="Arial" w:cs="Arial" w:eastAsia="Arial" w:hAnsi="Arial"/>
          <w:sz w:val="14"/>
          <w:szCs w:val="14"/>
          <w:color w:val="4D4D4F"/>
        </w:rPr>
        <w:t>Option was granted on May 1, 2015. One quarter of the option vested and became exercisable on the first anniversary of the grant date, with the remaining three-quarters vesting and becoming exercisable in equal monthly installments over the following 36 months, subject to continued service through each vesting date. Option accelerates vesting upon a defined change in control of ACM</w:t>
      </w:r>
    </w:p>
    <w:p>
      <w:pPr>
        <w:spacing w:after="0" w:line="2" w:lineRule="exact"/>
        <w:rPr>
          <w:rFonts w:ascii="Arial" w:cs="Arial" w:eastAsia="Arial" w:hAnsi="Arial"/>
          <w:sz w:val="14"/>
          <w:szCs w:val="14"/>
          <w:color w:val="4D4D4F"/>
        </w:rPr>
      </w:pPr>
    </w:p>
    <w:p>
      <w:pPr>
        <w:jc w:val="both"/>
        <w:ind w:left="340" w:hanging="332"/>
        <w:spacing w:after="0" w:line="249" w:lineRule="auto"/>
        <w:tabs>
          <w:tab w:leader="none" w:pos="340" w:val="left"/>
        </w:tabs>
        <w:numPr>
          <w:ilvl w:val="0"/>
          <w:numId w:val="58"/>
        </w:numPr>
        <w:rPr>
          <w:rFonts w:ascii="Arial" w:cs="Arial" w:eastAsia="Arial" w:hAnsi="Arial"/>
          <w:sz w:val="14"/>
          <w:szCs w:val="14"/>
          <w:color w:val="4D4D4F"/>
        </w:rPr>
      </w:pPr>
      <w:r>
        <w:rPr>
          <w:rFonts w:ascii="Arial" w:cs="Arial" w:eastAsia="Arial" w:hAnsi="Arial"/>
          <w:sz w:val="14"/>
          <w:szCs w:val="14"/>
          <w:color w:val="4D4D4F"/>
        </w:rPr>
        <w:t>Option was granted on December 28, 2016. One quarter of the option vested and became exercisable on the first anniversary of the grant date, with the remaining three-quarters vesting and becoming exercisable in equal monthly installments over the following 36 months, subject to continued service through each vesting date. Option accelerates vesting upon a defined change in control of ACM</w:t>
      </w:r>
    </w:p>
    <w:p>
      <w:pPr>
        <w:spacing w:after="0" w:line="38" w:lineRule="exact"/>
        <w:rPr>
          <w:rFonts w:ascii="Arial" w:cs="Arial" w:eastAsia="Arial" w:hAnsi="Arial"/>
          <w:sz w:val="14"/>
          <w:szCs w:val="14"/>
          <w:color w:val="4D4D4F"/>
        </w:rPr>
      </w:pPr>
    </w:p>
    <w:p>
      <w:pPr>
        <w:jc w:val="both"/>
        <w:ind w:left="340" w:hanging="332"/>
        <w:spacing w:after="0" w:line="249" w:lineRule="auto"/>
        <w:tabs>
          <w:tab w:leader="none" w:pos="340" w:val="left"/>
        </w:tabs>
        <w:numPr>
          <w:ilvl w:val="0"/>
          <w:numId w:val="58"/>
        </w:numPr>
        <w:rPr>
          <w:rFonts w:ascii="Arial" w:cs="Arial" w:eastAsia="Arial" w:hAnsi="Arial"/>
          <w:sz w:val="14"/>
          <w:szCs w:val="14"/>
          <w:color w:val="4D4D4F"/>
        </w:rPr>
      </w:pPr>
      <w:r>
        <w:rPr>
          <w:rFonts w:ascii="Arial" w:cs="Arial" w:eastAsia="Arial" w:hAnsi="Arial"/>
          <w:sz w:val="14"/>
          <w:szCs w:val="14"/>
          <w:color w:val="4D4D4F"/>
        </w:rPr>
        <w:t>Option was granted on April 23, 2019. One quarter of the option vested and became exercisable on the first anniversary of the grant date, with the remaining three-quarters vesting and becoming exercisable in equal monthly installments over the following 36 months, subject to continued service through each vesting date. Option accelerates vesting upon a defined change in control of ACM.</w:t>
      </w:r>
    </w:p>
    <w:p>
      <w:pPr>
        <w:spacing w:after="0" w:line="38" w:lineRule="exact"/>
        <w:rPr>
          <w:rFonts w:ascii="Arial" w:cs="Arial" w:eastAsia="Arial" w:hAnsi="Arial"/>
          <w:sz w:val="14"/>
          <w:szCs w:val="14"/>
          <w:color w:val="4D4D4F"/>
        </w:rPr>
      </w:pPr>
    </w:p>
    <w:p>
      <w:pPr>
        <w:jc w:val="both"/>
        <w:ind w:left="340" w:hanging="332"/>
        <w:spacing w:after="0" w:line="249" w:lineRule="auto"/>
        <w:tabs>
          <w:tab w:leader="none" w:pos="340" w:val="left"/>
        </w:tabs>
        <w:numPr>
          <w:ilvl w:val="0"/>
          <w:numId w:val="58"/>
        </w:numPr>
        <w:rPr>
          <w:rFonts w:ascii="Arial" w:cs="Arial" w:eastAsia="Arial" w:hAnsi="Arial"/>
          <w:sz w:val="14"/>
          <w:szCs w:val="14"/>
          <w:color w:val="4D4D4F"/>
        </w:rPr>
      </w:pPr>
      <w:r>
        <w:rPr>
          <w:rFonts w:ascii="Arial" w:cs="Arial" w:eastAsia="Arial" w:hAnsi="Arial"/>
          <w:sz w:val="14"/>
          <w:szCs w:val="14"/>
          <w:color w:val="4D4D4F"/>
        </w:rPr>
        <w:t>Option was granted on March 20, 2020. An initial 181,799 shares vested and became exercisable on August 5, 2020, which was the first trading day as of which the Issuer's market capitalization equaled or exceeded $1,553,383,586. The remaining shares will vest and become exercise in two equal installments upon the first trading days, if any, on which the Issuer's market capitalization equals or exceeds $2,553,383,586 and $3,553,383,586, respectively.</w:t>
      </w:r>
    </w:p>
    <w:p>
      <w:pPr>
        <w:spacing w:after="0" w:line="38" w:lineRule="exact"/>
        <w:rPr>
          <w:rFonts w:ascii="Arial" w:cs="Arial" w:eastAsia="Arial" w:hAnsi="Arial"/>
          <w:sz w:val="14"/>
          <w:szCs w:val="14"/>
          <w:color w:val="4D4D4F"/>
        </w:rPr>
      </w:pPr>
    </w:p>
    <w:p>
      <w:pPr>
        <w:jc w:val="both"/>
        <w:ind w:left="340" w:hanging="332"/>
        <w:spacing w:after="0" w:line="247" w:lineRule="auto"/>
        <w:tabs>
          <w:tab w:leader="none" w:pos="340" w:val="left"/>
        </w:tabs>
        <w:numPr>
          <w:ilvl w:val="0"/>
          <w:numId w:val="58"/>
        </w:numPr>
        <w:rPr>
          <w:rFonts w:ascii="Arial" w:cs="Arial" w:eastAsia="Arial" w:hAnsi="Arial"/>
          <w:sz w:val="14"/>
          <w:szCs w:val="14"/>
          <w:color w:val="4D4D4F"/>
        </w:rPr>
      </w:pPr>
      <w:r>
        <w:rPr>
          <w:rFonts w:ascii="Arial" w:cs="Arial" w:eastAsia="Arial" w:hAnsi="Arial"/>
          <w:sz w:val="14"/>
          <w:szCs w:val="14"/>
          <w:color w:val="4D4D4F"/>
        </w:rPr>
        <w:t>Option was granted on January 1, 2020. Performance-based option award pursuant to which one-half of the shares subject to the award vests and becomes exercisable on the third anniversary of the grant date if ACM Shanghai’s operating income is not less than RMB1 billion for the year ending December 31, 2021, and the second half of the shares subject to the award vests and becomes exercisable on the fourth anniversary of the grant date if ACM Shanghai’s operating income is not less than RMB1.2 billion for the year ending December 31, 2022.</w:t>
      </w:r>
    </w:p>
    <w:p>
      <w:pPr>
        <w:spacing w:after="0" w:line="39" w:lineRule="exact"/>
        <w:rPr>
          <w:rFonts w:ascii="Arial" w:cs="Arial" w:eastAsia="Arial" w:hAnsi="Arial"/>
          <w:sz w:val="14"/>
          <w:szCs w:val="14"/>
          <w:color w:val="4D4D4F"/>
        </w:rPr>
      </w:pPr>
    </w:p>
    <w:p>
      <w:pPr>
        <w:jc w:val="both"/>
        <w:ind w:left="340" w:hanging="332"/>
        <w:spacing w:after="0" w:line="249" w:lineRule="auto"/>
        <w:tabs>
          <w:tab w:leader="none" w:pos="340" w:val="left"/>
        </w:tabs>
        <w:numPr>
          <w:ilvl w:val="0"/>
          <w:numId w:val="58"/>
        </w:numPr>
        <w:rPr>
          <w:rFonts w:ascii="Arial" w:cs="Arial" w:eastAsia="Arial" w:hAnsi="Arial"/>
          <w:sz w:val="14"/>
          <w:szCs w:val="14"/>
          <w:color w:val="4D4D4F"/>
        </w:rPr>
      </w:pPr>
      <w:r>
        <w:rPr>
          <w:rFonts w:ascii="Arial" w:cs="Arial" w:eastAsia="Arial" w:hAnsi="Arial"/>
          <w:sz w:val="14"/>
          <w:szCs w:val="14"/>
          <w:color w:val="4D4D4F"/>
        </w:rPr>
        <w:t>Option was granted on August 1, 2018. One quarter of the option vested and became exercisable on the first anniversary of the grant date, with the remaining three-quarters vesting and becoming exercisable in equal monthly installments over the following 36 months, subject to continued service through each vesting date. Option accelerates vesting upon a defined change in control of ACM.</w:t>
      </w:r>
    </w:p>
    <w:p>
      <w:pPr>
        <w:spacing w:after="0" w:line="38" w:lineRule="exact"/>
        <w:rPr>
          <w:rFonts w:ascii="Arial" w:cs="Arial" w:eastAsia="Arial" w:hAnsi="Arial"/>
          <w:sz w:val="14"/>
          <w:szCs w:val="14"/>
          <w:color w:val="4D4D4F"/>
        </w:rPr>
      </w:pPr>
    </w:p>
    <w:p>
      <w:pPr>
        <w:jc w:val="both"/>
        <w:ind w:left="340" w:hanging="332"/>
        <w:spacing w:after="0" w:line="249" w:lineRule="auto"/>
        <w:tabs>
          <w:tab w:leader="none" w:pos="340" w:val="left"/>
        </w:tabs>
        <w:numPr>
          <w:ilvl w:val="0"/>
          <w:numId w:val="58"/>
        </w:numPr>
        <w:rPr>
          <w:rFonts w:ascii="Arial" w:cs="Arial" w:eastAsia="Arial" w:hAnsi="Arial"/>
          <w:sz w:val="14"/>
          <w:szCs w:val="14"/>
          <w:color w:val="4D4D4F"/>
        </w:rPr>
      </w:pPr>
      <w:r>
        <w:rPr>
          <w:rFonts w:ascii="Arial" w:cs="Arial" w:eastAsia="Arial" w:hAnsi="Arial"/>
          <w:sz w:val="14"/>
          <w:szCs w:val="14"/>
          <w:color w:val="4D4D4F"/>
        </w:rPr>
        <w:t>Option was granted on November 4, 2019. One quarter of the option vested and became exercisable on the first anniversary of the grant date, with the remaining three-quarters vesting and becoming exercisable in equal monthly installments over the following 36 months, subject to continued service through each vesting date. Option accelerates vesting upon a defined change in control of ACM.</w:t>
      </w:r>
    </w:p>
    <w:p>
      <w:pPr>
        <w:spacing w:after="0" w:line="38" w:lineRule="exact"/>
        <w:rPr>
          <w:rFonts w:ascii="Arial" w:cs="Arial" w:eastAsia="Arial" w:hAnsi="Arial"/>
          <w:sz w:val="14"/>
          <w:szCs w:val="14"/>
          <w:color w:val="4D4D4F"/>
        </w:rPr>
      </w:pPr>
    </w:p>
    <w:p>
      <w:pPr>
        <w:jc w:val="both"/>
        <w:ind w:left="340" w:hanging="332"/>
        <w:spacing w:after="0" w:line="249" w:lineRule="auto"/>
        <w:tabs>
          <w:tab w:leader="none" w:pos="340" w:val="left"/>
        </w:tabs>
        <w:numPr>
          <w:ilvl w:val="0"/>
          <w:numId w:val="58"/>
        </w:numPr>
        <w:rPr>
          <w:rFonts w:ascii="Arial" w:cs="Arial" w:eastAsia="Arial" w:hAnsi="Arial"/>
          <w:sz w:val="14"/>
          <w:szCs w:val="14"/>
          <w:color w:val="4D4D4F"/>
        </w:rPr>
      </w:pPr>
      <w:r>
        <w:rPr>
          <w:rFonts w:ascii="Arial" w:cs="Arial" w:eastAsia="Arial" w:hAnsi="Arial"/>
          <w:sz w:val="14"/>
          <w:szCs w:val="14"/>
          <w:color w:val="4D4D4F"/>
        </w:rPr>
        <w:t>August 1, 2018. One quarter of the option vested and became exercisable on the first anniversary of the grant date, with the remaining three-quarters vesting and becoming exercisable in equal monthly installments over the following 36 months, subject to continued service through each vesting date. Option accelerates vesting upon a defined change in control of ACM.</w:t>
      </w:r>
    </w:p>
    <w:p>
      <w:pPr>
        <w:spacing w:after="0" w:line="38" w:lineRule="exact"/>
        <w:rPr>
          <w:rFonts w:ascii="Arial" w:cs="Arial" w:eastAsia="Arial" w:hAnsi="Arial"/>
          <w:sz w:val="14"/>
          <w:szCs w:val="14"/>
          <w:color w:val="4D4D4F"/>
        </w:rPr>
      </w:pPr>
    </w:p>
    <w:p>
      <w:pPr>
        <w:jc w:val="both"/>
        <w:ind w:left="340" w:hanging="332"/>
        <w:spacing w:after="0" w:line="249" w:lineRule="auto"/>
        <w:tabs>
          <w:tab w:leader="none" w:pos="340" w:val="left"/>
        </w:tabs>
        <w:numPr>
          <w:ilvl w:val="0"/>
          <w:numId w:val="58"/>
        </w:numPr>
        <w:rPr>
          <w:rFonts w:ascii="Arial" w:cs="Arial" w:eastAsia="Arial" w:hAnsi="Arial"/>
          <w:sz w:val="14"/>
          <w:szCs w:val="14"/>
          <w:color w:val="4D4D4F"/>
        </w:rPr>
      </w:pPr>
      <w:r>
        <w:rPr>
          <w:rFonts w:ascii="Arial" w:cs="Arial" w:eastAsia="Arial" w:hAnsi="Arial"/>
          <w:sz w:val="14"/>
          <w:szCs w:val="14"/>
          <w:color w:val="4D4D4F"/>
        </w:rPr>
        <w:t>Option was granted on November 2, 2017. One quarter of the option vested and became exercisable on the first anniversary of the grant date, with the remaining three-quarters vesting and becoming exercisable in equal monthly installments over the following 36 months, subject to continued service through each vesting date. Option accelerates vesting upon a defined change in control of ACM.</w:t>
      </w:r>
    </w:p>
    <w:p>
      <w:pPr>
        <w:spacing w:after="0" w:line="38" w:lineRule="exact"/>
        <w:rPr>
          <w:rFonts w:ascii="Arial" w:cs="Arial" w:eastAsia="Arial" w:hAnsi="Arial"/>
          <w:sz w:val="14"/>
          <w:szCs w:val="14"/>
          <w:color w:val="4D4D4F"/>
        </w:rPr>
      </w:pPr>
    </w:p>
    <w:p>
      <w:pPr>
        <w:jc w:val="both"/>
        <w:ind w:left="340" w:hanging="332"/>
        <w:spacing w:after="0" w:line="249" w:lineRule="auto"/>
        <w:tabs>
          <w:tab w:leader="none" w:pos="340" w:val="left"/>
        </w:tabs>
        <w:numPr>
          <w:ilvl w:val="0"/>
          <w:numId w:val="58"/>
        </w:numPr>
        <w:rPr>
          <w:rFonts w:ascii="Arial" w:cs="Arial" w:eastAsia="Arial" w:hAnsi="Arial"/>
          <w:sz w:val="14"/>
          <w:szCs w:val="14"/>
          <w:color w:val="4D4D4F"/>
        </w:rPr>
      </w:pPr>
      <w:r>
        <w:rPr>
          <w:rFonts w:ascii="Arial" w:cs="Arial" w:eastAsia="Arial" w:hAnsi="Arial"/>
          <w:sz w:val="14"/>
          <w:szCs w:val="14"/>
          <w:color w:val="4D4D4F"/>
        </w:rPr>
        <w:t>Option was granted on January 25, 2018. One quarter of the option vested and became exercisable on the first anniversary of the grant date, with the remaining three-quarters vesting and becoming exercisable in equal monthly installments over the following 36 months, subject to continued service through each vesting date. Option accelerates vesting upon a defined change in control of ACM.</w:t>
      </w:r>
    </w:p>
    <w:p>
      <w:pPr>
        <w:spacing w:after="0" w:line="38" w:lineRule="exact"/>
        <w:rPr>
          <w:rFonts w:ascii="Arial" w:cs="Arial" w:eastAsia="Arial" w:hAnsi="Arial"/>
          <w:sz w:val="14"/>
          <w:szCs w:val="14"/>
          <w:color w:val="4D4D4F"/>
        </w:rPr>
      </w:pPr>
    </w:p>
    <w:p>
      <w:pPr>
        <w:jc w:val="both"/>
        <w:ind w:left="340" w:hanging="332"/>
        <w:spacing w:after="0" w:line="249" w:lineRule="auto"/>
        <w:tabs>
          <w:tab w:leader="none" w:pos="340" w:val="left"/>
        </w:tabs>
        <w:numPr>
          <w:ilvl w:val="0"/>
          <w:numId w:val="58"/>
        </w:numPr>
        <w:rPr>
          <w:rFonts w:ascii="Arial" w:cs="Arial" w:eastAsia="Arial" w:hAnsi="Arial"/>
          <w:sz w:val="14"/>
          <w:szCs w:val="14"/>
          <w:color w:val="4D4D4F"/>
        </w:rPr>
      </w:pPr>
      <w:r>
        <w:rPr>
          <w:rFonts w:ascii="Arial" w:cs="Arial" w:eastAsia="Arial" w:hAnsi="Arial"/>
          <w:sz w:val="14"/>
          <w:szCs w:val="14"/>
          <w:color w:val="4D4D4F"/>
        </w:rPr>
        <w:t>Option was granted on April 28, 2020. One quarter of the option vested and became exercisable on the first anniversary of the grant date, with the remaining three-quarters vesting and becoming exercisable in equal monthly installments over the following 36 months, subject to continued service through each vesting date. Option accelerates vesting upon a defined change in control of ACM.</w:t>
      </w:r>
    </w:p>
    <w:p>
      <w:pPr>
        <w:spacing w:after="0" w:line="38" w:lineRule="exact"/>
        <w:rPr>
          <w:rFonts w:ascii="Arial" w:cs="Arial" w:eastAsia="Arial" w:hAnsi="Arial"/>
          <w:sz w:val="14"/>
          <w:szCs w:val="14"/>
          <w:color w:val="4D4D4F"/>
        </w:rPr>
      </w:pPr>
    </w:p>
    <w:p>
      <w:pPr>
        <w:jc w:val="both"/>
        <w:ind w:left="340" w:hanging="332"/>
        <w:spacing w:after="0" w:line="249" w:lineRule="auto"/>
        <w:tabs>
          <w:tab w:leader="none" w:pos="340" w:val="left"/>
        </w:tabs>
        <w:numPr>
          <w:ilvl w:val="0"/>
          <w:numId w:val="58"/>
        </w:numPr>
        <w:rPr>
          <w:rFonts w:ascii="Arial" w:cs="Arial" w:eastAsia="Arial" w:hAnsi="Arial"/>
          <w:sz w:val="14"/>
          <w:szCs w:val="14"/>
          <w:color w:val="4D4D4F"/>
        </w:rPr>
      </w:pPr>
      <w:r>
        <w:rPr>
          <w:rFonts w:ascii="Arial" w:cs="Arial" w:eastAsia="Arial" w:hAnsi="Arial"/>
          <w:sz w:val="14"/>
          <w:szCs w:val="14"/>
          <w:color w:val="4D4D4F"/>
        </w:rPr>
        <w:t>Option was granted on August 4, 2019. One quarter of the option vested and became exercisable on the first anniversary of the grant date, with the remaining three-quarters vesting and becoming exercisable in equal monthly installments over the following 36 months, subject to continued service through each vesting date. Option accelerates vesting upon a defined change in control of ACM.</w:t>
      </w:r>
    </w:p>
    <w:p>
      <w:pPr>
        <w:spacing w:after="0" w:line="38" w:lineRule="exact"/>
        <w:rPr>
          <w:rFonts w:ascii="Arial" w:cs="Arial" w:eastAsia="Arial" w:hAnsi="Arial"/>
          <w:sz w:val="14"/>
          <w:szCs w:val="14"/>
          <w:color w:val="4D4D4F"/>
        </w:rPr>
      </w:pPr>
    </w:p>
    <w:p>
      <w:pPr>
        <w:jc w:val="both"/>
        <w:ind w:left="340" w:right="20" w:hanging="332"/>
        <w:spacing w:after="0" w:line="249" w:lineRule="auto"/>
        <w:tabs>
          <w:tab w:leader="none" w:pos="340" w:val="left"/>
        </w:tabs>
        <w:numPr>
          <w:ilvl w:val="0"/>
          <w:numId w:val="58"/>
        </w:numPr>
        <w:rPr>
          <w:rFonts w:ascii="Arial" w:cs="Arial" w:eastAsia="Arial" w:hAnsi="Arial"/>
          <w:sz w:val="14"/>
          <w:szCs w:val="14"/>
          <w:color w:val="4D4D4F"/>
        </w:rPr>
      </w:pPr>
      <w:r>
        <w:rPr>
          <w:rFonts w:ascii="Arial" w:cs="Arial" w:eastAsia="Arial" w:hAnsi="Arial"/>
          <w:sz w:val="14"/>
          <w:szCs w:val="14"/>
          <w:color w:val="4D4D4F"/>
        </w:rPr>
        <w:t>Option was granted on July 28, 2020. Performance-based option award pursuant to which one-half of the shares subject to the award vests and becomes exercisable upon our receipt of our first demo tool order from a specified semiconductor company and the other half vests and becomes exercisable upon the qualification of our first demo tool for such semiconductor company.</w:t>
      </w:r>
    </w:p>
    <w:p>
      <w:pPr>
        <w:spacing w:after="0" w:line="109" w:lineRule="exact"/>
        <w:rPr>
          <w:sz w:val="20"/>
          <w:szCs w:val="20"/>
          <w:color w:val="auto"/>
        </w:rPr>
      </w:pPr>
    </w:p>
    <w:p>
      <w:pPr>
        <w:spacing w:after="0" w:line="322" w:lineRule="auto"/>
        <w:rPr>
          <w:sz w:val="20"/>
          <w:szCs w:val="20"/>
          <w:color w:val="auto"/>
        </w:rPr>
      </w:pPr>
      <w:r>
        <w:rPr>
          <w:rFonts w:ascii="Arial" w:cs="Arial" w:eastAsia="Arial" w:hAnsi="Arial"/>
          <w:sz w:val="18"/>
          <w:szCs w:val="18"/>
          <w:color w:val="4D4D4F"/>
        </w:rPr>
        <w:t>For information regarding the vesting acceleration provisions applicable to the options held by our NEOs, please see “Compensation Discussion and Analysis—Potential Change in Control Benefits” below.</w:t>
      </w:r>
    </w:p>
    <w:p>
      <w:pPr>
        <w:sectPr>
          <w:pgSz w:w="11900" w:h="16838" w:orient="portrait"/>
          <w:cols w:equalWidth="0" w:num="1">
            <w:col w:w="11240"/>
          </w:cols>
          <w:pgMar w:left="320" w:top="130" w:right="339" w:bottom="0" w:gutter="0" w:footer="0" w:header="0"/>
        </w:sect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397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3970"/>
                    </a:xfrm>
                    <a:prstGeom prst="rect">
                      <a:avLst/>
                    </a:prstGeom>
                    <a:noFill/>
                  </pic:spPr>
                </pic:pic>
              </a:graphicData>
            </a:graphic>
          </wp:anchor>
        </w:drawing>
      </w:r>
    </w:p>
    <w:p>
      <w:pPr>
        <w:sectPr>
          <w:pgSz w:w="11900" w:h="16838" w:orient="portrait"/>
          <w:cols w:equalWidth="0" w:num="1">
            <w:col w:w="11240"/>
          </w:cols>
          <w:pgMar w:left="320" w:top="130" w:right="339" w:bottom="0" w:gutter="0" w:footer="0" w:header="0"/>
          <w:type w:val="continuous"/>
        </w:sectPr>
      </w:pPr>
    </w:p>
    <w:bookmarkStart w:id="40" w:name="page41"/>
    <w:bookmarkEnd w:id="40"/>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b w:val="1"/>
          <w:bCs w:val="1"/>
          <w:color w:val="0079C0"/>
        </w:rPr>
        <w:t>2020 Equity Award Exercises and Stock Vested</w:t>
      </w:r>
    </w:p>
    <w:p>
      <w:pPr>
        <w:spacing w:after="0" w:line="269" w:lineRule="exact"/>
        <w:rPr>
          <w:sz w:val="20"/>
          <w:szCs w:val="20"/>
          <w:color w:val="auto"/>
        </w:rPr>
      </w:pPr>
    </w:p>
    <w:p>
      <w:pPr>
        <w:spacing w:after="0" w:line="246" w:lineRule="auto"/>
        <w:rPr>
          <w:sz w:val="20"/>
          <w:szCs w:val="20"/>
          <w:color w:val="auto"/>
        </w:rPr>
      </w:pPr>
      <w:r>
        <w:rPr>
          <w:rFonts w:ascii="Arial" w:cs="Arial" w:eastAsia="Arial" w:hAnsi="Arial"/>
          <w:sz w:val="18"/>
          <w:szCs w:val="18"/>
          <w:color w:val="4D4D4F"/>
        </w:rPr>
        <w:t>The following table provides information regarding the exercise by the NEOs of vested options during the year ended December 31, 2020. All options were exercised for Class A common stock.</w:t>
      </w:r>
    </w:p>
    <w:p>
      <w:pPr>
        <w:spacing w:after="0" w:line="76" w:lineRule="exact"/>
        <w:rPr>
          <w:sz w:val="20"/>
          <w:szCs w:val="20"/>
          <w:color w:val="auto"/>
        </w:rPr>
      </w:pPr>
    </w:p>
    <w:tbl>
      <w:tblPr>
        <w:tblLayout w:type="fixed"/>
        <w:tblInd w:w="2260" w:type="dxa"/>
        <w:tblCellMar>
          <w:top w:w="0" w:type="dxa"/>
          <w:left w:w="0" w:type="dxa"/>
          <w:bottom w:w="0" w:type="dxa"/>
          <w:right w:w="0" w:type="dxa"/>
        </w:tblCellMar>
      </w:tblPr>
      <w:tr>
        <w:trPr>
          <w:trHeight w:val="189"/>
        </w:trPr>
        <w:tc>
          <w:tcPr>
            <w:tcW w:w="2680" w:type="dxa"/>
            <w:vAlign w:val="bottom"/>
            <w:shd w:val="clear" w:color="auto" w:fill="003E64"/>
          </w:tcPr>
          <w:p>
            <w:pPr>
              <w:spacing w:after="0"/>
              <w:rPr>
                <w:sz w:val="16"/>
                <w:szCs w:val="16"/>
                <w:color w:val="auto"/>
              </w:rPr>
            </w:pPr>
          </w:p>
        </w:tc>
        <w:tc>
          <w:tcPr>
            <w:tcW w:w="4060" w:type="dxa"/>
            <w:vAlign w:val="bottom"/>
            <w:gridSpan w:val="2"/>
            <w:shd w:val="clear" w:color="auto" w:fill="003E64"/>
          </w:tcPr>
          <w:p>
            <w:pPr>
              <w:ind w:left="1500"/>
              <w:spacing w:after="0"/>
              <w:rPr>
                <w:sz w:val="20"/>
                <w:szCs w:val="20"/>
                <w:color w:val="auto"/>
              </w:rPr>
            </w:pPr>
            <w:r>
              <w:rPr>
                <w:rFonts w:ascii="Arial" w:cs="Arial" w:eastAsia="Arial" w:hAnsi="Arial"/>
                <w:sz w:val="14"/>
                <w:szCs w:val="14"/>
                <w:b w:val="1"/>
                <w:bCs w:val="1"/>
                <w:color w:val="FFFFFF"/>
              </w:rPr>
              <w:t>Option Awards</w:t>
            </w:r>
          </w:p>
        </w:tc>
      </w:tr>
      <w:tr>
        <w:trPr>
          <w:trHeight w:val="162"/>
        </w:trPr>
        <w:tc>
          <w:tcPr>
            <w:tcW w:w="2680" w:type="dxa"/>
            <w:vAlign w:val="bottom"/>
            <w:shd w:val="clear" w:color="auto" w:fill="003E64"/>
          </w:tcPr>
          <w:p>
            <w:pPr>
              <w:spacing w:after="0"/>
              <w:rPr>
                <w:sz w:val="14"/>
                <w:szCs w:val="14"/>
                <w:color w:val="auto"/>
              </w:rPr>
            </w:pPr>
          </w:p>
        </w:tc>
        <w:tc>
          <w:tcPr>
            <w:tcW w:w="2120" w:type="dxa"/>
            <w:vAlign w:val="bottom"/>
            <w:shd w:val="clear" w:color="auto" w:fill="003E64"/>
          </w:tcPr>
          <w:p>
            <w:pPr>
              <w:jc w:val="center"/>
              <w:spacing w:after="0"/>
              <w:rPr>
                <w:sz w:val="20"/>
                <w:szCs w:val="20"/>
                <w:color w:val="auto"/>
              </w:rPr>
            </w:pPr>
            <w:r>
              <w:rPr>
                <w:rFonts w:ascii="Arial" w:cs="Arial" w:eastAsia="Arial" w:hAnsi="Arial"/>
                <w:sz w:val="14"/>
                <w:szCs w:val="14"/>
                <w:b w:val="1"/>
                <w:bCs w:val="1"/>
                <w:color w:val="FFFFFF"/>
              </w:rPr>
              <w:t>Number of Shares</w:t>
            </w:r>
          </w:p>
        </w:tc>
        <w:tc>
          <w:tcPr>
            <w:tcW w:w="1940" w:type="dxa"/>
            <w:vAlign w:val="bottom"/>
            <w:shd w:val="clear" w:color="auto" w:fill="003E64"/>
          </w:tcPr>
          <w:p>
            <w:pPr>
              <w:spacing w:after="0"/>
              <w:rPr>
                <w:sz w:val="14"/>
                <w:szCs w:val="14"/>
                <w:color w:val="auto"/>
              </w:rPr>
            </w:pPr>
          </w:p>
        </w:tc>
      </w:tr>
      <w:tr>
        <w:trPr>
          <w:trHeight w:val="162"/>
        </w:trPr>
        <w:tc>
          <w:tcPr>
            <w:tcW w:w="2680" w:type="dxa"/>
            <w:vAlign w:val="bottom"/>
            <w:shd w:val="clear" w:color="auto" w:fill="003E64"/>
          </w:tcPr>
          <w:p>
            <w:pPr>
              <w:spacing w:after="0"/>
              <w:rPr>
                <w:sz w:val="14"/>
                <w:szCs w:val="14"/>
                <w:color w:val="auto"/>
              </w:rPr>
            </w:pPr>
          </w:p>
        </w:tc>
        <w:tc>
          <w:tcPr>
            <w:tcW w:w="2120" w:type="dxa"/>
            <w:vAlign w:val="bottom"/>
            <w:shd w:val="clear" w:color="auto" w:fill="003E64"/>
          </w:tcPr>
          <w:p>
            <w:pPr>
              <w:jc w:val="center"/>
              <w:spacing w:after="0"/>
              <w:rPr>
                <w:sz w:val="20"/>
                <w:szCs w:val="20"/>
                <w:color w:val="auto"/>
              </w:rPr>
            </w:pPr>
            <w:r>
              <w:rPr>
                <w:rFonts w:ascii="Arial" w:cs="Arial" w:eastAsia="Arial" w:hAnsi="Arial"/>
                <w:sz w:val="14"/>
                <w:szCs w:val="14"/>
                <w:b w:val="1"/>
                <w:bCs w:val="1"/>
                <w:color w:val="FFFFFF"/>
              </w:rPr>
              <w:t>Acquired on Exercise</w:t>
            </w:r>
          </w:p>
        </w:tc>
        <w:tc>
          <w:tcPr>
            <w:tcW w:w="1940" w:type="dxa"/>
            <w:vAlign w:val="bottom"/>
            <w:shd w:val="clear" w:color="auto" w:fill="003E64"/>
          </w:tcPr>
          <w:p>
            <w:pPr>
              <w:ind w:left="360"/>
              <w:spacing w:after="0"/>
              <w:rPr>
                <w:sz w:val="20"/>
                <w:szCs w:val="20"/>
                <w:color w:val="auto"/>
              </w:rPr>
            </w:pPr>
            <w:r>
              <w:rPr>
                <w:rFonts w:ascii="Arial" w:cs="Arial" w:eastAsia="Arial" w:hAnsi="Arial"/>
                <w:sz w:val="14"/>
                <w:szCs w:val="14"/>
                <w:b w:val="1"/>
                <w:bCs w:val="1"/>
                <w:color w:val="FFFFFF"/>
              </w:rPr>
              <w:t>Value Realized</w:t>
            </w:r>
          </w:p>
        </w:tc>
      </w:tr>
      <w:tr>
        <w:trPr>
          <w:trHeight w:val="175"/>
        </w:trPr>
        <w:tc>
          <w:tcPr>
            <w:tcW w:w="2680" w:type="dxa"/>
            <w:vAlign w:val="bottom"/>
            <w:shd w:val="clear" w:color="auto" w:fill="003E64"/>
          </w:tcPr>
          <w:p>
            <w:pPr>
              <w:spacing w:after="0"/>
              <w:rPr>
                <w:sz w:val="20"/>
                <w:szCs w:val="20"/>
                <w:color w:val="auto"/>
              </w:rPr>
            </w:pPr>
            <w:r>
              <w:rPr>
                <w:rFonts w:ascii="Arial" w:cs="Arial" w:eastAsia="Arial" w:hAnsi="Arial"/>
                <w:sz w:val="14"/>
                <w:szCs w:val="14"/>
                <w:b w:val="1"/>
                <w:bCs w:val="1"/>
                <w:color w:val="FFFFFF"/>
              </w:rPr>
              <w:t>Name</w:t>
            </w:r>
          </w:p>
        </w:tc>
        <w:tc>
          <w:tcPr>
            <w:tcW w:w="2120" w:type="dxa"/>
            <w:vAlign w:val="bottom"/>
            <w:shd w:val="clear" w:color="auto" w:fill="003E64"/>
          </w:tcPr>
          <w:p>
            <w:pPr>
              <w:jc w:val="center"/>
              <w:spacing w:after="0"/>
              <w:rPr>
                <w:sz w:val="20"/>
                <w:szCs w:val="20"/>
                <w:color w:val="auto"/>
              </w:rPr>
            </w:pPr>
            <w:r>
              <w:rPr>
                <w:rFonts w:ascii="Arial" w:cs="Arial" w:eastAsia="Arial" w:hAnsi="Arial"/>
                <w:sz w:val="14"/>
                <w:szCs w:val="14"/>
                <w:b w:val="1"/>
                <w:bCs w:val="1"/>
                <w:color w:val="FFFFFF"/>
              </w:rPr>
              <w:t>(#)(1)</w:t>
            </w:r>
          </w:p>
        </w:tc>
        <w:tc>
          <w:tcPr>
            <w:tcW w:w="1940" w:type="dxa"/>
            <w:vAlign w:val="bottom"/>
            <w:shd w:val="clear" w:color="auto" w:fill="003E64"/>
          </w:tcPr>
          <w:p>
            <w:pPr>
              <w:ind w:left="340"/>
              <w:spacing w:after="0"/>
              <w:rPr>
                <w:sz w:val="20"/>
                <w:szCs w:val="20"/>
                <w:color w:val="auto"/>
              </w:rPr>
            </w:pPr>
            <w:r>
              <w:rPr>
                <w:rFonts w:ascii="Arial" w:cs="Arial" w:eastAsia="Arial" w:hAnsi="Arial"/>
                <w:sz w:val="14"/>
                <w:szCs w:val="14"/>
                <w:b w:val="1"/>
                <w:bCs w:val="1"/>
                <w:color w:val="FFFFFF"/>
              </w:rPr>
              <w:t>on Exercise ($)</w:t>
            </w:r>
          </w:p>
        </w:tc>
      </w:tr>
      <w:tr>
        <w:trPr>
          <w:trHeight w:val="183"/>
        </w:trPr>
        <w:tc>
          <w:tcPr>
            <w:tcW w:w="2680" w:type="dxa"/>
            <w:vAlign w:val="bottom"/>
          </w:tcPr>
          <w:p>
            <w:pPr>
              <w:spacing w:after="0"/>
              <w:rPr>
                <w:sz w:val="20"/>
                <w:szCs w:val="20"/>
                <w:color w:val="auto"/>
              </w:rPr>
            </w:pPr>
            <w:r>
              <w:rPr>
                <w:rFonts w:ascii="Arial" w:cs="Arial" w:eastAsia="Arial" w:hAnsi="Arial"/>
                <w:sz w:val="14"/>
                <w:szCs w:val="14"/>
                <w:color w:val="4D4D4F"/>
              </w:rPr>
              <w:t>David H. Wang</w:t>
            </w:r>
          </w:p>
        </w:tc>
        <w:tc>
          <w:tcPr>
            <w:tcW w:w="2120" w:type="dxa"/>
            <w:vAlign w:val="bottom"/>
          </w:tcPr>
          <w:p>
            <w:pPr>
              <w:jc w:val="center"/>
              <w:spacing w:after="0"/>
              <w:rPr>
                <w:sz w:val="20"/>
                <w:szCs w:val="20"/>
                <w:color w:val="auto"/>
              </w:rPr>
            </w:pPr>
            <w:r>
              <w:rPr>
                <w:rFonts w:ascii="Arial" w:cs="Arial" w:eastAsia="Arial" w:hAnsi="Arial"/>
                <w:sz w:val="14"/>
                <w:szCs w:val="14"/>
                <w:color w:val="4D4D4F"/>
              </w:rPr>
              <w:t>168,436</w:t>
            </w:r>
          </w:p>
        </w:tc>
        <w:tc>
          <w:tcPr>
            <w:tcW w:w="1940" w:type="dxa"/>
            <w:vAlign w:val="bottom"/>
          </w:tcPr>
          <w:p>
            <w:pPr>
              <w:jc w:val="center"/>
              <w:ind w:right="148"/>
              <w:spacing w:after="0"/>
              <w:rPr>
                <w:sz w:val="20"/>
                <w:szCs w:val="20"/>
                <w:color w:val="auto"/>
              </w:rPr>
            </w:pPr>
            <w:r>
              <w:rPr>
                <w:rFonts w:ascii="Arial" w:cs="Arial" w:eastAsia="Arial" w:hAnsi="Arial"/>
                <w:sz w:val="14"/>
                <w:szCs w:val="14"/>
                <w:color w:val="4D4D4F"/>
              </w:rPr>
              <w:t>$15,239,844</w:t>
            </w:r>
          </w:p>
        </w:tc>
      </w:tr>
      <w:tr>
        <w:trPr>
          <w:trHeight w:val="195"/>
        </w:trPr>
        <w:tc>
          <w:tcPr>
            <w:tcW w:w="2680" w:type="dxa"/>
            <w:vAlign w:val="bottom"/>
            <w:shd w:val="clear" w:color="auto" w:fill="CCEEFF"/>
          </w:tcPr>
          <w:p>
            <w:pPr>
              <w:spacing w:after="0"/>
              <w:rPr>
                <w:sz w:val="20"/>
                <w:szCs w:val="20"/>
                <w:color w:val="auto"/>
              </w:rPr>
            </w:pPr>
            <w:r>
              <w:rPr>
                <w:rFonts w:ascii="Arial" w:cs="Arial" w:eastAsia="Arial" w:hAnsi="Arial"/>
                <w:sz w:val="14"/>
                <w:szCs w:val="14"/>
                <w:color w:val="4D4D4F"/>
              </w:rPr>
              <w:t>Mark McKechnie</w:t>
            </w:r>
          </w:p>
        </w:tc>
        <w:tc>
          <w:tcPr>
            <w:tcW w:w="2120" w:type="dxa"/>
            <w:vAlign w:val="bottom"/>
            <w:shd w:val="clear" w:color="auto" w:fill="CCEEFF"/>
          </w:tcPr>
          <w:p>
            <w:pPr>
              <w:jc w:val="center"/>
              <w:spacing w:after="0"/>
              <w:rPr>
                <w:sz w:val="20"/>
                <w:szCs w:val="20"/>
                <w:color w:val="auto"/>
              </w:rPr>
            </w:pPr>
            <w:r>
              <w:rPr>
                <w:rFonts w:ascii="Arial" w:cs="Arial" w:eastAsia="Arial" w:hAnsi="Arial"/>
                <w:sz w:val="14"/>
                <w:szCs w:val="14"/>
                <w:color w:val="4D4D4F"/>
              </w:rPr>
              <w:t>17,500</w:t>
            </w:r>
          </w:p>
        </w:tc>
        <w:tc>
          <w:tcPr>
            <w:tcW w:w="1940" w:type="dxa"/>
            <w:vAlign w:val="bottom"/>
            <w:shd w:val="clear" w:color="auto" w:fill="CCEEFF"/>
          </w:tcPr>
          <w:p>
            <w:pPr>
              <w:jc w:val="center"/>
              <w:ind w:right="148"/>
              <w:spacing w:after="0"/>
              <w:rPr>
                <w:sz w:val="20"/>
                <w:szCs w:val="20"/>
                <w:color w:val="auto"/>
              </w:rPr>
            </w:pPr>
            <w:r>
              <w:rPr>
                <w:rFonts w:ascii="Arial" w:cs="Arial" w:eastAsia="Arial" w:hAnsi="Arial"/>
                <w:sz w:val="14"/>
                <w:szCs w:val="14"/>
                <w:color w:val="4D4D4F"/>
              </w:rPr>
              <w:t>1,038,329</w:t>
            </w:r>
          </w:p>
        </w:tc>
      </w:tr>
      <w:tr>
        <w:trPr>
          <w:trHeight w:val="189"/>
        </w:trPr>
        <w:tc>
          <w:tcPr>
            <w:tcW w:w="2680" w:type="dxa"/>
            <w:vAlign w:val="bottom"/>
          </w:tcPr>
          <w:p>
            <w:pPr>
              <w:spacing w:after="0"/>
              <w:rPr>
                <w:sz w:val="20"/>
                <w:szCs w:val="20"/>
                <w:color w:val="auto"/>
              </w:rPr>
            </w:pPr>
            <w:r>
              <w:rPr>
                <w:rFonts w:ascii="Arial" w:cs="Arial" w:eastAsia="Arial" w:hAnsi="Arial"/>
                <w:sz w:val="14"/>
                <w:szCs w:val="14"/>
                <w:color w:val="4D4D4F"/>
              </w:rPr>
              <w:t>Jian Wang</w:t>
            </w:r>
          </w:p>
        </w:tc>
        <w:tc>
          <w:tcPr>
            <w:tcW w:w="2120" w:type="dxa"/>
            <w:vAlign w:val="bottom"/>
          </w:tcPr>
          <w:p>
            <w:pPr>
              <w:jc w:val="center"/>
              <w:spacing w:after="0"/>
              <w:rPr>
                <w:sz w:val="20"/>
                <w:szCs w:val="20"/>
                <w:color w:val="auto"/>
              </w:rPr>
            </w:pPr>
            <w:r>
              <w:rPr>
                <w:rFonts w:ascii="Arial" w:cs="Arial" w:eastAsia="Arial" w:hAnsi="Arial"/>
                <w:sz w:val="14"/>
                <w:szCs w:val="14"/>
                <w:color w:val="4D4D4F"/>
              </w:rPr>
              <w:t>33,334</w:t>
            </w:r>
          </w:p>
        </w:tc>
        <w:tc>
          <w:tcPr>
            <w:tcW w:w="1940" w:type="dxa"/>
            <w:vAlign w:val="bottom"/>
          </w:tcPr>
          <w:p>
            <w:pPr>
              <w:jc w:val="center"/>
              <w:ind w:right="148"/>
              <w:spacing w:after="0"/>
              <w:rPr>
                <w:sz w:val="20"/>
                <w:szCs w:val="20"/>
                <w:color w:val="auto"/>
              </w:rPr>
            </w:pPr>
            <w:r>
              <w:rPr>
                <w:rFonts w:ascii="Arial" w:cs="Arial" w:eastAsia="Arial" w:hAnsi="Arial"/>
                <w:sz w:val="14"/>
                <w:szCs w:val="14"/>
                <w:color w:val="4D4D4F"/>
              </w:rPr>
              <w:t>1,915,705</w:t>
            </w:r>
          </w:p>
        </w:tc>
      </w:tr>
      <w:tr>
        <w:trPr>
          <w:trHeight w:val="189"/>
        </w:trPr>
        <w:tc>
          <w:tcPr>
            <w:tcW w:w="2680" w:type="dxa"/>
            <w:vAlign w:val="bottom"/>
            <w:shd w:val="clear" w:color="auto" w:fill="CCEEFF"/>
          </w:tcPr>
          <w:p>
            <w:pPr>
              <w:spacing w:after="0"/>
              <w:rPr>
                <w:sz w:val="20"/>
                <w:szCs w:val="20"/>
                <w:color w:val="auto"/>
              </w:rPr>
            </w:pPr>
            <w:r>
              <w:rPr>
                <w:rFonts w:ascii="Arial" w:cs="Arial" w:eastAsia="Arial" w:hAnsi="Arial"/>
                <w:sz w:val="14"/>
                <w:szCs w:val="14"/>
                <w:color w:val="4D4D4F"/>
              </w:rPr>
              <w:t>Lisa Feng</w:t>
            </w:r>
          </w:p>
        </w:tc>
        <w:tc>
          <w:tcPr>
            <w:tcW w:w="2120" w:type="dxa"/>
            <w:vAlign w:val="bottom"/>
            <w:shd w:val="clear" w:color="auto" w:fill="CCEEFF"/>
          </w:tcPr>
          <w:p>
            <w:pPr>
              <w:jc w:val="center"/>
              <w:spacing w:after="0"/>
              <w:rPr>
                <w:sz w:val="20"/>
                <w:szCs w:val="20"/>
                <w:color w:val="auto"/>
              </w:rPr>
            </w:pPr>
            <w:r>
              <w:rPr>
                <w:rFonts w:ascii="Arial" w:cs="Arial" w:eastAsia="Arial" w:hAnsi="Arial"/>
                <w:sz w:val="14"/>
                <w:szCs w:val="14"/>
                <w:color w:val="4D4D4F"/>
              </w:rPr>
              <w:t>18,817</w:t>
            </w:r>
          </w:p>
        </w:tc>
        <w:tc>
          <w:tcPr>
            <w:tcW w:w="1940" w:type="dxa"/>
            <w:vAlign w:val="bottom"/>
            <w:shd w:val="clear" w:color="auto" w:fill="CCEEFF"/>
          </w:tcPr>
          <w:p>
            <w:pPr>
              <w:jc w:val="center"/>
              <w:ind w:right="148"/>
              <w:spacing w:after="0"/>
              <w:rPr>
                <w:sz w:val="20"/>
                <w:szCs w:val="20"/>
                <w:color w:val="auto"/>
              </w:rPr>
            </w:pPr>
            <w:r>
              <w:rPr>
                <w:rFonts w:ascii="Arial" w:cs="Arial" w:eastAsia="Arial" w:hAnsi="Arial"/>
                <w:sz w:val="14"/>
                <w:szCs w:val="14"/>
                <w:color w:val="4D4D4F"/>
              </w:rPr>
              <w:t>1,031,618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-796925</wp:posOffset>
            </wp:positionV>
            <wp:extent cx="227203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272030" cy="8255"/>
                    </a:xfrm>
                    <a:prstGeom prst="rect">
                      <a:avLst/>
                    </a:prstGeom>
                    <a:noFill/>
                  </pic:spPr>
                </pic:pic>
              </a:graphicData>
            </a:graphic>
          </wp:anchor>
        </w:drawing>
      </w:r>
    </w:p>
    <w:p>
      <w:pPr>
        <w:ind w:left="2700" w:hanging="444"/>
        <w:spacing w:after="0"/>
        <w:tabs>
          <w:tab w:leader="none" w:pos="2700" w:val="left"/>
        </w:tabs>
        <w:numPr>
          <w:ilvl w:val="0"/>
          <w:numId w:val="59"/>
        </w:numPr>
        <w:rPr>
          <w:rFonts w:ascii="Arial" w:cs="Arial" w:eastAsia="Arial" w:hAnsi="Arial"/>
          <w:sz w:val="14"/>
          <w:szCs w:val="14"/>
          <w:color w:val="4D4D4F"/>
        </w:rPr>
      </w:pPr>
      <w:r>
        <w:rPr>
          <w:rFonts w:ascii="Arial" w:cs="Arial" w:eastAsia="Arial" w:hAnsi="Arial"/>
          <w:sz w:val="14"/>
          <w:szCs w:val="14"/>
          <w:color w:val="4D4D4F"/>
        </w:rPr>
        <w:t>Amount shown is net of the 1,564 shares surrendered in payment of the exercise</w:t>
      </w:r>
    </w:p>
    <w:p>
      <w:pPr>
        <w:spacing w:after="0" w:line="15" w:lineRule="exact"/>
        <w:rPr>
          <w:rFonts w:ascii="Arial" w:cs="Arial" w:eastAsia="Arial" w:hAnsi="Arial"/>
          <w:sz w:val="14"/>
          <w:szCs w:val="14"/>
          <w:color w:val="4D4D4F"/>
        </w:rPr>
      </w:pPr>
    </w:p>
    <w:p>
      <w:pPr>
        <w:ind w:left="2260"/>
        <w:spacing w:after="0"/>
        <w:rPr>
          <w:rFonts w:ascii="Arial" w:cs="Arial" w:eastAsia="Arial" w:hAnsi="Arial"/>
          <w:sz w:val="14"/>
          <w:szCs w:val="14"/>
          <w:color w:val="4D4D4F"/>
        </w:rPr>
      </w:pPr>
      <w:r>
        <w:rPr>
          <w:rFonts w:ascii="Arial" w:cs="Arial" w:eastAsia="Arial" w:hAnsi="Arial"/>
          <w:sz w:val="14"/>
          <w:szCs w:val="14"/>
          <w:color w:val="4D4D4F"/>
        </w:rPr>
        <w:t>price.</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1" w:name="page42"/>
    <w:bookmarkEnd w:id="41"/>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b w:val="1"/>
          <w:bCs w:val="1"/>
          <w:color w:val="0079C0"/>
        </w:rPr>
        <w:t>Potential Payments Upon Termination or Change in Control</w:t>
      </w:r>
    </w:p>
    <w:p>
      <w:pPr>
        <w:spacing w:after="0" w:line="26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4D4D4F"/>
        </w:rPr>
        <w:t>Our option awards gr</w:t>
      </w:r>
      <w:r>
        <w:rPr>
          <w:rFonts w:ascii="Arial" w:cs="Arial" w:eastAsia="Arial" w:hAnsi="Arial"/>
          <w:sz w:val="18"/>
          <w:szCs w:val="18"/>
          <w:color w:val="000000"/>
        </w:rPr>
        <w:t>anted under our 2016 Omnibus Incentive Plan to employees, including NEOs, provide for acceleration upon a change in</w:t>
      </w:r>
      <w:r>
        <w:rPr>
          <w:rFonts w:ascii="Arial" w:cs="Arial" w:eastAsia="Arial" w:hAnsi="Arial"/>
          <w:sz w:val="18"/>
          <w:szCs w:val="18"/>
          <w:color w:val="4D4D4F"/>
        </w:rPr>
        <w:t xml:space="preserve"> </w:t>
      </w:r>
      <w:r>
        <w:rPr>
          <w:rFonts w:ascii="Arial" w:cs="Arial" w:eastAsia="Arial" w:hAnsi="Arial"/>
          <w:sz w:val="18"/>
          <w:szCs w:val="18"/>
          <w:color w:val="000000"/>
        </w:rPr>
        <w:t>control, excluding the performance-based stock option granted to David Wang on March 20, 2020. Except for those option arrangements, none of our NEOs is party to a currently effective contract or other arrangement that provides for the acceleration or payment of any benefits in the event of a change in control of our company or the termination of the NEO’s employment, whether or not the termination occurs within a specified time period after the occurrence of a change in control.</w:t>
      </w:r>
    </w:p>
    <w:p>
      <w:pPr>
        <w:spacing w:after="0" w:line="16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NEOs based in the PRC, who include all NEOs other than U.S.-based Mark McKechnie, may be entitled to statutory severance as required by applicable law. The amounts below assume a triggering event occurred on December 31, 2020.</w:t>
      </w:r>
    </w:p>
    <w:p>
      <w:pPr>
        <w:spacing w:after="0" w:line="171"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2680" w:type="dxa"/>
            <w:vAlign w:val="bottom"/>
            <w:shd w:val="clear" w:color="auto" w:fill="003E64"/>
          </w:tcPr>
          <w:p>
            <w:pPr>
              <w:spacing w:after="0"/>
              <w:rPr>
                <w:sz w:val="14"/>
                <w:szCs w:val="14"/>
                <w:color w:val="auto"/>
              </w:rPr>
            </w:pPr>
          </w:p>
        </w:tc>
        <w:tc>
          <w:tcPr>
            <w:tcW w:w="1340" w:type="dxa"/>
            <w:vAlign w:val="bottom"/>
            <w:shd w:val="clear" w:color="auto" w:fill="003E64"/>
          </w:tcPr>
          <w:p>
            <w:pPr>
              <w:spacing w:after="0"/>
              <w:rPr>
                <w:sz w:val="14"/>
                <w:szCs w:val="14"/>
                <w:color w:val="auto"/>
              </w:rPr>
            </w:pPr>
          </w:p>
        </w:tc>
        <w:tc>
          <w:tcPr>
            <w:tcW w:w="2120" w:type="dxa"/>
            <w:vAlign w:val="bottom"/>
            <w:shd w:val="clear" w:color="auto" w:fill="003E64"/>
          </w:tcPr>
          <w:p>
            <w:pPr>
              <w:spacing w:after="0"/>
              <w:rPr>
                <w:sz w:val="14"/>
                <w:szCs w:val="14"/>
                <w:color w:val="auto"/>
              </w:rPr>
            </w:pPr>
          </w:p>
        </w:tc>
        <w:tc>
          <w:tcPr>
            <w:tcW w:w="2120" w:type="dxa"/>
            <w:vAlign w:val="bottom"/>
            <w:shd w:val="clear" w:color="auto" w:fill="003E64"/>
          </w:tcPr>
          <w:p>
            <w:pPr>
              <w:jc w:val="center"/>
              <w:spacing w:after="0"/>
              <w:rPr>
                <w:sz w:val="20"/>
                <w:szCs w:val="20"/>
                <w:color w:val="auto"/>
              </w:rPr>
            </w:pPr>
            <w:r>
              <w:rPr>
                <w:rFonts w:ascii="Arial" w:cs="Arial" w:eastAsia="Arial" w:hAnsi="Arial"/>
                <w:sz w:val="14"/>
                <w:szCs w:val="14"/>
                <w:b w:val="1"/>
                <w:bCs w:val="1"/>
                <w:color w:val="FFFFFF"/>
              </w:rPr>
              <w:t>Change in Control</w:t>
            </w:r>
          </w:p>
        </w:tc>
        <w:tc>
          <w:tcPr>
            <w:tcW w:w="1840" w:type="dxa"/>
            <w:vAlign w:val="bottom"/>
            <w:shd w:val="clear" w:color="auto" w:fill="003E64"/>
          </w:tcPr>
          <w:p>
            <w:pPr>
              <w:spacing w:after="0"/>
              <w:rPr>
                <w:sz w:val="14"/>
                <w:szCs w:val="14"/>
                <w:color w:val="auto"/>
              </w:rPr>
            </w:pPr>
          </w:p>
        </w:tc>
      </w:tr>
      <w:tr>
        <w:trPr>
          <w:trHeight w:val="162"/>
        </w:trPr>
        <w:tc>
          <w:tcPr>
            <w:tcW w:w="2680" w:type="dxa"/>
            <w:vAlign w:val="bottom"/>
            <w:shd w:val="clear" w:color="auto" w:fill="003E64"/>
          </w:tcPr>
          <w:p>
            <w:pPr>
              <w:spacing w:after="0"/>
              <w:rPr>
                <w:sz w:val="14"/>
                <w:szCs w:val="14"/>
                <w:color w:val="auto"/>
              </w:rPr>
            </w:pPr>
          </w:p>
        </w:tc>
        <w:tc>
          <w:tcPr>
            <w:tcW w:w="1340" w:type="dxa"/>
            <w:vAlign w:val="bottom"/>
            <w:shd w:val="clear" w:color="auto" w:fill="003E64"/>
          </w:tcPr>
          <w:p>
            <w:pPr>
              <w:jc w:val="center"/>
              <w:ind w:right="88"/>
              <w:spacing w:after="0"/>
              <w:rPr>
                <w:sz w:val="20"/>
                <w:szCs w:val="20"/>
                <w:color w:val="auto"/>
              </w:rPr>
            </w:pPr>
            <w:r>
              <w:rPr>
                <w:rFonts w:ascii="Arial" w:cs="Arial" w:eastAsia="Arial" w:hAnsi="Arial"/>
                <w:sz w:val="14"/>
                <w:szCs w:val="14"/>
                <w:b w:val="1"/>
                <w:bCs w:val="1"/>
                <w:color w:val="FFFFFF"/>
              </w:rPr>
              <w:t>Termination</w:t>
            </w:r>
          </w:p>
        </w:tc>
        <w:tc>
          <w:tcPr>
            <w:tcW w:w="2120" w:type="dxa"/>
            <w:vAlign w:val="bottom"/>
            <w:shd w:val="clear" w:color="auto" w:fill="003E64"/>
          </w:tcPr>
          <w:p>
            <w:pPr>
              <w:spacing w:after="0"/>
              <w:rPr>
                <w:sz w:val="14"/>
                <w:szCs w:val="14"/>
                <w:color w:val="auto"/>
              </w:rPr>
            </w:pPr>
          </w:p>
        </w:tc>
        <w:tc>
          <w:tcPr>
            <w:tcW w:w="2120" w:type="dxa"/>
            <w:vAlign w:val="bottom"/>
            <w:shd w:val="clear" w:color="auto" w:fill="003E64"/>
          </w:tcPr>
          <w:p>
            <w:pPr>
              <w:jc w:val="center"/>
              <w:spacing w:after="0"/>
              <w:rPr>
                <w:sz w:val="20"/>
                <w:szCs w:val="20"/>
                <w:color w:val="auto"/>
              </w:rPr>
            </w:pPr>
            <w:r>
              <w:rPr>
                <w:rFonts w:ascii="Arial" w:cs="Arial" w:eastAsia="Arial" w:hAnsi="Arial"/>
                <w:sz w:val="14"/>
                <w:szCs w:val="14"/>
                <w:b w:val="1"/>
                <w:bCs w:val="1"/>
                <w:color w:val="FFFFFF"/>
              </w:rPr>
              <w:t>Without</w:t>
            </w:r>
          </w:p>
        </w:tc>
        <w:tc>
          <w:tcPr>
            <w:tcW w:w="1840" w:type="dxa"/>
            <w:vAlign w:val="bottom"/>
            <w:shd w:val="clear" w:color="auto" w:fill="003E64"/>
          </w:tcPr>
          <w:p>
            <w:pPr>
              <w:jc w:val="center"/>
              <w:spacing w:after="0"/>
              <w:rPr>
                <w:sz w:val="20"/>
                <w:szCs w:val="20"/>
                <w:color w:val="auto"/>
              </w:rPr>
            </w:pPr>
            <w:r>
              <w:rPr>
                <w:rFonts w:ascii="Arial" w:cs="Arial" w:eastAsia="Arial" w:hAnsi="Arial"/>
                <w:sz w:val="14"/>
                <w:szCs w:val="14"/>
                <w:b w:val="1"/>
                <w:bCs w:val="1"/>
                <w:color w:val="FFFFFF"/>
              </w:rPr>
              <w:t>Value of Equity</w:t>
            </w:r>
          </w:p>
        </w:tc>
      </w:tr>
      <w:tr>
        <w:trPr>
          <w:trHeight w:val="162"/>
        </w:trPr>
        <w:tc>
          <w:tcPr>
            <w:tcW w:w="2680" w:type="dxa"/>
            <w:vAlign w:val="bottom"/>
            <w:shd w:val="clear" w:color="auto" w:fill="003E64"/>
          </w:tcPr>
          <w:p>
            <w:pPr>
              <w:spacing w:after="0"/>
              <w:rPr>
                <w:sz w:val="14"/>
                <w:szCs w:val="14"/>
                <w:color w:val="auto"/>
              </w:rPr>
            </w:pPr>
          </w:p>
        </w:tc>
        <w:tc>
          <w:tcPr>
            <w:tcW w:w="1340" w:type="dxa"/>
            <w:vAlign w:val="bottom"/>
            <w:shd w:val="clear" w:color="auto" w:fill="003E64"/>
          </w:tcPr>
          <w:p>
            <w:pPr>
              <w:jc w:val="center"/>
              <w:ind w:right="88"/>
              <w:spacing w:after="0"/>
              <w:rPr>
                <w:sz w:val="20"/>
                <w:szCs w:val="20"/>
                <w:color w:val="auto"/>
              </w:rPr>
            </w:pPr>
            <w:r>
              <w:rPr>
                <w:rFonts w:ascii="Arial" w:cs="Arial" w:eastAsia="Arial" w:hAnsi="Arial"/>
                <w:sz w:val="14"/>
                <w:szCs w:val="14"/>
                <w:b w:val="1"/>
                <w:bCs w:val="1"/>
                <w:color w:val="FFFFFF"/>
              </w:rPr>
              <w:t>Without</w:t>
            </w:r>
          </w:p>
        </w:tc>
        <w:tc>
          <w:tcPr>
            <w:tcW w:w="2120" w:type="dxa"/>
            <w:vAlign w:val="bottom"/>
            <w:shd w:val="clear" w:color="auto" w:fill="003E64"/>
          </w:tcPr>
          <w:p>
            <w:pPr>
              <w:jc w:val="center"/>
              <w:spacing w:after="0"/>
              <w:rPr>
                <w:sz w:val="20"/>
                <w:szCs w:val="20"/>
                <w:color w:val="auto"/>
              </w:rPr>
            </w:pPr>
            <w:r>
              <w:rPr>
                <w:rFonts w:ascii="Arial" w:cs="Arial" w:eastAsia="Arial" w:hAnsi="Arial"/>
                <w:sz w:val="14"/>
                <w:szCs w:val="14"/>
                <w:b w:val="1"/>
                <w:bCs w:val="1"/>
                <w:color w:val="FFFFFF"/>
              </w:rPr>
              <w:t>Termination Upon</w:t>
            </w:r>
          </w:p>
        </w:tc>
        <w:tc>
          <w:tcPr>
            <w:tcW w:w="2120" w:type="dxa"/>
            <w:vAlign w:val="bottom"/>
            <w:shd w:val="clear" w:color="auto" w:fill="003E64"/>
          </w:tcPr>
          <w:p>
            <w:pPr>
              <w:jc w:val="center"/>
              <w:spacing w:after="0"/>
              <w:rPr>
                <w:sz w:val="20"/>
                <w:szCs w:val="20"/>
                <w:color w:val="auto"/>
              </w:rPr>
            </w:pPr>
            <w:r>
              <w:rPr>
                <w:rFonts w:ascii="Arial" w:cs="Arial" w:eastAsia="Arial" w:hAnsi="Arial"/>
                <w:sz w:val="14"/>
                <w:szCs w:val="14"/>
                <w:b w:val="1"/>
                <w:bCs w:val="1"/>
                <w:color w:val="FFFFFF"/>
              </w:rPr>
              <w:t>Termination or</w:t>
            </w:r>
          </w:p>
        </w:tc>
        <w:tc>
          <w:tcPr>
            <w:tcW w:w="1840" w:type="dxa"/>
            <w:vAlign w:val="bottom"/>
            <w:shd w:val="clear" w:color="auto" w:fill="003E64"/>
          </w:tcPr>
          <w:p>
            <w:pPr>
              <w:jc w:val="center"/>
              <w:spacing w:after="0"/>
              <w:rPr>
                <w:sz w:val="20"/>
                <w:szCs w:val="20"/>
                <w:color w:val="auto"/>
              </w:rPr>
            </w:pPr>
            <w:r>
              <w:rPr>
                <w:rFonts w:ascii="Arial" w:cs="Arial" w:eastAsia="Arial" w:hAnsi="Arial"/>
                <w:sz w:val="14"/>
                <w:szCs w:val="14"/>
                <w:b w:val="1"/>
                <w:bCs w:val="1"/>
                <w:color w:val="FFFFFF"/>
              </w:rPr>
              <w:t>Award</w:t>
            </w:r>
          </w:p>
        </w:tc>
      </w:tr>
      <w:tr>
        <w:trPr>
          <w:trHeight w:val="175"/>
        </w:trPr>
        <w:tc>
          <w:tcPr>
            <w:tcW w:w="2680" w:type="dxa"/>
            <w:vAlign w:val="bottom"/>
            <w:shd w:val="clear" w:color="auto" w:fill="003E64"/>
          </w:tcPr>
          <w:p>
            <w:pPr>
              <w:spacing w:after="0"/>
              <w:rPr>
                <w:sz w:val="20"/>
                <w:szCs w:val="20"/>
                <w:color w:val="auto"/>
              </w:rPr>
            </w:pPr>
            <w:r>
              <w:rPr>
                <w:rFonts w:ascii="Arial" w:cs="Arial" w:eastAsia="Arial" w:hAnsi="Arial"/>
                <w:sz w:val="14"/>
                <w:szCs w:val="14"/>
                <w:b w:val="1"/>
                <w:bCs w:val="1"/>
                <w:color w:val="FFFFFF"/>
              </w:rPr>
              <w:t>Name</w:t>
            </w:r>
          </w:p>
        </w:tc>
        <w:tc>
          <w:tcPr>
            <w:tcW w:w="1340" w:type="dxa"/>
            <w:vAlign w:val="bottom"/>
            <w:shd w:val="clear" w:color="auto" w:fill="003E64"/>
          </w:tcPr>
          <w:p>
            <w:pPr>
              <w:jc w:val="center"/>
              <w:ind w:right="88"/>
              <w:spacing w:after="0"/>
              <w:rPr>
                <w:sz w:val="20"/>
                <w:szCs w:val="20"/>
                <w:color w:val="auto"/>
              </w:rPr>
            </w:pPr>
            <w:r>
              <w:rPr>
                <w:rFonts w:ascii="Arial" w:cs="Arial" w:eastAsia="Arial" w:hAnsi="Arial"/>
                <w:sz w:val="14"/>
                <w:szCs w:val="14"/>
                <w:b w:val="1"/>
                <w:bCs w:val="1"/>
                <w:color w:val="FFFFFF"/>
              </w:rPr>
              <w:t>Cause($)(1)</w:t>
            </w:r>
          </w:p>
        </w:tc>
        <w:tc>
          <w:tcPr>
            <w:tcW w:w="2120" w:type="dxa"/>
            <w:vAlign w:val="bottom"/>
            <w:shd w:val="clear" w:color="auto" w:fill="003E64"/>
          </w:tcPr>
          <w:p>
            <w:pPr>
              <w:jc w:val="center"/>
              <w:spacing w:after="0"/>
              <w:rPr>
                <w:sz w:val="20"/>
                <w:szCs w:val="20"/>
                <w:color w:val="auto"/>
              </w:rPr>
            </w:pPr>
            <w:r>
              <w:rPr>
                <w:rFonts w:ascii="Arial" w:cs="Arial" w:eastAsia="Arial" w:hAnsi="Arial"/>
                <w:sz w:val="14"/>
                <w:szCs w:val="14"/>
                <w:b w:val="1"/>
                <w:bCs w:val="1"/>
                <w:color w:val="FFFFFF"/>
              </w:rPr>
              <w:t>Change in Control($)</w:t>
            </w:r>
          </w:p>
        </w:tc>
        <w:tc>
          <w:tcPr>
            <w:tcW w:w="2120" w:type="dxa"/>
            <w:vAlign w:val="bottom"/>
            <w:shd w:val="clear" w:color="auto" w:fill="003E64"/>
          </w:tcPr>
          <w:p>
            <w:pPr>
              <w:jc w:val="center"/>
              <w:spacing w:after="0"/>
              <w:rPr>
                <w:sz w:val="20"/>
                <w:szCs w:val="20"/>
                <w:color w:val="auto"/>
              </w:rPr>
            </w:pPr>
            <w:r>
              <w:rPr>
                <w:rFonts w:ascii="Arial" w:cs="Arial" w:eastAsia="Arial" w:hAnsi="Arial"/>
                <w:sz w:val="14"/>
                <w:szCs w:val="14"/>
                <w:b w:val="1"/>
                <w:bCs w:val="1"/>
                <w:color w:val="FFFFFF"/>
              </w:rPr>
              <w:t>Death or Disability($)</w:t>
            </w:r>
          </w:p>
        </w:tc>
        <w:tc>
          <w:tcPr>
            <w:tcW w:w="1840" w:type="dxa"/>
            <w:vAlign w:val="bottom"/>
            <w:shd w:val="clear" w:color="auto" w:fill="003E64"/>
          </w:tcPr>
          <w:p>
            <w:pPr>
              <w:jc w:val="center"/>
              <w:spacing w:after="0"/>
              <w:rPr>
                <w:sz w:val="20"/>
                <w:szCs w:val="20"/>
                <w:color w:val="auto"/>
              </w:rPr>
            </w:pPr>
            <w:r>
              <w:rPr>
                <w:rFonts w:ascii="Arial" w:cs="Arial" w:eastAsia="Arial" w:hAnsi="Arial"/>
                <w:sz w:val="14"/>
                <w:szCs w:val="14"/>
                <w:b w:val="1"/>
                <w:bCs w:val="1"/>
                <w:color w:val="FFFFFF"/>
              </w:rPr>
              <w:t>Accelerations ($)</w:t>
            </w:r>
          </w:p>
        </w:tc>
      </w:tr>
      <w:tr>
        <w:trPr>
          <w:trHeight w:val="176"/>
        </w:trPr>
        <w:tc>
          <w:tcPr>
            <w:tcW w:w="2680" w:type="dxa"/>
            <w:vAlign w:val="bottom"/>
            <w:shd w:val="clear" w:color="auto" w:fill="CCEEFF"/>
          </w:tcPr>
          <w:p>
            <w:pPr>
              <w:spacing w:after="0"/>
              <w:rPr>
                <w:sz w:val="20"/>
                <w:szCs w:val="20"/>
                <w:color w:val="auto"/>
              </w:rPr>
            </w:pPr>
            <w:r>
              <w:rPr>
                <w:rFonts w:ascii="Arial" w:cs="Arial" w:eastAsia="Arial" w:hAnsi="Arial"/>
                <w:sz w:val="14"/>
                <w:szCs w:val="14"/>
                <w:color w:val="4D4D4F"/>
              </w:rPr>
              <w:t>David H. Wang</w:t>
            </w:r>
          </w:p>
        </w:tc>
        <w:tc>
          <w:tcPr>
            <w:tcW w:w="1340" w:type="dxa"/>
            <w:vAlign w:val="bottom"/>
            <w:shd w:val="clear" w:color="auto" w:fill="CCEEFF"/>
          </w:tcPr>
          <w:p>
            <w:pPr>
              <w:jc w:val="center"/>
              <w:ind w:right="68"/>
              <w:spacing w:after="0"/>
              <w:rPr>
                <w:sz w:val="20"/>
                <w:szCs w:val="20"/>
                <w:color w:val="auto"/>
              </w:rPr>
            </w:pPr>
            <w:r>
              <w:rPr>
                <w:rFonts w:ascii="Arial" w:cs="Arial" w:eastAsia="Arial" w:hAnsi="Arial"/>
                <w:sz w:val="14"/>
                <w:szCs w:val="14"/>
                <w:color w:val="4D4D4F"/>
              </w:rPr>
              <w:t>$62,968</w:t>
            </w:r>
          </w:p>
        </w:tc>
        <w:tc>
          <w:tcPr>
            <w:tcW w:w="2120" w:type="dxa"/>
            <w:vAlign w:val="bottom"/>
            <w:shd w:val="clear" w:color="auto" w:fill="CCEEFF"/>
          </w:tcPr>
          <w:p>
            <w:pPr>
              <w:jc w:val="center"/>
              <w:spacing w:after="0"/>
              <w:rPr>
                <w:sz w:val="20"/>
                <w:szCs w:val="20"/>
                <w:color w:val="auto"/>
              </w:rPr>
            </w:pPr>
            <w:r>
              <w:rPr>
                <w:rFonts w:ascii="Arial" w:cs="Arial" w:eastAsia="Arial" w:hAnsi="Arial"/>
                <w:sz w:val="14"/>
                <w:szCs w:val="14"/>
                <w:color w:val="4D4D4F"/>
              </w:rPr>
              <w:t>$40,064,250</w:t>
            </w:r>
          </w:p>
        </w:tc>
        <w:tc>
          <w:tcPr>
            <w:tcW w:w="2120" w:type="dxa"/>
            <w:vAlign w:val="bottom"/>
            <w:shd w:val="clear" w:color="auto" w:fill="CCEEFF"/>
          </w:tcPr>
          <w:p>
            <w:pPr>
              <w:jc w:val="center"/>
              <w:spacing w:after="0"/>
              <w:rPr>
                <w:sz w:val="20"/>
                <w:szCs w:val="20"/>
                <w:color w:val="auto"/>
              </w:rPr>
            </w:pPr>
            <w:r>
              <w:rPr>
                <w:rFonts w:ascii="Arial" w:cs="Arial" w:eastAsia="Arial" w:hAnsi="Arial"/>
                <w:sz w:val="14"/>
                <w:szCs w:val="14"/>
                <w:color w:val="4D4D4F"/>
              </w:rPr>
              <w:t>$40,127,219</w:t>
            </w:r>
          </w:p>
        </w:tc>
        <w:tc>
          <w:tcPr>
            <w:tcW w:w="18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$2,422,342</w:t>
            </w:r>
          </w:p>
        </w:tc>
      </w:tr>
      <w:tr>
        <w:trPr>
          <w:trHeight w:val="175"/>
        </w:trPr>
        <w:tc>
          <w:tcPr>
            <w:tcW w:w="26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r>
      <w:tr>
        <w:trPr>
          <w:trHeight w:val="226"/>
        </w:trPr>
        <w:tc>
          <w:tcPr>
            <w:tcW w:w="2680" w:type="dxa"/>
            <w:vAlign w:val="bottom"/>
          </w:tcPr>
          <w:p>
            <w:pPr>
              <w:spacing w:after="0"/>
              <w:rPr>
                <w:sz w:val="20"/>
                <w:szCs w:val="20"/>
                <w:color w:val="auto"/>
              </w:rPr>
            </w:pPr>
            <w:r>
              <w:rPr>
                <w:rFonts w:ascii="Arial" w:cs="Arial" w:eastAsia="Arial" w:hAnsi="Arial"/>
                <w:sz w:val="14"/>
                <w:szCs w:val="14"/>
                <w:color w:val="4D4D4F"/>
              </w:rPr>
              <w:t>Mark McKechnie</w:t>
            </w:r>
          </w:p>
        </w:tc>
        <w:tc>
          <w:tcPr>
            <w:tcW w:w="1340" w:type="dxa"/>
            <w:vAlign w:val="bottom"/>
          </w:tcPr>
          <w:p>
            <w:pPr>
              <w:ind w:left="500"/>
              <w:spacing w:after="0"/>
              <w:rPr>
                <w:sz w:val="20"/>
                <w:szCs w:val="20"/>
                <w:color w:val="auto"/>
              </w:rPr>
            </w:pPr>
            <w:r>
              <w:rPr>
                <w:rFonts w:ascii="Arial" w:cs="Arial" w:eastAsia="Arial" w:hAnsi="Arial"/>
                <w:sz w:val="14"/>
                <w:szCs w:val="14"/>
                <w:color w:val="4D4D4F"/>
              </w:rPr>
              <w:t>—</w:t>
            </w:r>
          </w:p>
        </w:tc>
        <w:tc>
          <w:tcPr>
            <w:tcW w:w="2120" w:type="dxa"/>
            <w:vAlign w:val="bottom"/>
          </w:tcPr>
          <w:p>
            <w:pPr>
              <w:jc w:val="center"/>
              <w:spacing w:after="0"/>
              <w:rPr>
                <w:sz w:val="20"/>
                <w:szCs w:val="20"/>
                <w:color w:val="auto"/>
              </w:rPr>
            </w:pPr>
            <w:r>
              <w:rPr>
                <w:rFonts w:ascii="Arial" w:cs="Arial" w:eastAsia="Arial" w:hAnsi="Arial"/>
                <w:sz w:val="14"/>
                <w:szCs w:val="14"/>
                <w:color w:val="4D4D4F"/>
              </w:rPr>
              <w:t>4,824,100</w:t>
            </w:r>
          </w:p>
        </w:tc>
        <w:tc>
          <w:tcPr>
            <w:tcW w:w="2120" w:type="dxa"/>
            <w:vAlign w:val="bottom"/>
          </w:tcPr>
          <w:p>
            <w:pPr>
              <w:jc w:val="center"/>
              <w:spacing w:after="0"/>
              <w:rPr>
                <w:sz w:val="20"/>
                <w:szCs w:val="20"/>
                <w:color w:val="auto"/>
              </w:rPr>
            </w:pPr>
            <w:r>
              <w:rPr>
                <w:rFonts w:ascii="Arial" w:cs="Arial" w:eastAsia="Arial" w:hAnsi="Arial"/>
                <w:sz w:val="14"/>
                <w:szCs w:val="14"/>
                <w:color w:val="4D4D4F"/>
              </w:rPr>
              <w:t>4,824,100</w:t>
            </w:r>
          </w:p>
        </w:tc>
        <w:tc>
          <w:tcPr>
            <w:tcW w:w="1840" w:type="dxa"/>
            <w:vAlign w:val="bottom"/>
          </w:tcPr>
          <w:p>
            <w:pPr>
              <w:jc w:val="center"/>
              <w:spacing w:after="0"/>
              <w:rPr>
                <w:sz w:val="20"/>
                <w:szCs w:val="20"/>
                <w:color w:val="auto"/>
              </w:rPr>
            </w:pPr>
            <w:r>
              <w:rPr>
                <w:rFonts w:ascii="Arial" w:cs="Arial" w:eastAsia="Arial" w:hAnsi="Arial"/>
                <w:sz w:val="14"/>
                <w:szCs w:val="14"/>
                <w:color w:val="4D4D4F"/>
              </w:rPr>
              <w:t>3,237,080</w:t>
            </w:r>
          </w:p>
        </w:tc>
      </w:tr>
      <w:tr>
        <w:trPr>
          <w:trHeight w:val="125"/>
        </w:trPr>
        <w:tc>
          <w:tcPr>
            <w:tcW w:w="26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1840" w:type="dxa"/>
            <w:vAlign w:val="bottom"/>
          </w:tcPr>
          <w:p>
            <w:pPr>
              <w:spacing w:after="0"/>
              <w:rPr>
                <w:sz w:val="10"/>
                <w:szCs w:val="10"/>
                <w:color w:val="auto"/>
              </w:rPr>
            </w:pPr>
          </w:p>
        </w:tc>
      </w:tr>
      <w:tr>
        <w:trPr>
          <w:trHeight w:val="176"/>
        </w:trPr>
        <w:tc>
          <w:tcPr>
            <w:tcW w:w="2680" w:type="dxa"/>
            <w:vAlign w:val="bottom"/>
            <w:shd w:val="clear" w:color="auto" w:fill="CCEEFF"/>
          </w:tcPr>
          <w:p>
            <w:pPr>
              <w:spacing w:after="0"/>
              <w:rPr>
                <w:sz w:val="20"/>
                <w:szCs w:val="20"/>
                <w:color w:val="auto"/>
              </w:rPr>
            </w:pPr>
            <w:r>
              <w:rPr>
                <w:rFonts w:ascii="Arial" w:cs="Arial" w:eastAsia="Arial" w:hAnsi="Arial"/>
                <w:sz w:val="14"/>
                <w:szCs w:val="14"/>
                <w:color w:val="4D4D4F"/>
              </w:rPr>
              <w:t>Jian Wang</w:t>
            </w:r>
          </w:p>
        </w:tc>
        <w:tc>
          <w:tcPr>
            <w:tcW w:w="1340" w:type="dxa"/>
            <w:vAlign w:val="bottom"/>
            <w:shd w:val="clear" w:color="auto" w:fill="CCEEFF"/>
          </w:tcPr>
          <w:p>
            <w:pPr>
              <w:jc w:val="center"/>
              <w:ind w:right="68"/>
              <w:spacing w:after="0"/>
              <w:rPr>
                <w:sz w:val="20"/>
                <w:szCs w:val="20"/>
                <w:color w:val="auto"/>
              </w:rPr>
            </w:pPr>
            <w:r>
              <w:rPr>
                <w:rFonts w:ascii="Arial" w:cs="Arial" w:eastAsia="Arial" w:hAnsi="Arial"/>
                <w:sz w:val="14"/>
                <w:szCs w:val="14"/>
                <w:color w:val="4D4D4F"/>
              </w:rPr>
              <w:t>56,875</w:t>
            </w:r>
          </w:p>
        </w:tc>
        <w:tc>
          <w:tcPr>
            <w:tcW w:w="2120" w:type="dxa"/>
            <w:vAlign w:val="bottom"/>
            <w:shd w:val="clear" w:color="auto" w:fill="CCEEFF"/>
          </w:tcPr>
          <w:p>
            <w:pPr>
              <w:jc w:val="center"/>
              <w:spacing w:after="0"/>
              <w:rPr>
                <w:sz w:val="20"/>
                <w:szCs w:val="20"/>
                <w:color w:val="auto"/>
              </w:rPr>
            </w:pPr>
            <w:r>
              <w:rPr>
                <w:rFonts w:ascii="Arial" w:cs="Arial" w:eastAsia="Arial" w:hAnsi="Arial"/>
                <w:sz w:val="14"/>
                <w:szCs w:val="14"/>
                <w:color w:val="4D4D4F"/>
              </w:rPr>
              <w:t>4,629,200</w:t>
            </w:r>
          </w:p>
        </w:tc>
        <w:tc>
          <w:tcPr>
            <w:tcW w:w="2120" w:type="dxa"/>
            <w:vAlign w:val="bottom"/>
            <w:shd w:val="clear" w:color="auto" w:fill="CCEEFF"/>
          </w:tcPr>
          <w:p>
            <w:pPr>
              <w:jc w:val="center"/>
              <w:spacing w:after="0"/>
              <w:rPr>
                <w:sz w:val="20"/>
                <w:szCs w:val="20"/>
                <w:color w:val="auto"/>
              </w:rPr>
            </w:pPr>
            <w:r>
              <w:rPr>
                <w:rFonts w:ascii="Arial" w:cs="Arial" w:eastAsia="Arial" w:hAnsi="Arial"/>
                <w:sz w:val="14"/>
                <w:szCs w:val="14"/>
                <w:color w:val="4D4D4F"/>
              </w:rPr>
              <w:t>4,686,075</w:t>
            </w:r>
          </w:p>
        </w:tc>
        <w:tc>
          <w:tcPr>
            <w:tcW w:w="18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2,251,056</w:t>
            </w:r>
          </w:p>
        </w:tc>
      </w:tr>
      <w:tr>
        <w:trPr>
          <w:trHeight w:val="176"/>
        </w:trPr>
        <w:tc>
          <w:tcPr>
            <w:tcW w:w="26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r>
      <w:tr>
        <w:trPr>
          <w:trHeight w:val="226"/>
        </w:trPr>
        <w:tc>
          <w:tcPr>
            <w:tcW w:w="2680" w:type="dxa"/>
            <w:vAlign w:val="bottom"/>
          </w:tcPr>
          <w:p>
            <w:pPr>
              <w:spacing w:after="0"/>
              <w:rPr>
                <w:sz w:val="20"/>
                <w:szCs w:val="20"/>
                <w:color w:val="auto"/>
              </w:rPr>
            </w:pPr>
            <w:r>
              <w:rPr>
                <w:rFonts w:ascii="Arial" w:cs="Arial" w:eastAsia="Arial" w:hAnsi="Arial"/>
                <w:sz w:val="14"/>
                <w:szCs w:val="14"/>
                <w:color w:val="4D4D4F"/>
              </w:rPr>
              <w:t>Lisa Feng</w:t>
            </w:r>
          </w:p>
        </w:tc>
        <w:tc>
          <w:tcPr>
            <w:tcW w:w="1340" w:type="dxa"/>
            <w:vAlign w:val="bottom"/>
          </w:tcPr>
          <w:p>
            <w:pPr>
              <w:jc w:val="center"/>
              <w:ind w:right="68"/>
              <w:spacing w:after="0"/>
              <w:rPr>
                <w:sz w:val="20"/>
                <w:szCs w:val="20"/>
                <w:color w:val="auto"/>
              </w:rPr>
            </w:pPr>
            <w:r>
              <w:rPr>
                <w:rFonts w:ascii="Arial" w:cs="Arial" w:eastAsia="Arial" w:hAnsi="Arial"/>
                <w:sz w:val="14"/>
                <w:szCs w:val="14"/>
                <w:color w:val="4D4D4F"/>
              </w:rPr>
              <w:t>14,219</w:t>
            </w:r>
          </w:p>
        </w:tc>
        <w:tc>
          <w:tcPr>
            <w:tcW w:w="2120" w:type="dxa"/>
            <w:vAlign w:val="bottom"/>
          </w:tcPr>
          <w:p>
            <w:pPr>
              <w:jc w:val="center"/>
              <w:spacing w:after="0"/>
              <w:rPr>
                <w:sz w:val="20"/>
                <w:szCs w:val="20"/>
                <w:color w:val="auto"/>
              </w:rPr>
            </w:pPr>
            <w:r>
              <w:rPr>
                <w:rFonts w:ascii="Arial" w:cs="Arial" w:eastAsia="Arial" w:hAnsi="Arial"/>
                <w:sz w:val="14"/>
                <w:szCs w:val="14"/>
                <w:color w:val="4D4D4F"/>
              </w:rPr>
              <w:t>4,302,965</w:t>
            </w:r>
          </w:p>
        </w:tc>
        <w:tc>
          <w:tcPr>
            <w:tcW w:w="2120" w:type="dxa"/>
            <w:vAlign w:val="bottom"/>
          </w:tcPr>
          <w:p>
            <w:pPr>
              <w:jc w:val="center"/>
              <w:spacing w:after="0"/>
              <w:rPr>
                <w:sz w:val="20"/>
                <w:szCs w:val="20"/>
                <w:color w:val="auto"/>
              </w:rPr>
            </w:pPr>
            <w:r>
              <w:rPr>
                <w:rFonts w:ascii="Arial" w:cs="Arial" w:eastAsia="Arial" w:hAnsi="Arial"/>
                <w:sz w:val="14"/>
                <w:szCs w:val="14"/>
                <w:color w:val="4D4D4F"/>
              </w:rPr>
              <w:t>4,317,183</w:t>
            </w:r>
          </w:p>
        </w:tc>
        <w:tc>
          <w:tcPr>
            <w:tcW w:w="1840" w:type="dxa"/>
            <w:vAlign w:val="bottom"/>
          </w:tcPr>
          <w:p>
            <w:pPr>
              <w:jc w:val="center"/>
              <w:spacing w:after="0"/>
              <w:rPr>
                <w:sz w:val="20"/>
                <w:szCs w:val="20"/>
                <w:color w:val="auto"/>
              </w:rPr>
            </w:pPr>
            <w:r>
              <w:rPr>
                <w:rFonts w:ascii="Arial" w:cs="Arial" w:eastAsia="Arial" w:hAnsi="Arial"/>
                <w:sz w:val="14"/>
                <w:szCs w:val="14"/>
                <w:color w:val="auto"/>
              </w:rPr>
              <w:t>2,690,327</w:t>
            </w:r>
          </w:p>
        </w:tc>
      </w:tr>
      <w:tr>
        <w:trPr>
          <w:trHeight w:val="125"/>
        </w:trPr>
        <w:tc>
          <w:tcPr>
            <w:tcW w:w="26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1840" w:type="dxa"/>
            <w:vAlign w:val="bottom"/>
          </w:tcPr>
          <w:p>
            <w:pPr>
              <w:spacing w:after="0"/>
              <w:rPr>
                <w:sz w:val="10"/>
                <w:szCs w:val="10"/>
                <w:color w:val="auto"/>
              </w:rPr>
            </w:pPr>
          </w:p>
        </w:tc>
      </w:tr>
      <w:tr>
        <w:trPr>
          <w:trHeight w:val="175"/>
        </w:trPr>
        <w:tc>
          <w:tcPr>
            <w:tcW w:w="2680" w:type="dxa"/>
            <w:vAlign w:val="bottom"/>
            <w:shd w:val="clear" w:color="auto" w:fill="CCEEFF"/>
          </w:tcPr>
          <w:p>
            <w:pPr>
              <w:spacing w:after="0"/>
              <w:rPr>
                <w:sz w:val="20"/>
                <w:szCs w:val="20"/>
                <w:color w:val="auto"/>
              </w:rPr>
            </w:pPr>
            <w:r>
              <w:rPr>
                <w:rFonts w:ascii="Arial" w:cs="Arial" w:eastAsia="Arial" w:hAnsi="Arial"/>
                <w:sz w:val="14"/>
                <w:szCs w:val="14"/>
                <w:color w:val="4D4D4F"/>
              </w:rPr>
              <w:t>Fuping Chen</w:t>
            </w:r>
          </w:p>
        </w:tc>
        <w:tc>
          <w:tcPr>
            <w:tcW w:w="1340" w:type="dxa"/>
            <w:vAlign w:val="bottom"/>
            <w:shd w:val="clear" w:color="auto" w:fill="CCEEFF"/>
          </w:tcPr>
          <w:p>
            <w:pPr>
              <w:jc w:val="center"/>
              <w:ind w:right="68"/>
              <w:spacing w:after="0"/>
              <w:rPr>
                <w:sz w:val="20"/>
                <w:szCs w:val="20"/>
                <w:color w:val="auto"/>
              </w:rPr>
            </w:pPr>
            <w:r>
              <w:rPr>
                <w:rFonts w:ascii="Arial" w:cs="Arial" w:eastAsia="Arial" w:hAnsi="Arial"/>
                <w:sz w:val="14"/>
                <w:szCs w:val="14"/>
                <w:color w:val="4D4D4F"/>
              </w:rPr>
              <w:t>44,687</w:t>
            </w:r>
          </w:p>
        </w:tc>
        <w:tc>
          <w:tcPr>
            <w:tcW w:w="2120" w:type="dxa"/>
            <w:vAlign w:val="bottom"/>
            <w:shd w:val="clear" w:color="auto" w:fill="CCEEFF"/>
          </w:tcPr>
          <w:p>
            <w:pPr>
              <w:jc w:val="center"/>
              <w:spacing w:after="0"/>
              <w:rPr>
                <w:sz w:val="20"/>
                <w:szCs w:val="20"/>
                <w:color w:val="auto"/>
              </w:rPr>
            </w:pPr>
            <w:r>
              <w:rPr>
                <w:rFonts w:ascii="Arial" w:cs="Arial" w:eastAsia="Arial" w:hAnsi="Arial"/>
                <w:sz w:val="14"/>
                <w:szCs w:val="14"/>
                <w:color w:val="4D4D4F"/>
              </w:rPr>
              <w:t>9,305,304</w:t>
            </w:r>
          </w:p>
        </w:tc>
        <w:tc>
          <w:tcPr>
            <w:tcW w:w="2120" w:type="dxa"/>
            <w:vAlign w:val="bottom"/>
            <w:shd w:val="clear" w:color="auto" w:fill="CCEEFF"/>
          </w:tcPr>
          <w:p>
            <w:pPr>
              <w:jc w:val="center"/>
              <w:spacing w:after="0"/>
              <w:rPr>
                <w:sz w:val="20"/>
                <w:szCs w:val="20"/>
                <w:color w:val="auto"/>
              </w:rPr>
            </w:pPr>
            <w:r>
              <w:rPr>
                <w:rFonts w:ascii="Arial" w:cs="Arial" w:eastAsia="Arial" w:hAnsi="Arial"/>
                <w:sz w:val="14"/>
                <w:szCs w:val="14"/>
                <w:color w:val="4D4D4F"/>
              </w:rPr>
              <w:t>9,349,911</w:t>
            </w:r>
          </w:p>
        </w:tc>
        <w:tc>
          <w:tcPr>
            <w:tcW w:w="18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1,463,466</w:t>
            </w:r>
          </w:p>
        </w:tc>
      </w:tr>
      <w:tr>
        <w:trPr>
          <w:trHeight w:val="176"/>
        </w:trPr>
        <w:tc>
          <w:tcPr>
            <w:tcW w:w="26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r>
    </w:tbl>
    <w:p>
      <w:pPr>
        <w:spacing w:after="0" w:line="59"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4D4D4F"/>
        </w:rPr>
        <w:t>(1)</w:t>
        <w:tab/>
        <w:t>Consists of PRC statutory required severance.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2" w:name="page43"/>
    <w:bookmarkEnd w:id="42"/>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b w:val="1"/>
          <w:bCs w:val="1"/>
          <w:color w:val="0079C0"/>
        </w:rPr>
        <w:t>Equity Compensation Plan Information</w:t>
      </w:r>
    </w:p>
    <w:p>
      <w:pPr>
        <w:spacing w:after="0" w:line="269" w:lineRule="exact"/>
        <w:rPr>
          <w:sz w:val="20"/>
          <w:szCs w:val="20"/>
          <w:color w:val="auto"/>
        </w:rPr>
      </w:pPr>
    </w:p>
    <w:p>
      <w:pPr>
        <w:spacing w:after="0" w:line="246" w:lineRule="auto"/>
        <w:rPr>
          <w:sz w:val="20"/>
          <w:szCs w:val="20"/>
          <w:color w:val="auto"/>
        </w:rPr>
      </w:pPr>
      <w:r>
        <w:rPr>
          <w:rFonts w:ascii="Arial" w:cs="Arial" w:eastAsia="Arial" w:hAnsi="Arial"/>
          <w:sz w:val="18"/>
          <w:szCs w:val="18"/>
          <w:color w:val="4D4D4F"/>
        </w:rPr>
        <w:t>The following table provides information as of December 31, 2020 with respect to shares of Class A common stock that may be issued under our equity plans and standalone option grants: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shd w:val="clear" w:color="auto" w:fill="003E64"/>
          </w:tcPr>
          <w:p>
            <w:pPr>
              <w:spacing w:after="0"/>
              <w:rPr>
                <w:sz w:val="14"/>
                <w:szCs w:val="14"/>
                <w:color w:val="auto"/>
              </w:rPr>
            </w:pPr>
          </w:p>
        </w:tc>
        <w:tc>
          <w:tcPr>
            <w:tcW w:w="2540" w:type="dxa"/>
            <w:vAlign w:val="bottom"/>
            <w:shd w:val="clear" w:color="auto" w:fill="003E64"/>
          </w:tcPr>
          <w:p>
            <w:pPr>
              <w:jc w:val="center"/>
              <w:ind w:left="281"/>
              <w:spacing w:after="0"/>
              <w:rPr>
                <w:sz w:val="20"/>
                <w:szCs w:val="20"/>
                <w:color w:val="auto"/>
              </w:rPr>
            </w:pPr>
            <w:r>
              <w:rPr>
                <w:rFonts w:ascii="Arial" w:cs="Arial" w:eastAsia="Arial" w:hAnsi="Arial"/>
                <w:sz w:val="14"/>
                <w:szCs w:val="14"/>
                <w:b w:val="1"/>
                <w:bCs w:val="1"/>
                <w:color w:val="FFFFFF"/>
              </w:rPr>
              <w:t>Number of Securities to</w:t>
            </w:r>
          </w:p>
        </w:tc>
        <w:tc>
          <w:tcPr>
            <w:tcW w:w="2000" w:type="dxa"/>
            <w:vAlign w:val="bottom"/>
            <w:shd w:val="clear" w:color="auto" w:fill="003E64"/>
          </w:tcPr>
          <w:p>
            <w:pPr>
              <w:jc w:val="center"/>
              <w:spacing w:after="0"/>
              <w:rPr>
                <w:sz w:val="20"/>
                <w:szCs w:val="20"/>
                <w:color w:val="auto"/>
              </w:rPr>
            </w:pPr>
            <w:r>
              <w:rPr>
                <w:rFonts w:ascii="Arial" w:cs="Arial" w:eastAsia="Arial" w:hAnsi="Arial"/>
                <w:sz w:val="14"/>
                <w:szCs w:val="14"/>
                <w:b w:val="1"/>
                <w:bCs w:val="1"/>
                <w:color w:val="FFFFFF"/>
              </w:rPr>
              <w:t>Weighted Average</w:t>
            </w:r>
          </w:p>
        </w:tc>
        <w:tc>
          <w:tcPr>
            <w:tcW w:w="2600" w:type="dxa"/>
            <w:vAlign w:val="bottom"/>
            <w:shd w:val="clear" w:color="auto" w:fill="003E64"/>
          </w:tcPr>
          <w:p>
            <w:pPr>
              <w:jc w:val="center"/>
              <w:spacing w:after="0"/>
              <w:rPr>
                <w:sz w:val="20"/>
                <w:szCs w:val="20"/>
                <w:color w:val="auto"/>
              </w:rPr>
            </w:pPr>
            <w:r>
              <w:rPr>
                <w:rFonts w:ascii="Arial" w:cs="Arial" w:eastAsia="Arial" w:hAnsi="Arial"/>
                <w:sz w:val="14"/>
                <w:szCs w:val="14"/>
                <w:b w:val="1"/>
                <w:bCs w:val="1"/>
                <w:color w:val="FFFFFF"/>
              </w:rPr>
              <w:t>Number of Securities</w:t>
            </w:r>
          </w:p>
        </w:tc>
      </w:tr>
      <w:tr>
        <w:trPr>
          <w:trHeight w:val="162"/>
        </w:trPr>
        <w:tc>
          <w:tcPr>
            <w:tcW w:w="4100" w:type="dxa"/>
            <w:vAlign w:val="bottom"/>
            <w:shd w:val="clear" w:color="auto" w:fill="003E64"/>
          </w:tcPr>
          <w:p>
            <w:pPr>
              <w:spacing w:after="0"/>
              <w:rPr>
                <w:sz w:val="14"/>
                <w:szCs w:val="14"/>
                <w:color w:val="auto"/>
              </w:rPr>
            </w:pPr>
          </w:p>
        </w:tc>
        <w:tc>
          <w:tcPr>
            <w:tcW w:w="2540" w:type="dxa"/>
            <w:vAlign w:val="bottom"/>
            <w:shd w:val="clear" w:color="auto" w:fill="003E64"/>
          </w:tcPr>
          <w:p>
            <w:pPr>
              <w:jc w:val="center"/>
              <w:ind w:left="281"/>
              <w:spacing w:after="0"/>
              <w:rPr>
                <w:sz w:val="20"/>
                <w:szCs w:val="20"/>
                <w:color w:val="auto"/>
              </w:rPr>
            </w:pPr>
            <w:r>
              <w:rPr>
                <w:rFonts w:ascii="Arial" w:cs="Arial" w:eastAsia="Arial" w:hAnsi="Arial"/>
                <w:sz w:val="14"/>
                <w:szCs w:val="14"/>
                <w:b w:val="1"/>
                <w:bCs w:val="1"/>
                <w:color w:val="FFFFFF"/>
              </w:rPr>
              <w:t>be Issued Upon Exercise</w:t>
            </w:r>
          </w:p>
        </w:tc>
        <w:tc>
          <w:tcPr>
            <w:tcW w:w="2000" w:type="dxa"/>
            <w:vAlign w:val="bottom"/>
            <w:shd w:val="clear" w:color="auto" w:fill="003E64"/>
          </w:tcPr>
          <w:p>
            <w:pPr>
              <w:jc w:val="center"/>
              <w:spacing w:after="0"/>
              <w:rPr>
                <w:sz w:val="20"/>
                <w:szCs w:val="20"/>
                <w:color w:val="auto"/>
              </w:rPr>
            </w:pPr>
            <w:r>
              <w:rPr>
                <w:rFonts w:ascii="Arial" w:cs="Arial" w:eastAsia="Arial" w:hAnsi="Arial"/>
                <w:sz w:val="14"/>
                <w:szCs w:val="14"/>
                <w:b w:val="1"/>
                <w:bCs w:val="1"/>
                <w:color w:val="FFFFFF"/>
              </w:rPr>
              <w:t>Exercise Price of</w:t>
            </w:r>
          </w:p>
        </w:tc>
        <w:tc>
          <w:tcPr>
            <w:tcW w:w="2600" w:type="dxa"/>
            <w:vAlign w:val="bottom"/>
            <w:shd w:val="clear" w:color="auto" w:fill="003E64"/>
          </w:tcPr>
          <w:p>
            <w:pPr>
              <w:jc w:val="center"/>
              <w:spacing w:after="0"/>
              <w:rPr>
                <w:sz w:val="20"/>
                <w:szCs w:val="20"/>
                <w:color w:val="auto"/>
              </w:rPr>
            </w:pPr>
            <w:r>
              <w:rPr>
                <w:rFonts w:ascii="Arial" w:cs="Arial" w:eastAsia="Arial" w:hAnsi="Arial"/>
                <w:sz w:val="14"/>
                <w:szCs w:val="14"/>
                <w:b w:val="1"/>
                <w:bCs w:val="1"/>
                <w:color w:val="FFFFFF"/>
              </w:rPr>
              <w:t>Remaining Available for</w:t>
            </w:r>
          </w:p>
        </w:tc>
      </w:tr>
      <w:tr>
        <w:trPr>
          <w:trHeight w:val="162"/>
        </w:trPr>
        <w:tc>
          <w:tcPr>
            <w:tcW w:w="4100" w:type="dxa"/>
            <w:vAlign w:val="bottom"/>
            <w:shd w:val="clear" w:color="auto" w:fill="003E64"/>
          </w:tcPr>
          <w:p>
            <w:pPr>
              <w:spacing w:after="0"/>
              <w:rPr>
                <w:sz w:val="14"/>
                <w:szCs w:val="14"/>
                <w:color w:val="auto"/>
              </w:rPr>
            </w:pPr>
          </w:p>
        </w:tc>
        <w:tc>
          <w:tcPr>
            <w:tcW w:w="2540" w:type="dxa"/>
            <w:vAlign w:val="bottom"/>
            <w:shd w:val="clear" w:color="auto" w:fill="003E64"/>
          </w:tcPr>
          <w:p>
            <w:pPr>
              <w:jc w:val="center"/>
              <w:ind w:left="261"/>
              <w:spacing w:after="0"/>
              <w:rPr>
                <w:sz w:val="20"/>
                <w:szCs w:val="20"/>
                <w:color w:val="auto"/>
              </w:rPr>
            </w:pPr>
            <w:r>
              <w:rPr>
                <w:rFonts w:ascii="Arial" w:cs="Arial" w:eastAsia="Arial" w:hAnsi="Arial"/>
                <w:sz w:val="14"/>
                <w:szCs w:val="14"/>
                <w:b w:val="1"/>
                <w:bCs w:val="1"/>
                <w:color w:val="FFFFFF"/>
              </w:rPr>
              <w:t>of Outstanding Options,</w:t>
            </w:r>
          </w:p>
        </w:tc>
        <w:tc>
          <w:tcPr>
            <w:tcW w:w="2000" w:type="dxa"/>
            <w:vAlign w:val="bottom"/>
            <w:shd w:val="clear" w:color="auto" w:fill="003E64"/>
          </w:tcPr>
          <w:p>
            <w:pPr>
              <w:jc w:val="center"/>
              <w:spacing w:after="0"/>
              <w:rPr>
                <w:sz w:val="20"/>
                <w:szCs w:val="20"/>
                <w:color w:val="auto"/>
              </w:rPr>
            </w:pPr>
            <w:r>
              <w:rPr>
                <w:rFonts w:ascii="Arial" w:cs="Arial" w:eastAsia="Arial" w:hAnsi="Arial"/>
                <w:sz w:val="14"/>
                <w:szCs w:val="14"/>
                <w:b w:val="1"/>
                <w:bCs w:val="1"/>
                <w:color w:val="FFFFFF"/>
              </w:rPr>
              <w:t>Outstanding Options,</w:t>
            </w:r>
          </w:p>
        </w:tc>
        <w:tc>
          <w:tcPr>
            <w:tcW w:w="2600" w:type="dxa"/>
            <w:vAlign w:val="bottom"/>
            <w:shd w:val="clear" w:color="auto" w:fill="003E64"/>
          </w:tcPr>
          <w:p>
            <w:pPr>
              <w:jc w:val="center"/>
              <w:spacing w:after="0"/>
              <w:rPr>
                <w:sz w:val="20"/>
                <w:szCs w:val="20"/>
                <w:color w:val="auto"/>
              </w:rPr>
            </w:pPr>
            <w:r>
              <w:rPr>
                <w:rFonts w:ascii="Arial" w:cs="Arial" w:eastAsia="Arial" w:hAnsi="Arial"/>
                <w:sz w:val="14"/>
                <w:szCs w:val="14"/>
                <w:b w:val="1"/>
                <w:bCs w:val="1"/>
                <w:color w:val="FFFFFF"/>
              </w:rPr>
              <w:t>Future Issuance Under Equity</w:t>
            </w:r>
          </w:p>
        </w:tc>
      </w:tr>
      <w:tr>
        <w:trPr>
          <w:trHeight w:val="162"/>
        </w:trPr>
        <w:tc>
          <w:tcPr>
            <w:tcW w:w="4100" w:type="dxa"/>
            <w:vAlign w:val="bottom"/>
            <w:shd w:val="clear" w:color="auto" w:fill="003E64"/>
          </w:tcPr>
          <w:p>
            <w:pPr>
              <w:spacing w:after="0"/>
              <w:rPr>
                <w:sz w:val="14"/>
                <w:szCs w:val="14"/>
                <w:color w:val="auto"/>
              </w:rPr>
            </w:pPr>
          </w:p>
        </w:tc>
        <w:tc>
          <w:tcPr>
            <w:tcW w:w="2540" w:type="dxa"/>
            <w:vAlign w:val="bottom"/>
            <w:shd w:val="clear" w:color="auto" w:fill="003E64"/>
          </w:tcPr>
          <w:p>
            <w:pPr>
              <w:jc w:val="center"/>
              <w:ind w:left="261"/>
              <w:spacing w:after="0"/>
              <w:rPr>
                <w:sz w:val="20"/>
                <w:szCs w:val="20"/>
                <w:color w:val="auto"/>
              </w:rPr>
            </w:pPr>
            <w:r>
              <w:rPr>
                <w:rFonts w:ascii="Arial" w:cs="Arial" w:eastAsia="Arial" w:hAnsi="Arial"/>
                <w:sz w:val="14"/>
                <w:szCs w:val="14"/>
                <w:b w:val="1"/>
                <w:bCs w:val="1"/>
                <w:color w:val="FFFFFF"/>
              </w:rPr>
              <w:t>Warrants and Rights</w:t>
            </w:r>
          </w:p>
        </w:tc>
        <w:tc>
          <w:tcPr>
            <w:tcW w:w="2000" w:type="dxa"/>
            <w:vAlign w:val="bottom"/>
            <w:shd w:val="clear" w:color="auto" w:fill="003E64"/>
          </w:tcPr>
          <w:p>
            <w:pPr>
              <w:jc w:val="center"/>
              <w:spacing w:after="0"/>
              <w:rPr>
                <w:sz w:val="20"/>
                <w:szCs w:val="20"/>
                <w:color w:val="auto"/>
              </w:rPr>
            </w:pPr>
            <w:r>
              <w:rPr>
                <w:rFonts w:ascii="Arial" w:cs="Arial" w:eastAsia="Arial" w:hAnsi="Arial"/>
                <w:sz w:val="14"/>
                <w:szCs w:val="14"/>
                <w:b w:val="1"/>
                <w:bCs w:val="1"/>
                <w:color w:val="FFFFFF"/>
              </w:rPr>
              <w:t>Warrants and Rights</w:t>
            </w:r>
          </w:p>
        </w:tc>
        <w:tc>
          <w:tcPr>
            <w:tcW w:w="2600" w:type="dxa"/>
            <w:vAlign w:val="bottom"/>
            <w:shd w:val="clear" w:color="auto" w:fill="003E64"/>
          </w:tcPr>
          <w:p>
            <w:pPr>
              <w:jc w:val="center"/>
              <w:spacing w:after="0"/>
              <w:rPr>
                <w:sz w:val="20"/>
                <w:szCs w:val="20"/>
                <w:color w:val="auto"/>
              </w:rPr>
            </w:pPr>
            <w:r>
              <w:rPr>
                <w:rFonts w:ascii="Arial" w:cs="Arial" w:eastAsia="Arial" w:hAnsi="Arial"/>
                <w:sz w:val="14"/>
                <w:szCs w:val="14"/>
                <w:b w:val="1"/>
                <w:bCs w:val="1"/>
                <w:color w:val="FFFFFF"/>
              </w:rPr>
              <w:t>Compensation Plans(1)</w:t>
            </w:r>
          </w:p>
        </w:tc>
      </w:tr>
      <w:tr>
        <w:trPr>
          <w:trHeight w:val="175"/>
        </w:trPr>
        <w:tc>
          <w:tcPr>
            <w:tcW w:w="4100" w:type="dxa"/>
            <w:vAlign w:val="bottom"/>
            <w:shd w:val="clear" w:color="auto" w:fill="003E64"/>
          </w:tcPr>
          <w:p>
            <w:pPr>
              <w:spacing w:after="0"/>
              <w:rPr>
                <w:sz w:val="20"/>
                <w:szCs w:val="20"/>
                <w:color w:val="auto"/>
              </w:rPr>
            </w:pPr>
            <w:r>
              <w:rPr>
                <w:rFonts w:ascii="Arial" w:cs="Arial" w:eastAsia="Arial" w:hAnsi="Arial"/>
                <w:sz w:val="14"/>
                <w:szCs w:val="14"/>
                <w:b w:val="1"/>
                <w:bCs w:val="1"/>
                <w:color w:val="FFFFFF"/>
              </w:rPr>
              <w:t>Plan Category</w:t>
            </w:r>
          </w:p>
        </w:tc>
        <w:tc>
          <w:tcPr>
            <w:tcW w:w="2540" w:type="dxa"/>
            <w:vAlign w:val="bottom"/>
            <w:shd w:val="clear" w:color="auto" w:fill="003E64"/>
          </w:tcPr>
          <w:p>
            <w:pPr>
              <w:jc w:val="center"/>
              <w:ind w:left="281"/>
              <w:spacing w:after="0"/>
              <w:rPr>
                <w:sz w:val="20"/>
                <w:szCs w:val="20"/>
                <w:color w:val="auto"/>
              </w:rPr>
            </w:pPr>
            <w:r>
              <w:rPr>
                <w:rFonts w:ascii="Arial" w:cs="Arial" w:eastAsia="Arial" w:hAnsi="Arial"/>
                <w:sz w:val="14"/>
                <w:szCs w:val="14"/>
                <w:b w:val="1"/>
                <w:bCs w:val="1"/>
                <w:color w:val="FFFFFF"/>
              </w:rPr>
              <w:t>(a)</w:t>
            </w:r>
          </w:p>
        </w:tc>
        <w:tc>
          <w:tcPr>
            <w:tcW w:w="2000" w:type="dxa"/>
            <w:vAlign w:val="bottom"/>
            <w:shd w:val="clear" w:color="auto" w:fill="003E64"/>
          </w:tcPr>
          <w:p>
            <w:pPr>
              <w:jc w:val="center"/>
              <w:spacing w:after="0"/>
              <w:rPr>
                <w:sz w:val="20"/>
                <w:szCs w:val="20"/>
                <w:color w:val="auto"/>
              </w:rPr>
            </w:pPr>
            <w:r>
              <w:rPr>
                <w:rFonts w:ascii="Arial" w:cs="Arial" w:eastAsia="Arial" w:hAnsi="Arial"/>
                <w:sz w:val="14"/>
                <w:szCs w:val="14"/>
                <w:b w:val="1"/>
                <w:bCs w:val="1"/>
                <w:color w:val="FFFFFF"/>
              </w:rPr>
              <w:t>(b)</w:t>
            </w:r>
          </w:p>
        </w:tc>
        <w:tc>
          <w:tcPr>
            <w:tcW w:w="2600" w:type="dxa"/>
            <w:vAlign w:val="bottom"/>
            <w:shd w:val="clear" w:color="auto" w:fill="003E64"/>
          </w:tcPr>
          <w:p>
            <w:pPr>
              <w:jc w:val="center"/>
              <w:spacing w:after="0"/>
              <w:rPr>
                <w:sz w:val="20"/>
                <w:szCs w:val="20"/>
                <w:color w:val="auto"/>
              </w:rPr>
            </w:pPr>
            <w:r>
              <w:rPr>
                <w:rFonts w:ascii="Arial" w:cs="Arial" w:eastAsia="Arial" w:hAnsi="Arial"/>
                <w:sz w:val="14"/>
                <w:szCs w:val="14"/>
                <w:b w:val="1"/>
                <w:bCs w:val="1"/>
                <w:color w:val="FFFFFF"/>
              </w:rPr>
              <w:t>(c)</w:t>
            </w:r>
          </w:p>
        </w:tc>
      </w:tr>
      <w:tr>
        <w:trPr>
          <w:trHeight w:val="202"/>
        </w:trPr>
        <w:tc>
          <w:tcPr>
            <w:tcW w:w="4100" w:type="dxa"/>
            <w:vAlign w:val="bottom"/>
          </w:tcPr>
          <w:p>
            <w:pPr>
              <w:spacing w:after="0" w:line="201" w:lineRule="exact"/>
              <w:rPr>
                <w:sz w:val="20"/>
                <w:szCs w:val="20"/>
                <w:color w:val="auto"/>
              </w:rPr>
            </w:pPr>
            <w:r>
              <w:rPr>
                <w:rFonts w:ascii="Arial" w:cs="Arial" w:eastAsia="Arial" w:hAnsi="Arial"/>
                <w:sz w:val="18"/>
                <w:szCs w:val="18"/>
                <w:color w:val="4D4D4F"/>
              </w:rPr>
              <w:t>Equity compensation plans approved by</w:t>
            </w:r>
          </w:p>
        </w:tc>
        <w:tc>
          <w:tcPr>
            <w:tcW w:w="25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600" w:type="dxa"/>
            <w:vAlign w:val="bottom"/>
          </w:tcPr>
          <w:p>
            <w:pPr>
              <w:spacing w:after="0"/>
              <w:rPr>
                <w:sz w:val="17"/>
                <w:szCs w:val="17"/>
                <w:color w:val="auto"/>
              </w:rPr>
            </w:pPr>
          </w:p>
        </w:tc>
      </w:tr>
      <w:tr>
        <w:trPr>
          <w:trHeight w:val="203"/>
        </w:trPr>
        <w:tc>
          <w:tcPr>
            <w:tcW w:w="4100" w:type="dxa"/>
            <w:vAlign w:val="bottom"/>
          </w:tcPr>
          <w:p>
            <w:pPr>
              <w:ind w:left="140"/>
              <w:spacing w:after="0" w:line="203" w:lineRule="exact"/>
              <w:rPr>
                <w:sz w:val="20"/>
                <w:szCs w:val="20"/>
                <w:color w:val="auto"/>
              </w:rPr>
            </w:pPr>
            <w:r>
              <w:rPr>
                <w:rFonts w:ascii="Arial" w:cs="Arial" w:eastAsia="Arial" w:hAnsi="Arial"/>
                <w:sz w:val="18"/>
                <w:szCs w:val="18"/>
                <w:color w:val="4D4D4F"/>
              </w:rPr>
              <w:t>stockholders(2)</w:t>
            </w:r>
          </w:p>
        </w:tc>
        <w:tc>
          <w:tcPr>
            <w:tcW w:w="2540" w:type="dxa"/>
            <w:vAlign w:val="bottom"/>
          </w:tcPr>
          <w:p>
            <w:pPr>
              <w:jc w:val="center"/>
              <w:ind w:left="261"/>
              <w:spacing w:after="0" w:line="203" w:lineRule="exact"/>
              <w:rPr>
                <w:sz w:val="20"/>
                <w:szCs w:val="20"/>
                <w:color w:val="auto"/>
              </w:rPr>
            </w:pPr>
            <w:r>
              <w:rPr>
                <w:rFonts w:ascii="Arial" w:cs="Arial" w:eastAsia="Arial" w:hAnsi="Arial"/>
                <w:sz w:val="18"/>
                <w:szCs w:val="18"/>
                <w:color w:val="4D4D4F"/>
                <w:w w:val="99"/>
              </w:rPr>
              <w:t>2,994,444</w:t>
            </w:r>
          </w:p>
        </w:tc>
        <w:tc>
          <w:tcPr>
            <w:tcW w:w="2000" w:type="dxa"/>
            <w:vAlign w:val="bottom"/>
          </w:tcPr>
          <w:p>
            <w:pPr>
              <w:jc w:val="right"/>
              <w:ind w:right="661"/>
              <w:spacing w:after="0" w:line="203" w:lineRule="exact"/>
              <w:rPr>
                <w:sz w:val="20"/>
                <w:szCs w:val="20"/>
                <w:color w:val="auto"/>
              </w:rPr>
            </w:pPr>
            <w:r>
              <w:rPr>
                <w:rFonts w:ascii="Arial" w:cs="Arial" w:eastAsia="Arial" w:hAnsi="Arial"/>
                <w:sz w:val="18"/>
                <w:szCs w:val="18"/>
                <w:color w:val="4D4D4F"/>
              </w:rPr>
              <w:t>$13.95</w:t>
            </w:r>
          </w:p>
        </w:tc>
        <w:tc>
          <w:tcPr>
            <w:tcW w:w="2600" w:type="dxa"/>
            <w:vAlign w:val="bottom"/>
          </w:tcPr>
          <w:p>
            <w:pPr>
              <w:jc w:val="center"/>
              <w:spacing w:after="0" w:line="203" w:lineRule="exact"/>
              <w:rPr>
                <w:sz w:val="20"/>
                <w:szCs w:val="20"/>
                <w:color w:val="auto"/>
              </w:rPr>
            </w:pPr>
            <w:r>
              <w:rPr>
                <w:rFonts w:ascii="Arial" w:cs="Arial" w:eastAsia="Arial" w:hAnsi="Arial"/>
                <w:sz w:val="18"/>
                <w:szCs w:val="18"/>
                <w:color w:val="4D4D4F"/>
                <w:w w:val="98"/>
              </w:rPr>
              <w:t>591,332</w:t>
            </w:r>
          </w:p>
        </w:tc>
      </w:tr>
      <w:tr>
        <w:trPr>
          <w:trHeight w:val="202"/>
        </w:trPr>
        <w:tc>
          <w:tcPr>
            <w:tcW w:w="4100" w:type="dxa"/>
            <w:vAlign w:val="bottom"/>
            <w:shd w:val="clear" w:color="auto" w:fill="CCEEFF"/>
          </w:tcPr>
          <w:p>
            <w:pPr>
              <w:spacing w:after="0" w:line="201" w:lineRule="exact"/>
              <w:rPr>
                <w:sz w:val="20"/>
                <w:szCs w:val="20"/>
                <w:color w:val="auto"/>
              </w:rPr>
            </w:pPr>
            <w:r>
              <w:rPr>
                <w:rFonts w:ascii="Arial" w:cs="Arial" w:eastAsia="Arial" w:hAnsi="Arial"/>
                <w:sz w:val="18"/>
                <w:szCs w:val="18"/>
                <w:color w:val="4D4D4F"/>
              </w:rPr>
              <w:t>Equity compensation plans not approved by</w:t>
            </w:r>
          </w:p>
        </w:tc>
        <w:tc>
          <w:tcPr>
            <w:tcW w:w="254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2600" w:type="dxa"/>
            <w:vAlign w:val="bottom"/>
            <w:shd w:val="clear" w:color="auto" w:fill="CCEEFF"/>
          </w:tcPr>
          <w:p>
            <w:pPr>
              <w:spacing w:after="0"/>
              <w:rPr>
                <w:sz w:val="17"/>
                <w:szCs w:val="17"/>
                <w:color w:val="auto"/>
              </w:rPr>
            </w:pPr>
          </w:p>
        </w:tc>
      </w:tr>
      <w:tr>
        <w:trPr>
          <w:trHeight w:val="203"/>
        </w:trPr>
        <w:tc>
          <w:tcPr>
            <w:tcW w:w="4100" w:type="dxa"/>
            <w:vAlign w:val="bottom"/>
            <w:shd w:val="clear" w:color="auto" w:fill="CCEEFF"/>
          </w:tcPr>
          <w:p>
            <w:pPr>
              <w:ind w:left="140"/>
              <w:spacing w:after="0" w:line="203" w:lineRule="exact"/>
              <w:rPr>
                <w:sz w:val="20"/>
                <w:szCs w:val="20"/>
                <w:color w:val="auto"/>
              </w:rPr>
            </w:pPr>
            <w:r>
              <w:rPr>
                <w:rFonts w:ascii="Arial" w:cs="Arial" w:eastAsia="Arial" w:hAnsi="Arial"/>
                <w:sz w:val="18"/>
                <w:szCs w:val="18"/>
                <w:color w:val="4D4D4F"/>
              </w:rPr>
              <w:t>stockholders(3)</w:t>
            </w:r>
          </w:p>
        </w:tc>
        <w:tc>
          <w:tcPr>
            <w:tcW w:w="2540" w:type="dxa"/>
            <w:vAlign w:val="bottom"/>
            <w:shd w:val="clear" w:color="auto" w:fill="CCEEFF"/>
          </w:tcPr>
          <w:p>
            <w:pPr>
              <w:jc w:val="center"/>
              <w:ind w:left="261"/>
              <w:spacing w:after="0" w:line="203" w:lineRule="exact"/>
              <w:rPr>
                <w:sz w:val="20"/>
                <w:szCs w:val="20"/>
                <w:color w:val="auto"/>
              </w:rPr>
            </w:pPr>
            <w:r>
              <w:rPr>
                <w:rFonts w:ascii="Arial" w:cs="Arial" w:eastAsia="Arial" w:hAnsi="Arial"/>
                <w:sz w:val="18"/>
                <w:szCs w:val="18"/>
                <w:color w:val="4D4D4F"/>
                <w:w w:val="99"/>
              </w:rPr>
              <w:t>1,033,005</w:t>
            </w:r>
          </w:p>
        </w:tc>
        <w:tc>
          <w:tcPr>
            <w:tcW w:w="2000" w:type="dxa"/>
            <w:vAlign w:val="bottom"/>
            <w:shd w:val="clear" w:color="auto" w:fill="CCEEFF"/>
          </w:tcPr>
          <w:p>
            <w:pPr>
              <w:jc w:val="right"/>
              <w:ind w:right="761"/>
              <w:spacing w:after="0" w:line="203" w:lineRule="exact"/>
              <w:rPr>
                <w:sz w:val="20"/>
                <w:szCs w:val="20"/>
                <w:color w:val="auto"/>
              </w:rPr>
            </w:pPr>
            <w:r>
              <w:rPr>
                <w:rFonts w:ascii="Arial" w:cs="Arial" w:eastAsia="Arial" w:hAnsi="Arial"/>
                <w:sz w:val="18"/>
                <w:szCs w:val="18"/>
                <w:color w:val="4D4D4F"/>
              </w:rPr>
              <w:t>1.35</w:t>
            </w:r>
          </w:p>
        </w:tc>
        <w:tc>
          <w:tcPr>
            <w:tcW w:w="26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4D4D4F"/>
                <w:w w:val="99"/>
              </w:rPr>
              <w:t>—</w:t>
            </w:r>
          </w:p>
        </w:tc>
      </w:tr>
      <w:tr>
        <w:trPr>
          <w:trHeight w:val="283"/>
        </w:trPr>
        <w:tc>
          <w:tcPr>
            <w:tcW w:w="4100" w:type="dxa"/>
            <w:vAlign w:val="bottom"/>
          </w:tcPr>
          <w:p>
            <w:pPr>
              <w:spacing w:after="0"/>
              <w:rPr>
                <w:sz w:val="20"/>
                <w:szCs w:val="20"/>
                <w:color w:val="auto"/>
              </w:rPr>
            </w:pPr>
            <w:r>
              <w:rPr>
                <w:rFonts w:ascii="Arial" w:cs="Arial" w:eastAsia="Arial" w:hAnsi="Arial"/>
                <w:sz w:val="18"/>
                <w:szCs w:val="18"/>
                <w:color w:val="4D4D4F"/>
              </w:rPr>
              <w:t>Totals</w:t>
            </w:r>
          </w:p>
        </w:tc>
        <w:tc>
          <w:tcPr>
            <w:tcW w:w="2540" w:type="dxa"/>
            <w:vAlign w:val="bottom"/>
          </w:tcPr>
          <w:p>
            <w:pPr>
              <w:jc w:val="center"/>
              <w:ind w:left="261"/>
              <w:spacing w:after="0"/>
              <w:rPr>
                <w:sz w:val="20"/>
                <w:szCs w:val="20"/>
                <w:color w:val="auto"/>
              </w:rPr>
            </w:pPr>
            <w:r>
              <w:rPr>
                <w:rFonts w:ascii="Arial" w:cs="Arial" w:eastAsia="Arial" w:hAnsi="Arial"/>
                <w:sz w:val="18"/>
                <w:szCs w:val="18"/>
                <w:color w:val="4D4D4F"/>
                <w:w w:val="99"/>
              </w:rPr>
              <w:t>4,027,449</w:t>
            </w:r>
          </w:p>
        </w:tc>
        <w:tc>
          <w:tcPr>
            <w:tcW w:w="2000" w:type="dxa"/>
            <w:vAlign w:val="bottom"/>
          </w:tcPr>
          <w:p>
            <w:pPr>
              <w:jc w:val="center"/>
              <w:ind w:right="1"/>
              <w:spacing w:after="0"/>
              <w:rPr>
                <w:sz w:val="20"/>
                <w:szCs w:val="20"/>
                <w:color w:val="auto"/>
              </w:rPr>
            </w:pPr>
            <w:r>
              <w:rPr>
                <w:rFonts w:ascii="Arial" w:cs="Arial" w:eastAsia="Arial" w:hAnsi="Arial"/>
                <w:sz w:val="18"/>
                <w:szCs w:val="18"/>
                <w:color w:val="auto"/>
              </w:rPr>
              <w:t>$10.72</w:t>
            </w:r>
          </w:p>
        </w:tc>
        <w:tc>
          <w:tcPr>
            <w:tcW w:w="2600" w:type="dxa"/>
            <w:vAlign w:val="bottom"/>
          </w:tcPr>
          <w:p>
            <w:pPr>
              <w:jc w:val="center"/>
              <w:spacing w:after="0"/>
              <w:rPr>
                <w:sz w:val="20"/>
                <w:szCs w:val="20"/>
                <w:color w:val="auto"/>
              </w:rPr>
            </w:pPr>
            <w:r>
              <w:rPr>
                <w:rFonts w:ascii="Arial" w:cs="Arial" w:eastAsia="Arial" w:hAnsi="Arial"/>
                <w:sz w:val="18"/>
                <w:szCs w:val="18"/>
                <w:color w:val="4D4D4F"/>
                <w:w w:val="98"/>
              </w:rPr>
              <w:t>591,332</w:t>
            </w:r>
          </w:p>
        </w:tc>
      </w:tr>
    </w:tbl>
    <w:p>
      <w:pPr>
        <w:spacing w:after="0" w:line="5" w:lineRule="exact"/>
        <w:rPr>
          <w:sz w:val="20"/>
          <w:szCs w:val="20"/>
          <w:color w:val="auto"/>
        </w:rPr>
      </w:pPr>
    </w:p>
    <w:p>
      <w:pPr>
        <w:ind w:left="340" w:hanging="332"/>
        <w:spacing w:after="0"/>
        <w:tabs>
          <w:tab w:leader="none" w:pos="340" w:val="left"/>
        </w:tabs>
        <w:numPr>
          <w:ilvl w:val="0"/>
          <w:numId w:val="60"/>
        </w:numPr>
        <w:rPr>
          <w:rFonts w:ascii="Arial" w:cs="Arial" w:eastAsia="Arial" w:hAnsi="Arial"/>
          <w:sz w:val="14"/>
          <w:szCs w:val="14"/>
          <w:color w:val="4D4D4F"/>
        </w:rPr>
      </w:pPr>
      <w:r>
        <w:rPr>
          <w:rFonts w:ascii="Arial" w:cs="Arial" w:eastAsia="Arial" w:hAnsi="Arial"/>
          <w:sz w:val="14"/>
          <w:szCs w:val="14"/>
          <w:color w:val="4D4D4F"/>
        </w:rPr>
        <w:t>Consists of shares of Class A common stock available at December 31, 2020 for awards under our 2016 Omnibus Incentive Plan. Excludes securities reflected in column</w:t>
      </w:r>
    </w:p>
    <w:p>
      <w:pPr>
        <w:spacing w:after="0" w:line="1" w:lineRule="exact"/>
        <w:rPr>
          <w:rFonts w:ascii="Arial" w:cs="Arial" w:eastAsia="Arial" w:hAnsi="Arial"/>
          <w:sz w:val="14"/>
          <w:szCs w:val="14"/>
          <w:color w:val="4D4D4F"/>
        </w:rPr>
      </w:pPr>
    </w:p>
    <w:p>
      <w:pPr>
        <w:ind w:left="340"/>
        <w:spacing w:after="0"/>
        <w:rPr>
          <w:rFonts w:ascii="Arial" w:cs="Arial" w:eastAsia="Arial" w:hAnsi="Arial"/>
          <w:sz w:val="14"/>
          <w:szCs w:val="14"/>
          <w:color w:val="4D4D4F"/>
        </w:rPr>
      </w:pPr>
      <w:r>
        <w:rPr>
          <w:rFonts w:ascii="Arial" w:cs="Arial" w:eastAsia="Arial" w:hAnsi="Arial"/>
          <w:sz w:val="14"/>
          <w:szCs w:val="14"/>
          <w:color w:val="4D4D4F"/>
        </w:rPr>
        <w:t>(a). Under the terms of the 2016 Omnibus Incentive Plan, 747,971 shares became available for grant effective as of January 1, 2021.</w:t>
      </w:r>
    </w:p>
    <w:p>
      <w:pPr>
        <w:spacing w:after="0" w:line="55" w:lineRule="exact"/>
        <w:rPr>
          <w:rFonts w:ascii="Arial" w:cs="Arial" w:eastAsia="Arial" w:hAnsi="Arial"/>
          <w:sz w:val="14"/>
          <w:szCs w:val="14"/>
          <w:color w:val="4D4D4F"/>
        </w:rPr>
      </w:pPr>
    </w:p>
    <w:p>
      <w:pPr>
        <w:ind w:left="340" w:hanging="332"/>
        <w:spacing w:after="0"/>
        <w:tabs>
          <w:tab w:leader="none" w:pos="340" w:val="left"/>
        </w:tabs>
        <w:numPr>
          <w:ilvl w:val="0"/>
          <w:numId w:val="60"/>
        </w:numPr>
        <w:rPr>
          <w:rFonts w:ascii="Arial" w:cs="Arial" w:eastAsia="Arial" w:hAnsi="Arial"/>
          <w:sz w:val="14"/>
          <w:szCs w:val="14"/>
          <w:color w:val="4D4D4F"/>
        </w:rPr>
      </w:pPr>
      <w:r>
        <w:rPr>
          <w:rFonts w:ascii="Arial" w:cs="Arial" w:eastAsia="Arial" w:hAnsi="Arial"/>
          <w:sz w:val="14"/>
          <w:szCs w:val="14"/>
          <w:color w:val="4D4D4F"/>
        </w:rPr>
        <w:t>Consists of awards issued or issuable under our 2016 Omnibus Incentive Plan and 1998 Stock Option Plan.</w:t>
      </w:r>
    </w:p>
    <w:p>
      <w:pPr>
        <w:spacing w:after="0" w:line="55" w:lineRule="exact"/>
        <w:rPr>
          <w:rFonts w:ascii="Arial" w:cs="Arial" w:eastAsia="Arial" w:hAnsi="Arial"/>
          <w:sz w:val="14"/>
          <w:szCs w:val="14"/>
          <w:color w:val="4D4D4F"/>
        </w:rPr>
      </w:pPr>
    </w:p>
    <w:p>
      <w:pPr>
        <w:ind w:left="340" w:hanging="332"/>
        <w:spacing w:after="0"/>
        <w:tabs>
          <w:tab w:leader="none" w:pos="340" w:val="left"/>
        </w:tabs>
        <w:numPr>
          <w:ilvl w:val="0"/>
          <w:numId w:val="60"/>
        </w:numPr>
        <w:rPr>
          <w:rFonts w:ascii="Arial" w:cs="Arial" w:eastAsia="Arial" w:hAnsi="Arial"/>
          <w:sz w:val="14"/>
          <w:szCs w:val="14"/>
          <w:color w:val="4D4D4F"/>
        </w:rPr>
      </w:pPr>
      <w:r>
        <w:rPr>
          <w:rFonts w:ascii="Arial" w:cs="Arial" w:eastAsia="Arial" w:hAnsi="Arial"/>
          <w:sz w:val="14"/>
          <w:szCs w:val="14"/>
          <w:color w:val="4D4D4F"/>
        </w:rPr>
        <w:t>Consists of non-qualified stock option agreements granted between 2007 and 2015 outside of any equity incentive plan.</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0079C0"/>
        </w:rPr>
        <w:t>CEO Pay Ratio</w:t>
      </w:r>
    </w:p>
    <w:p>
      <w:pPr>
        <w:spacing w:after="0" w:line="238" w:lineRule="exact"/>
        <w:rPr>
          <w:sz w:val="20"/>
          <w:szCs w:val="20"/>
          <w:color w:val="auto"/>
        </w:rPr>
      </w:pPr>
    </w:p>
    <w:p>
      <w:pPr>
        <w:jc w:val="both"/>
        <w:spacing w:after="0"/>
        <w:rPr>
          <w:sz w:val="20"/>
          <w:szCs w:val="20"/>
          <w:color w:val="auto"/>
        </w:rPr>
      </w:pPr>
      <w:r>
        <w:rPr>
          <w:rFonts w:ascii="Arial" w:cs="Arial" w:eastAsia="Arial" w:hAnsi="Arial"/>
          <w:sz w:val="18"/>
          <w:szCs w:val="18"/>
          <w:color w:val="4D4D4F"/>
        </w:rPr>
        <w:t>As required by applicable SEC rules, we are providing the following information about the relationship of the annual total compensation of our median compensated employee and the annual total compensation of David Wang, our chief executive officer as of December 31, 2020, or our CEO. For 2020, our last completed fiscal year:</w:t>
      </w:r>
    </w:p>
    <w:p>
      <w:pPr>
        <w:spacing w:after="0" w:line="41" w:lineRule="exact"/>
        <w:rPr>
          <w:sz w:val="20"/>
          <w:szCs w:val="20"/>
          <w:color w:val="auto"/>
        </w:rPr>
      </w:pPr>
    </w:p>
    <w:p>
      <w:pPr>
        <w:ind w:left="340" w:hanging="332"/>
        <w:spacing w:after="0"/>
        <w:tabs>
          <w:tab w:leader="none" w:pos="340" w:val="left"/>
        </w:tabs>
        <w:numPr>
          <w:ilvl w:val="0"/>
          <w:numId w:val="61"/>
        </w:numPr>
        <w:rPr>
          <w:rFonts w:ascii="Arial" w:cs="Arial" w:eastAsia="Arial" w:hAnsi="Arial"/>
          <w:sz w:val="18"/>
          <w:szCs w:val="18"/>
          <w:color w:val="4D4D4F"/>
        </w:rPr>
      </w:pPr>
      <w:r>
        <w:rPr>
          <w:rFonts w:ascii="Arial" w:cs="Arial" w:eastAsia="Arial" w:hAnsi="Arial"/>
          <w:sz w:val="18"/>
          <w:szCs w:val="18"/>
          <w:color w:val="4D4D4F"/>
        </w:rPr>
        <w:t>the annual total compensation of our median compensated employee (other than our CEO) was $18,075; and</w:t>
      </w:r>
    </w:p>
    <w:p>
      <w:pPr>
        <w:spacing w:after="0" w:line="90" w:lineRule="exact"/>
        <w:rPr>
          <w:rFonts w:ascii="Arial" w:cs="Arial" w:eastAsia="Arial" w:hAnsi="Arial"/>
          <w:sz w:val="18"/>
          <w:szCs w:val="18"/>
          <w:color w:val="4D4D4F"/>
        </w:rPr>
      </w:pPr>
    </w:p>
    <w:p>
      <w:pPr>
        <w:ind w:left="340" w:hanging="332"/>
        <w:spacing w:after="0"/>
        <w:tabs>
          <w:tab w:leader="none" w:pos="340" w:val="left"/>
        </w:tabs>
        <w:numPr>
          <w:ilvl w:val="0"/>
          <w:numId w:val="61"/>
        </w:numPr>
        <w:rPr>
          <w:rFonts w:ascii="Arial" w:cs="Arial" w:eastAsia="Arial" w:hAnsi="Arial"/>
          <w:sz w:val="18"/>
          <w:szCs w:val="18"/>
          <w:color w:val="4D4D4F"/>
        </w:rPr>
      </w:pPr>
      <w:r>
        <w:rPr>
          <w:rFonts w:ascii="Arial" w:cs="Arial" w:eastAsia="Arial" w:hAnsi="Arial"/>
          <w:sz w:val="18"/>
          <w:szCs w:val="18"/>
          <w:color w:val="4D4D4F"/>
        </w:rPr>
        <w:t>the annual total compensation of our CEO, for the purposes of this disclosure, was $5,369,089.</w:t>
      </w:r>
    </w:p>
    <w:p>
      <w:pPr>
        <w:spacing w:after="0" w:line="90" w:lineRule="exact"/>
        <w:rPr>
          <w:sz w:val="20"/>
          <w:szCs w:val="20"/>
          <w:color w:val="auto"/>
        </w:rPr>
      </w:pPr>
    </w:p>
    <w:p>
      <w:pPr>
        <w:spacing w:after="0" w:line="246" w:lineRule="auto"/>
        <w:rPr>
          <w:sz w:val="20"/>
          <w:szCs w:val="20"/>
          <w:color w:val="auto"/>
        </w:rPr>
      </w:pPr>
      <w:r>
        <w:rPr>
          <w:rFonts w:ascii="Arial" w:cs="Arial" w:eastAsia="Arial" w:hAnsi="Arial"/>
          <w:sz w:val="18"/>
          <w:szCs w:val="18"/>
          <w:color w:val="4D4D4F"/>
        </w:rPr>
        <w:t>Based on this information, for 2020 the ratio of the annual total compensation of our CEO to the annual total compensation of our median compensated employee was 297 to 1.</w:t>
      </w:r>
    </w:p>
    <w:p>
      <w:pPr>
        <w:spacing w:after="0" w:line="156" w:lineRule="exact"/>
        <w:rPr>
          <w:sz w:val="20"/>
          <w:szCs w:val="20"/>
          <w:color w:val="auto"/>
        </w:rPr>
      </w:pPr>
    </w:p>
    <w:p>
      <w:pPr>
        <w:spacing w:after="0" w:line="246" w:lineRule="auto"/>
        <w:rPr>
          <w:sz w:val="20"/>
          <w:szCs w:val="20"/>
          <w:color w:val="auto"/>
        </w:rPr>
      </w:pPr>
      <w:r>
        <w:rPr>
          <w:rFonts w:ascii="Arial" w:cs="Arial" w:eastAsia="Arial" w:hAnsi="Arial"/>
          <w:sz w:val="18"/>
          <w:szCs w:val="18"/>
          <w:color w:val="4D4D4F"/>
        </w:rPr>
        <w:t>We took the following steps to identify our median compensated employee, as well as to determine the annual total compensation of our median employee and our CEO.</w:t>
      </w:r>
    </w:p>
    <w:p>
      <w:pPr>
        <w:spacing w:after="0" w:line="35" w:lineRule="exact"/>
        <w:rPr>
          <w:sz w:val="20"/>
          <w:szCs w:val="20"/>
          <w:color w:val="auto"/>
        </w:rPr>
      </w:pPr>
    </w:p>
    <w:p>
      <w:pPr>
        <w:ind w:left="340" w:hanging="332"/>
        <w:spacing w:after="0" w:line="246" w:lineRule="auto"/>
        <w:tabs>
          <w:tab w:leader="none" w:pos="340" w:val="left"/>
        </w:tabs>
        <w:numPr>
          <w:ilvl w:val="0"/>
          <w:numId w:val="62"/>
        </w:numPr>
        <w:rPr>
          <w:rFonts w:ascii="Arial" w:cs="Arial" w:eastAsia="Arial" w:hAnsi="Arial"/>
          <w:sz w:val="18"/>
          <w:szCs w:val="18"/>
          <w:color w:val="4D4D4F"/>
        </w:rPr>
      </w:pPr>
      <w:r>
        <w:rPr>
          <w:rFonts w:ascii="Arial" w:cs="Arial" w:eastAsia="Arial" w:hAnsi="Arial"/>
          <w:sz w:val="18"/>
          <w:szCs w:val="18"/>
          <w:color w:val="4D4D4F"/>
        </w:rPr>
        <w:t>We determined that, as of December 31, 2020, our employee population consisted of 543 individuals. This population consisted of our full-time, part-time and temporary employees employed with us as of the determination date.</w:t>
      </w:r>
    </w:p>
    <w:p>
      <w:pPr>
        <w:spacing w:after="0" w:line="34" w:lineRule="exact"/>
        <w:rPr>
          <w:rFonts w:ascii="Arial" w:cs="Arial" w:eastAsia="Arial" w:hAnsi="Arial"/>
          <w:sz w:val="18"/>
          <w:szCs w:val="18"/>
          <w:color w:val="4D4D4F"/>
        </w:rPr>
      </w:pPr>
    </w:p>
    <w:p>
      <w:pPr>
        <w:jc w:val="both"/>
        <w:ind w:left="340" w:hanging="332"/>
        <w:spacing w:after="0" w:line="238" w:lineRule="auto"/>
        <w:tabs>
          <w:tab w:leader="none" w:pos="340" w:val="left"/>
        </w:tabs>
        <w:numPr>
          <w:ilvl w:val="0"/>
          <w:numId w:val="62"/>
        </w:numPr>
        <w:rPr>
          <w:rFonts w:ascii="Arial" w:cs="Arial" w:eastAsia="Arial" w:hAnsi="Arial"/>
          <w:sz w:val="18"/>
          <w:szCs w:val="18"/>
          <w:color w:val="4D4D4F"/>
        </w:rPr>
      </w:pPr>
      <w:r>
        <w:rPr>
          <w:rFonts w:ascii="Arial" w:cs="Arial" w:eastAsia="Arial" w:hAnsi="Arial"/>
          <w:sz w:val="18"/>
          <w:szCs w:val="18"/>
          <w:color w:val="4D4D4F"/>
        </w:rPr>
        <w:t>To identify the “median employee” from our employee population, we aggregated for each applicable employee, other than our CEO, (a) annual base salary (or hourly rate multiplied by estimated work schedule, for hourly employees), (b) the bonus amount earned for 2020, which was paid out in early 2021, and (c) the grant date fair value of equity awards granted in 2020. Once aggregated, we ranked this compensation measure for our employees from lowest to highest and selected the median employee.</w:t>
      </w:r>
    </w:p>
    <w:p>
      <w:pPr>
        <w:spacing w:after="0" w:line="42" w:lineRule="exact"/>
        <w:rPr>
          <w:rFonts w:ascii="Arial" w:cs="Arial" w:eastAsia="Arial" w:hAnsi="Arial"/>
          <w:sz w:val="18"/>
          <w:szCs w:val="18"/>
          <w:color w:val="4D4D4F"/>
        </w:rPr>
      </w:pPr>
    </w:p>
    <w:p>
      <w:pPr>
        <w:jc w:val="both"/>
        <w:ind w:left="340" w:hanging="332"/>
        <w:spacing w:after="0"/>
        <w:tabs>
          <w:tab w:leader="none" w:pos="340" w:val="left"/>
        </w:tabs>
        <w:numPr>
          <w:ilvl w:val="0"/>
          <w:numId w:val="62"/>
        </w:numPr>
        <w:rPr>
          <w:rFonts w:ascii="Arial" w:cs="Arial" w:eastAsia="Arial" w:hAnsi="Arial"/>
          <w:sz w:val="18"/>
          <w:szCs w:val="18"/>
          <w:color w:val="4D4D4F"/>
        </w:rPr>
      </w:pPr>
      <w:r>
        <w:rPr>
          <w:rFonts w:ascii="Arial" w:cs="Arial" w:eastAsia="Arial" w:hAnsi="Arial"/>
          <w:sz w:val="18"/>
          <w:szCs w:val="18"/>
          <w:color w:val="4D4D4F"/>
        </w:rPr>
        <w:t>For the annual total compensation of our median employee, we identified and calculated the elements of that employee’s compensation for 2020 in accordance with the requirements of Item 402(c)(2)(x) of Regulation S-K of the SEC, resulting in annual total compensation of $18,075.</w:t>
      </w:r>
    </w:p>
    <w:p>
      <w:pPr>
        <w:spacing w:after="0" w:line="16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4D4D4F"/>
        </w:rPr>
        <w:t>The pay ratio reported above is a reasonable estimate calculated in a manner consistent with SEC rules based on our internal records and the methodology described above. SEC rules for identifying the median compensated employee and calculating the pay ratio based on that employee’s annual total compensation allow companies to adopt a variety of methodologies, to apply certain exclusions, and to make reasonable estimates and assumptions reflecting their employee populations and compensation practices. The pay ratios reported by other companies may not be comparable to the pay ratio reported above, as those companies have different employee populations and compensation practices and may utilize different methodologies, exclusions, estimates and assumptions in calculating their pay ratios.</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3" w:name="page44"/>
    <w:bookmarkEnd w:id="43"/>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3E64"/>
        </w:rPr>
        <w:t>Compensation Discussion and Analysis</w:t>
      </w:r>
    </w:p>
    <w:p>
      <w:pPr>
        <w:spacing w:after="0" w:line="309" w:lineRule="exact"/>
        <w:rPr>
          <w:sz w:val="20"/>
          <w:szCs w:val="20"/>
          <w:color w:val="auto"/>
        </w:rPr>
      </w:pPr>
    </w:p>
    <w:p>
      <w:pPr>
        <w:spacing w:after="0" w:line="246" w:lineRule="auto"/>
        <w:rPr>
          <w:sz w:val="20"/>
          <w:szCs w:val="20"/>
          <w:color w:val="auto"/>
        </w:rPr>
      </w:pPr>
      <w:r>
        <w:rPr>
          <w:rFonts w:ascii="Arial" w:cs="Arial" w:eastAsia="Arial" w:hAnsi="Arial"/>
          <w:sz w:val="18"/>
          <w:szCs w:val="18"/>
          <w:color w:val="4D4D4F"/>
        </w:rPr>
        <w:t>This Compensation Discussion and Analysis explains our executive compensation program as it relates to our NEOs, whose compensation information is presented in the following tables and discussion in accordance with SEC rules:</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color w:val="0079C0"/>
        </w:rPr>
        <w:t>Fiscal Year 2020 NEOs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20" w:type="dxa"/>
            <w:vAlign w:val="bottom"/>
            <w:shd w:val="clear" w:color="auto" w:fill="003E64"/>
          </w:tcPr>
          <w:p>
            <w:pPr>
              <w:spacing w:after="0"/>
              <w:rPr>
                <w:sz w:val="20"/>
                <w:szCs w:val="20"/>
                <w:color w:val="auto"/>
              </w:rPr>
            </w:pPr>
            <w:r>
              <w:rPr>
                <w:rFonts w:ascii="Arial" w:cs="Arial" w:eastAsia="Arial" w:hAnsi="Arial"/>
                <w:sz w:val="14"/>
                <w:szCs w:val="14"/>
                <w:b w:val="1"/>
                <w:bCs w:val="1"/>
                <w:color w:val="FFFFFF"/>
              </w:rPr>
              <w:t>Named Executive Officer</w:t>
            </w:r>
          </w:p>
        </w:tc>
        <w:tc>
          <w:tcPr>
            <w:tcW w:w="8420" w:type="dxa"/>
            <w:vAlign w:val="bottom"/>
            <w:shd w:val="clear" w:color="auto" w:fill="003E64"/>
          </w:tcPr>
          <w:p>
            <w:pPr>
              <w:ind w:left="1140"/>
              <w:spacing w:after="0"/>
              <w:rPr>
                <w:sz w:val="20"/>
                <w:szCs w:val="20"/>
                <w:color w:val="auto"/>
              </w:rPr>
            </w:pPr>
            <w:r>
              <w:rPr>
                <w:rFonts w:ascii="Arial" w:cs="Arial" w:eastAsia="Arial" w:hAnsi="Arial"/>
                <w:sz w:val="14"/>
                <w:szCs w:val="14"/>
                <w:b w:val="1"/>
                <w:bCs w:val="1"/>
                <w:color w:val="FFFFFF"/>
              </w:rPr>
              <w:t>Position(s)</w:t>
            </w:r>
          </w:p>
        </w:tc>
      </w:tr>
      <w:tr>
        <w:trPr>
          <w:trHeight w:val="203"/>
        </w:trPr>
        <w:tc>
          <w:tcPr>
            <w:tcW w:w="2820" w:type="dxa"/>
            <w:vAlign w:val="bottom"/>
          </w:tcPr>
          <w:p>
            <w:pPr>
              <w:spacing w:after="0" w:line="202" w:lineRule="exact"/>
              <w:rPr>
                <w:sz w:val="20"/>
                <w:szCs w:val="20"/>
                <w:color w:val="auto"/>
              </w:rPr>
            </w:pPr>
            <w:r>
              <w:rPr>
                <w:rFonts w:ascii="Arial" w:cs="Arial" w:eastAsia="Arial" w:hAnsi="Arial"/>
                <w:sz w:val="18"/>
                <w:szCs w:val="18"/>
                <w:color w:val="4D4D4F"/>
              </w:rPr>
              <w:t>David H. Wang</w:t>
            </w:r>
          </w:p>
        </w:tc>
        <w:tc>
          <w:tcPr>
            <w:tcW w:w="8420" w:type="dxa"/>
            <w:vAlign w:val="bottom"/>
          </w:tcPr>
          <w:p>
            <w:pPr>
              <w:ind w:left="1140"/>
              <w:spacing w:after="0" w:line="202" w:lineRule="exact"/>
              <w:rPr>
                <w:sz w:val="20"/>
                <w:szCs w:val="20"/>
                <w:color w:val="auto"/>
              </w:rPr>
            </w:pPr>
            <w:r>
              <w:rPr>
                <w:rFonts w:ascii="Arial" w:cs="Arial" w:eastAsia="Arial" w:hAnsi="Arial"/>
                <w:sz w:val="18"/>
                <w:szCs w:val="18"/>
                <w:color w:val="4D4D4F"/>
              </w:rPr>
              <w:t>Chief Executive Officer and President</w:t>
            </w:r>
          </w:p>
        </w:tc>
      </w:tr>
      <w:tr>
        <w:trPr>
          <w:trHeight w:val="203"/>
        </w:trPr>
        <w:tc>
          <w:tcPr>
            <w:tcW w:w="2820" w:type="dxa"/>
            <w:vAlign w:val="bottom"/>
            <w:shd w:val="clear" w:color="auto" w:fill="B7E4FF"/>
          </w:tcPr>
          <w:p>
            <w:pPr>
              <w:spacing w:after="0" w:line="202" w:lineRule="exact"/>
              <w:rPr>
                <w:sz w:val="20"/>
                <w:szCs w:val="20"/>
                <w:color w:val="auto"/>
              </w:rPr>
            </w:pPr>
            <w:r>
              <w:rPr>
                <w:rFonts w:ascii="Arial" w:cs="Arial" w:eastAsia="Arial" w:hAnsi="Arial"/>
                <w:sz w:val="18"/>
                <w:szCs w:val="18"/>
                <w:color w:val="4D4D4F"/>
              </w:rPr>
              <w:t>Mark McKechnie</w:t>
            </w:r>
          </w:p>
        </w:tc>
        <w:tc>
          <w:tcPr>
            <w:tcW w:w="8420" w:type="dxa"/>
            <w:vAlign w:val="bottom"/>
            <w:shd w:val="clear" w:color="auto" w:fill="B7E4FF"/>
          </w:tcPr>
          <w:p>
            <w:pPr>
              <w:ind w:left="1140"/>
              <w:spacing w:after="0" w:line="202" w:lineRule="exact"/>
              <w:rPr>
                <w:sz w:val="20"/>
                <w:szCs w:val="20"/>
                <w:color w:val="auto"/>
              </w:rPr>
            </w:pPr>
            <w:r>
              <w:rPr>
                <w:rFonts w:ascii="Arial" w:cs="Arial" w:eastAsia="Arial" w:hAnsi="Arial"/>
                <w:sz w:val="18"/>
                <w:szCs w:val="18"/>
                <w:color w:val="4D4D4F"/>
              </w:rPr>
              <w:t>Chief Financial Officer and Treasurer</w:t>
            </w:r>
          </w:p>
        </w:tc>
      </w:tr>
      <w:tr>
        <w:trPr>
          <w:trHeight w:val="203"/>
        </w:trPr>
        <w:tc>
          <w:tcPr>
            <w:tcW w:w="2820" w:type="dxa"/>
            <w:vAlign w:val="bottom"/>
          </w:tcPr>
          <w:p>
            <w:pPr>
              <w:spacing w:after="0" w:line="202" w:lineRule="exact"/>
              <w:rPr>
                <w:sz w:val="20"/>
                <w:szCs w:val="20"/>
                <w:color w:val="auto"/>
              </w:rPr>
            </w:pPr>
            <w:r>
              <w:rPr>
                <w:rFonts w:ascii="Arial" w:cs="Arial" w:eastAsia="Arial" w:hAnsi="Arial"/>
                <w:sz w:val="18"/>
                <w:szCs w:val="18"/>
                <w:color w:val="4D4D4F"/>
              </w:rPr>
              <w:t>Jian Wang</w:t>
            </w:r>
          </w:p>
        </w:tc>
        <w:tc>
          <w:tcPr>
            <w:tcW w:w="8420" w:type="dxa"/>
            <w:vAlign w:val="bottom"/>
          </w:tcPr>
          <w:p>
            <w:pPr>
              <w:ind w:left="1140"/>
              <w:spacing w:after="0" w:line="202" w:lineRule="exact"/>
              <w:rPr>
                <w:sz w:val="20"/>
                <w:szCs w:val="20"/>
                <w:color w:val="auto"/>
              </w:rPr>
            </w:pPr>
            <w:r>
              <w:rPr>
                <w:rFonts w:ascii="Arial" w:cs="Arial" w:eastAsia="Arial" w:hAnsi="Arial"/>
                <w:sz w:val="18"/>
                <w:szCs w:val="18"/>
                <w:color w:val="4D4D4F"/>
              </w:rPr>
              <w:t>Chief Executive Oﬃcer and President, ACM Research (Shanghai), Inc.</w:t>
            </w:r>
          </w:p>
        </w:tc>
      </w:tr>
      <w:tr>
        <w:trPr>
          <w:trHeight w:val="203"/>
        </w:trPr>
        <w:tc>
          <w:tcPr>
            <w:tcW w:w="2820" w:type="dxa"/>
            <w:vAlign w:val="bottom"/>
            <w:shd w:val="clear" w:color="auto" w:fill="B7E4FF"/>
          </w:tcPr>
          <w:p>
            <w:pPr>
              <w:spacing w:after="0" w:line="202" w:lineRule="exact"/>
              <w:rPr>
                <w:sz w:val="20"/>
                <w:szCs w:val="20"/>
                <w:color w:val="auto"/>
              </w:rPr>
            </w:pPr>
            <w:r>
              <w:rPr>
                <w:rFonts w:ascii="Arial" w:cs="Arial" w:eastAsia="Arial" w:hAnsi="Arial"/>
                <w:sz w:val="18"/>
                <w:szCs w:val="18"/>
                <w:color w:val="4D4D4F"/>
              </w:rPr>
              <w:t>Lisa Feng</w:t>
            </w:r>
          </w:p>
        </w:tc>
        <w:tc>
          <w:tcPr>
            <w:tcW w:w="8420" w:type="dxa"/>
            <w:vAlign w:val="bottom"/>
            <w:shd w:val="clear" w:color="auto" w:fill="B7E4FF"/>
          </w:tcPr>
          <w:p>
            <w:pPr>
              <w:ind w:left="1140"/>
              <w:spacing w:after="0" w:line="202" w:lineRule="exact"/>
              <w:rPr>
                <w:sz w:val="20"/>
                <w:szCs w:val="20"/>
                <w:color w:val="auto"/>
              </w:rPr>
            </w:pPr>
            <w:r>
              <w:rPr>
                <w:rFonts w:ascii="Arial" w:cs="Arial" w:eastAsia="Arial" w:hAnsi="Arial"/>
                <w:sz w:val="18"/>
                <w:szCs w:val="18"/>
                <w:color w:val="4D4D4F"/>
              </w:rPr>
              <w:t>Chief Financial Officer, ACM Research (Shanghai), Inc.</w:t>
            </w:r>
          </w:p>
        </w:tc>
      </w:tr>
      <w:tr>
        <w:trPr>
          <w:trHeight w:val="217"/>
        </w:trPr>
        <w:tc>
          <w:tcPr>
            <w:tcW w:w="2820" w:type="dxa"/>
            <w:vAlign w:val="bottom"/>
          </w:tcPr>
          <w:p>
            <w:pPr>
              <w:spacing w:after="0"/>
              <w:rPr>
                <w:sz w:val="20"/>
                <w:szCs w:val="20"/>
                <w:color w:val="auto"/>
              </w:rPr>
            </w:pPr>
            <w:r>
              <w:rPr>
                <w:rFonts w:ascii="Arial" w:cs="Arial" w:eastAsia="Arial" w:hAnsi="Arial"/>
                <w:sz w:val="18"/>
                <w:szCs w:val="18"/>
                <w:color w:val="4D4D4F"/>
              </w:rPr>
              <w:t>Fuping Chen</w:t>
            </w:r>
          </w:p>
        </w:tc>
        <w:tc>
          <w:tcPr>
            <w:tcW w:w="8420" w:type="dxa"/>
            <w:vAlign w:val="bottom"/>
          </w:tcPr>
          <w:p>
            <w:pPr>
              <w:ind w:left="1140"/>
              <w:spacing w:after="0"/>
              <w:rPr>
                <w:sz w:val="20"/>
                <w:szCs w:val="20"/>
                <w:color w:val="auto"/>
              </w:rPr>
            </w:pPr>
            <w:r>
              <w:rPr>
                <w:rFonts w:ascii="Arial" w:cs="Arial" w:eastAsia="Arial" w:hAnsi="Arial"/>
                <w:sz w:val="18"/>
                <w:szCs w:val="18"/>
                <w:color w:val="4D4D4F"/>
              </w:rPr>
              <w:t>Vice President, Sales—China, ACM Research (Shanghai), Inc.</w:t>
            </w: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4D4D4F"/>
        </w:rPr>
        <w:t>We are committed to sound NEO compensation policies and practices, as follows:</w:t>
      </w:r>
    </w:p>
    <w:p>
      <w:pPr>
        <w:spacing w:after="0" w:line="77" w:lineRule="exact"/>
        <w:rPr>
          <w:sz w:val="20"/>
          <w:szCs w:val="20"/>
          <w:color w:val="auto"/>
        </w:rPr>
      </w:pPr>
    </w:p>
    <w:p>
      <w:pPr>
        <w:ind w:left="340" w:hanging="332"/>
        <w:spacing w:after="0"/>
        <w:tabs>
          <w:tab w:leader="none" w:pos="340" w:val="left"/>
        </w:tabs>
        <w:numPr>
          <w:ilvl w:val="0"/>
          <w:numId w:val="63"/>
        </w:numPr>
        <w:rPr>
          <w:rFonts w:ascii="Arial" w:cs="Arial" w:eastAsia="Arial" w:hAnsi="Arial"/>
          <w:sz w:val="18"/>
          <w:szCs w:val="18"/>
          <w:color w:val="4D4D4F"/>
        </w:rPr>
      </w:pPr>
      <w:r>
        <w:rPr>
          <w:rFonts w:ascii="Arial" w:cs="Arial" w:eastAsia="Arial" w:hAnsi="Arial"/>
          <w:sz w:val="18"/>
          <w:szCs w:val="18"/>
          <w:color w:val="4D4D4F"/>
        </w:rPr>
        <w:t>prohibition on hedging, pledging, and short sales;</w:t>
      </w:r>
    </w:p>
    <w:p>
      <w:pPr>
        <w:spacing w:after="0" w:line="90" w:lineRule="exact"/>
        <w:rPr>
          <w:rFonts w:ascii="Arial" w:cs="Arial" w:eastAsia="Arial" w:hAnsi="Arial"/>
          <w:sz w:val="18"/>
          <w:szCs w:val="18"/>
          <w:color w:val="4D4D4F"/>
        </w:rPr>
      </w:pPr>
    </w:p>
    <w:p>
      <w:pPr>
        <w:ind w:left="340" w:hanging="332"/>
        <w:spacing w:after="0"/>
        <w:tabs>
          <w:tab w:leader="none" w:pos="340" w:val="left"/>
        </w:tabs>
        <w:numPr>
          <w:ilvl w:val="0"/>
          <w:numId w:val="63"/>
        </w:numPr>
        <w:rPr>
          <w:rFonts w:ascii="Arial" w:cs="Arial" w:eastAsia="Arial" w:hAnsi="Arial"/>
          <w:sz w:val="18"/>
          <w:szCs w:val="18"/>
          <w:color w:val="4D4D4F"/>
        </w:rPr>
      </w:pPr>
      <w:r>
        <w:rPr>
          <w:rFonts w:ascii="Arial" w:cs="Arial" w:eastAsia="Arial" w:hAnsi="Arial"/>
          <w:sz w:val="18"/>
          <w:szCs w:val="18"/>
          <w:color w:val="4D4D4F"/>
        </w:rPr>
        <w:t>no retirement vesting of equity awards;</w:t>
      </w:r>
    </w:p>
    <w:p>
      <w:pPr>
        <w:spacing w:after="0" w:line="90" w:lineRule="exact"/>
        <w:rPr>
          <w:rFonts w:ascii="Arial" w:cs="Arial" w:eastAsia="Arial" w:hAnsi="Arial"/>
          <w:sz w:val="18"/>
          <w:szCs w:val="18"/>
          <w:color w:val="4D4D4F"/>
        </w:rPr>
      </w:pPr>
    </w:p>
    <w:p>
      <w:pPr>
        <w:ind w:left="340" w:hanging="332"/>
        <w:spacing w:after="0"/>
        <w:tabs>
          <w:tab w:leader="none" w:pos="340" w:val="left"/>
        </w:tabs>
        <w:numPr>
          <w:ilvl w:val="0"/>
          <w:numId w:val="63"/>
        </w:numPr>
        <w:rPr>
          <w:rFonts w:ascii="Arial" w:cs="Arial" w:eastAsia="Arial" w:hAnsi="Arial"/>
          <w:sz w:val="18"/>
          <w:szCs w:val="18"/>
          <w:color w:val="4D4D4F"/>
        </w:rPr>
      </w:pPr>
      <w:r>
        <w:rPr>
          <w:rFonts w:ascii="Arial" w:cs="Arial" w:eastAsia="Arial" w:hAnsi="Arial"/>
          <w:sz w:val="18"/>
          <w:szCs w:val="18"/>
          <w:color w:val="4D4D4F"/>
        </w:rPr>
        <w:t>no pension or related benefits, except as required by law in jurisdictions outside of the United States;</w:t>
      </w:r>
    </w:p>
    <w:p>
      <w:pPr>
        <w:spacing w:after="0" w:line="76" w:lineRule="exact"/>
        <w:rPr>
          <w:rFonts w:ascii="Arial" w:cs="Arial" w:eastAsia="Arial" w:hAnsi="Arial"/>
          <w:sz w:val="18"/>
          <w:szCs w:val="18"/>
          <w:color w:val="4D4D4F"/>
        </w:rPr>
      </w:pPr>
    </w:p>
    <w:p>
      <w:pPr>
        <w:ind w:left="340" w:hanging="332"/>
        <w:spacing w:after="0"/>
        <w:tabs>
          <w:tab w:leader="none" w:pos="340" w:val="left"/>
        </w:tabs>
        <w:numPr>
          <w:ilvl w:val="0"/>
          <w:numId w:val="63"/>
        </w:numPr>
        <w:rPr>
          <w:rFonts w:ascii="Arial" w:cs="Arial" w:eastAsia="Arial" w:hAnsi="Arial"/>
          <w:sz w:val="18"/>
          <w:szCs w:val="18"/>
          <w:color w:val="4D4D4F"/>
        </w:rPr>
      </w:pPr>
      <w:r>
        <w:rPr>
          <w:rFonts w:ascii="Arial" w:cs="Arial" w:eastAsia="Arial" w:hAnsi="Arial"/>
          <w:sz w:val="18"/>
          <w:szCs w:val="18"/>
          <w:color w:val="4D4D4F"/>
        </w:rPr>
        <w:t>no significant perquisites;</w:t>
      </w:r>
    </w:p>
    <w:p>
      <w:pPr>
        <w:spacing w:after="0" w:line="90" w:lineRule="exact"/>
        <w:rPr>
          <w:rFonts w:ascii="Arial" w:cs="Arial" w:eastAsia="Arial" w:hAnsi="Arial"/>
          <w:sz w:val="18"/>
          <w:szCs w:val="18"/>
          <w:color w:val="4D4D4F"/>
        </w:rPr>
      </w:pPr>
    </w:p>
    <w:p>
      <w:pPr>
        <w:ind w:left="340" w:hanging="332"/>
        <w:spacing w:after="0"/>
        <w:tabs>
          <w:tab w:leader="none" w:pos="340" w:val="left"/>
        </w:tabs>
        <w:numPr>
          <w:ilvl w:val="0"/>
          <w:numId w:val="63"/>
        </w:numPr>
        <w:rPr>
          <w:rFonts w:ascii="Arial" w:cs="Arial" w:eastAsia="Arial" w:hAnsi="Arial"/>
          <w:sz w:val="18"/>
          <w:szCs w:val="18"/>
          <w:color w:val="4D4D4F"/>
        </w:rPr>
      </w:pPr>
      <w:r>
        <w:rPr>
          <w:rFonts w:ascii="Arial" w:cs="Arial" w:eastAsia="Arial" w:hAnsi="Arial"/>
          <w:sz w:val="18"/>
          <w:szCs w:val="18"/>
          <w:color w:val="4D4D4F"/>
        </w:rPr>
        <w:t>independent compensation consultant; and</w:t>
      </w:r>
    </w:p>
    <w:p>
      <w:pPr>
        <w:spacing w:after="0" w:line="90" w:lineRule="exact"/>
        <w:rPr>
          <w:rFonts w:ascii="Arial" w:cs="Arial" w:eastAsia="Arial" w:hAnsi="Arial"/>
          <w:sz w:val="18"/>
          <w:szCs w:val="18"/>
          <w:color w:val="4D4D4F"/>
        </w:rPr>
      </w:pPr>
    </w:p>
    <w:p>
      <w:pPr>
        <w:ind w:left="340" w:hanging="332"/>
        <w:spacing w:after="0"/>
        <w:tabs>
          <w:tab w:leader="none" w:pos="340" w:val="left"/>
        </w:tabs>
        <w:numPr>
          <w:ilvl w:val="0"/>
          <w:numId w:val="63"/>
        </w:numPr>
        <w:rPr>
          <w:rFonts w:ascii="Arial" w:cs="Arial" w:eastAsia="Arial" w:hAnsi="Arial"/>
          <w:sz w:val="18"/>
          <w:szCs w:val="18"/>
          <w:color w:val="4D4D4F"/>
        </w:rPr>
      </w:pPr>
      <w:r>
        <w:rPr>
          <w:rFonts w:ascii="Arial" w:cs="Arial" w:eastAsia="Arial" w:hAnsi="Arial"/>
          <w:sz w:val="18"/>
          <w:szCs w:val="18"/>
          <w:color w:val="4D4D4F"/>
        </w:rPr>
        <w:t>no tax gross ups for golden parachute taxes.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0079C0"/>
        </w:rPr>
        <w:t>Executive Summary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9C0"/>
        </w:rPr>
        <w:t>Company Description</w:t>
      </w:r>
    </w:p>
    <w:p>
      <w:pPr>
        <w:spacing w:after="0" w:line="19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4D4D4F"/>
        </w:rPr>
        <w:t>We supply advanced, innovative capital equipment developed for the global semiconductor industry. Our corporate office is located in Fremont, California, and we conduct our business operations principally through our subsidiary ACM Research (Shanghai), Inc., or ACM Shanghai. We have more than 500 employees globally, most of whom — including most of our NEOs — are based in the PRC. As a result of our significant PRC operations, many of our compensation practices reflect market practices in the PRC, although we expect those practices to evolve as we continue to broaden our operations into additional countries.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9C0"/>
        </w:rPr>
        <w:t>Key 2020 Compensation Items</w:t>
      </w:r>
    </w:p>
    <w:p>
      <w:pPr>
        <w:spacing w:after="0" w:line="207" w:lineRule="exact"/>
        <w:rPr>
          <w:sz w:val="20"/>
          <w:szCs w:val="20"/>
          <w:color w:val="auto"/>
        </w:rPr>
      </w:pPr>
    </w:p>
    <w:p>
      <w:pPr>
        <w:jc w:val="both"/>
        <w:spacing w:after="0"/>
        <w:rPr>
          <w:sz w:val="20"/>
          <w:szCs w:val="20"/>
          <w:color w:val="auto"/>
        </w:rPr>
      </w:pPr>
      <w:r>
        <w:rPr>
          <w:rFonts w:ascii="Arial" w:cs="Arial" w:eastAsia="Arial" w:hAnsi="Arial"/>
          <w:sz w:val="18"/>
          <w:szCs w:val="18"/>
          <w:color w:val="4D4D4F"/>
        </w:rPr>
        <w:t>As further described below, in 2020, unlike prior years, we granted the following equity awards in order to closely align the interests of our executives with those of our stockholders, to provide our executives with incentives linked to long-term performance, and to foster an ownership culture among executives:</w:t>
      </w:r>
    </w:p>
    <w:p>
      <w:pPr>
        <w:spacing w:after="0" w:line="68" w:lineRule="exact"/>
        <w:rPr>
          <w:sz w:val="20"/>
          <w:szCs w:val="20"/>
          <w:color w:val="auto"/>
        </w:rPr>
      </w:pPr>
    </w:p>
    <w:p>
      <w:pPr>
        <w:ind w:left="340" w:hanging="332"/>
        <w:spacing w:after="0"/>
        <w:tabs>
          <w:tab w:leader="none" w:pos="340" w:val="left"/>
        </w:tabs>
        <w:numPr>
          <w:ilvl w:val="0"/>
          <w:numId w:val="64"/>
        </w:numPr>
        <w:rPr>
          <w:rFonts w:ascii="Arial" w:cs="Arial" w:eastAsia="Arial" w:hAnsi="Arial"/>
          <w:sz w:val="18"/>
          <w:szCs w:val="18"/>
          <w:color w:val="4D4D4F"/>
        </w:rPr>
      </w:pPr>
      <w:r>
        <w:rPr>
          <w:rFonts w:ascii="Arial" w:cs="Arial" w:eastAsia="Arial" w:hAnsi="Arial"/>
          <w:sz w:val="18"/>
          <w:szCs w:val="18"/>
          <w:color w:val="4D4D4F"/>
        </w:rPr>
        <w:t>performance-based stock options to David Wang and Fuping Chen to acquire shares of Class A common stock; and</w:t>
      </w:r>
    </w:p>
    <w:p>
      <w:pPr>
        <w:spacing w:after="0" w:line="90" w:lineRule="exact"/>
        <w:rPr>
          <w:rFonts w:ascii="Arial" w:cs="Arial" w:eastAsia="Arial" w:hAnsi="Arial"/>
          <w:sz w:val="18"/>
          <w:szCs w:val="18"/>
          <w:color w:val="4D4D4F"/>
        </w:rPr>
      </w:pPr>
    </w:p>
    <w:p>
      <w:pPr>
        <w:ind w:left="340" w:hanging="332"/>
        <w:spacing w:after="0"/>
        <w:tabs>
          <w:tab w:leader="none" w:pos="340" w:val="left"/>
        </w:tabs>
        <w:numPr>
          <w:ilvl w:val="0"/>
          <w:numId w:val="64"/>
        </w:numPr>
        <w:rPr>
          <w:rFonts w:ascii="Arial" w:cs="Arial" w:eastAsia="Arial" w:hAnsi="Arial"/>
          <w:sz w:val="18"/>
          <w:szCs w:val="18"/>
          <w:color w:val="4D4D4F"/>
        </w:rPr>
      </w:pPr>
      <w:r>
        <w:rPr>
          <w:rFonts w:ascii="Arial" w:cs="Arial" w:eastAsia="Arial" w:hAnsi="Arial"/>
          <w:sz w:val="18"/>
          <w:szCs w:val="18"/>
          <w:color w:val="4D4D4F"/>
        </w:rPr>
        <w:t>performance-based stock options to each of our NEOs, other than Mr. McKechnie, to acquire shares of ACM Shanghai.</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0079C0"/>
        </w:rPr>
        <w:t>Executive Compensation Philosophy and Design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9C0"/>
        </w:rPr>
        <w:t>Compensation Philosophy</w:t>
      </w:r>
    </w:p>
    <w:p>
      <w:pPr>
        <w:spacing w:after="0" w:line="19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have designed, and intend to modify as necessary, our NEO compensation program and philosophy to attract, retain and incentivize talented, qualified and committed NEOs by offering compensation, as described below, that reflects competitive market practices in the jurisdictions in which we operate and as adjusted for individual NEO factors and circumstances. As our needs evolve and as we continue to broaden our operations outside the PRC, we will continue to evaluate our NEO compensation program and philosophy, as circumstances may require.</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4" w:name="page45"/>
    <w:bookmarkEnd w:id="44"/>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71" w:lineRule="exact"/>
        <w:rPr>
          <w:sz w:val="20"/>
          <w:szCs w:val="20"/>
          <w:color w:val="auto"/>
        </w:rPr>
      </w:pPr>
    </w:p>
    <w:p>
      <w:pPr>
        <w:jc w:val="both"/>
        <w:spacing w:after="0" w:line="203" w:lineRule="exact"/>
        <w:rPr>
          <w:sz w:val="20"/>
          <w:szCs w:val="20"/>
          <w:color w:val="auto"/>
        </w:rPr>
      </w:pPr>
      <w:r>
        <w:rPr>
          <w:rFonts w:ascii="Arial" w:cs="Arial" w:eastAsia="Arial" w:hAnsi="Arial"/>
          <w:sz w:val="18"/>
          <w:szCs w:val="18"/>
          <w:color w:val="4D4D4F"/>
        </w:rPr>
        <w:t xml:space="preserve">Except as specifically described herein, the compensation committee does not affirmatively set out in any given year, or with respect to any given NEO, to apportion compensation in any specific ratio among the various categories of compensation (that is, between short- and long-term compensation or between non-performance-based and performance-based compensation). Rather, the compensation committee uses the philosophy described above, and the factors described for each category in the discussion that follows, as a guide in assessing the proper allocation among those categories. </w:t>
      </w:r>
      <w:r>
        <w:rPr>
          <w:rFonts w:ascii="Arial" w:cs="Arial" w:eastAsia="Arial" w:hAnsi="Arial"/>
          <w:sz w:val="18"/>
          <w:szCs w:val="18"/>
          <w:color w:val="000000"/>
        </w:rPr>
        <w:t>In addition, except as specifically described herein, the compensation committee does not</w:t>
      </w:r>
      <w:r>
        <w:rPr>
          <w:rFonts w:ascii="Arial" w:cs="Arial" w:eastAsia="Arial" w:hAnsi="Arial"/>
          <w:sz w:val="18"/>
          <w:szCs w:val="18"/>
          <w:color w:val="4D4D4F"/>
        </w:rPr>
        <w:t xml:space="preserve"> </w:t>
      </w:r>
      <w:r>
        <w:rPr>
          <w:rFonts w:ascii="Arial" w:cs="Arial" w:eastAsia="Arial" w:hAnsi="Arial"/>
          <w:sz w:val="18"/>
          <w:szCs w:val="18"/>
          <w:color w:val="000000"/>
        </w:rPr>
        <w:t>affirmatively set out in any given year, or with respect to any given NEO, to apportion cash and equity compensation in any specific ratio. Rather, the compensation committee uses the philosophy described above, and the factors described below, as a guide in assessing the proper allocation between cash and equity awards. The compensation committee also does not “benchmark” compensation. Rather, the compensation committee makes adjustments based on the philosophy described above and considers competitive market practices in the jurisdictions in which we operate as one factor in its deliberations. The compensation committee does not target the elements of our compensation program at any specific level or percentile within a “peer group.” Rather than rely on a specific formula</w:t>
      </w:r>
      <w:r>
        <w:rPr>
          <w:rFonts w:ascii="MS PGothic" w:cs="MS PGothic" w:eastAsia="MS PGothic" w:hAnsi="MS PGothic"/>
          <w:sz w:val="18"/>
          <w:szCs w:val="18"/>
          <w:color w:val="000000"/>
        </w:rPr>
        <w:t>‑</w:t>
      </w:r>
      <w:r>
        <w:rPr>
          <w:rFonts w:ascii="Arial" w:cs="Arial" w:eastAsia="Arial" w:hAnsi="Arial"/>
          <w:sz w:val="18"/>
          <w:szCs w:val="18"/>
          <w:color w:val="000000"/>
        </w:rPr>
        <w:t>based model, the compensation committee believes that retaining discretion to assess the overall performance of NEOs gives the compensation committee the ability to more accurately reflect individual contributions that cannot be absolutely quantified. As noted above, as our needs evolve and as we continue to broaden our operations outside the PRC, we will continue to evaluate our NEO compensation program and philosophy as circumstances require.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9C0"/>
        </w:rPr>
        <w:t>Role of Compensation Committee</w:t>
      </w:r>
    </w:p>
    <w:p>
      <w:pPr>
        <w:spacing w:after="0" w:line="20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4D4D4F"/>
        </w:rPr>
        <w:t>The compensation committee periodically reviews, reassesses, and if the compensation committee deems necessary, updates our NEO compensation and compensation philosophy. The compensation committee’s responsibilities include:</w:t>
      </w:r>
    </w:p>
    <w:p>
      <w:pPr>
        <w:spacing w:after="0" w:line="62" w:lineRule="exact"/>
        <w:rPr>
          <w:sz w:val="20"/>
          <w:szCs w:val="20"/>
          <w:color w:val="auto"/>
        </w:rPr>
      </w:pPr>
    </w:p>
    <w:p>
      <w:pPr>
        <w:ind w:left="340" w:right="20" w:hanging="332"/>
        <w:spacing w:after="0" w:line="246" w:lineRule="auto"/>
        <w:tabs>
          <w:tab w:leader="none" w:pos="340" w:val="left"/>
        </w:tabs>
        <w:numPr>
          <w:ilvl w:val="0"/>
          <w:numId w:val="65"/>
        </w:numPr>
        <w:rPr>
          <w:rFonts w:ascii="Arial" w:cs="Arial" w:eastAsia="Arial" w:hAnsi="Arial"/>
          <w:sz w:val="18"/>
          <w:szCs w:val="18"/>
          <w:color w:val="4D4D4F"/>
        </w:rPr>
      </w:pPr>
      <w:r>
        <w:rPr>
          <w:rFonts w:ascii="Arial" w:cs="Arial" w:eastAsia="Arial" w:hAnsi="Arial"/>
          <w:sz w:val="18"/>
          <w:szCs w:val="18"/>
          <w:color w:val="4D4D4F"/>
        </w:rPr>
        <w:t>periodically reviewing NEO compensation to assess its efficacy and to determine whether the nature and terms such compensation is proper in furthering ACM’s strategic plans and objectives;</w:t>
      </w:r>
    </w:p>
    <w:p>
      <w:pPr>
        <w:spacing w:after="0" w:line="75" w:lineRule="exact"/>
        <w:rPr>
          <w:rFonts w:ascii="Arial" w:cs="Arial" w:eastAsia="Arial" w:hAnsi="Arial"/>
          <w:sz w:val="18"/>
          <w:szCs w:val="18"/>
          <w:color w:val="4D4D4F"/>
        </w:rPr>
      </w:pPr>
    </w:p>
    <w:p>
      <w:pPr>
        <w:ind w:left="340" w:hanging="332"/>
        <w:spacing w:after="0" w:line="246" w:lineRule="auto"/>
        <w:tabs>
          <w:tab w:leader="none" w:pos="340" w:val="left"/>
        </w:tabs>
        <w:numPr>
          <w:ilvl w:val="0"/>
          <w:numId w:val="65"/>
        </w:numPr>
        <w:rPr>
          <w:rFonts w:ascii="Arial" w:cs="Arial" w:eastAsia="Arial" w:hAnsi="Arial"/>
          <w:sz w:val="18"/>
          <w:szCs w:val="18"/>
          <w:color w:val="4D4D4F"/>
        </w:rPr>
      </w:pPr>
      <w:r>
        <w:rPr>
          <w:rFonts w:ascii="Arial" w:cs="Arial" w:eastAsia="Arial" w:hAnsi="Arial"/>
          <w:sz w:val="18"/>
          <w:szCs w:val="18"/>
          <w:color w:val="4D4D4F"/>
        </w:rPr>
        <w:t>administering our NEO cash incentive compensation plans and equity-based plans, including the designation of NEOs to whom awards are to be granted, the type and amount of award to be granted, and the terms and conditions applicable to each award;</w:t>
      </w:r>
    </w:p>
    <w:p>
      <w:pPr>
        <w:spacing w:after="0" w:line="75" w:lineRule="exact"/>
        <w:rPr>
          <w:rFonts w:ascii="Arial" w:cs="Arial" w:eastAsia="Arial" w:hAnsi="Arial"/>
          <w:sz w:val="18"/>
          <w:szCs w:val="18"/>
          <w:color w:val="4D4D4F"/>
        </w:rPr>
      </w:pPr>
    </w:p>
    <w:p>
      <w:pPr>
        <w:ind w:left="340" w:hanging="332"/>
        <w:spacing w:after="0" w:line="246" w:lineRule="auto"/>
        <w:tabs>
          <w:tab w:leader="none" w:pos="340" w:val="left"/>
        </w:tabs>
        <w:numPr>
          <w:ilvl w:val="0"/>
          <w:numId w:val="65"/>
        </w:numPr>
        <w:rPr>
          <w:rFonts w:ascii="Arial" w:cs="Arial" w:eastAsia="Arial" w:hAnsi="Arial"/>
          <w:sz w:val="18"/>
          <w:szCs w:val="18"/>
          <w:color w:val="4D4D4F"/>
        </w:rPr>
      </w:pPr>
      <w:r>
        <w:rPr>
          <w:rFonts w:ascii="Arial" w:cs="Arial" w:eastAsia="Arial" w:hAnsi="Arial"/>
          <w:sz w:val="18"/>
          <w:szCs w:val="18"/>
          <w:color w:val="4D4D4F"/>
        </w:rPr>
        <w:t>reviewing and approving the policies and procedures for the grant of NEO equity-based awards by our company and ACM Shanghai, including grant-timing practices;</w:t>
      </w:r>
    </w:p>
    <w:p>
      <w:pPr>
        <w:spacing w:after="0" w:line="61" w:lineRule="exact"/>
        <w:rPr>
          <w:rFonts w:ascii="Arial" w:cs="Arial" w:eastAsia="Arial" w:hAnsi="Arial"/>
          <w:sz w:val="18"/>
          <w:szCs w:val="18"/>
          <w:color w:val="4D4D4F"/>
        </w:rPr>
      </w:pPr>
    </w:p>
    <w:p>
      <w:pPr>
        <w:jc w:val="both"/>
        <w:ind w:left="340" w:hanging="332"/>
        <w:spacing w:after="0"/>
        <w:tabs>
          <w:tab w:leader="none" w:pos="340" w:val="left"/>
        </w:tabs>
        <w:numPr>
          <w:ilvl w:val="0"/>
          <w:numId w:val="65"/>
        </w:numPr>
        <w:rPr>
          <w:rFonts w:ascii="Arial" w:cs="Arial" w:eastAsia="Arial" w:hAnsi="Arial"/>
          <w:sz w:val="18"/>
          <w:szCs w:val="18"/>
          <w:color w:val="4D4D4F"/>
        </w:rPr>
      </w:pPr>
      <w:r>
        <w:rPr>
          <w:rFonts w:ascii="Arial" w:cs="Arial" w:eastAsia="Arial" w:hAnsi="Arial"/>
          <w:sz w:val="18"/>
          <w:szCs w:val="18"/>
          <w:color w:val="4D4D4F"/>
        </w:rPr>
        <w:t>annually reviewing with the Lead Director the corporate and individual goals relevant to the chief executive officer’s performance, the performance of the chief executive officer for the prior year, and approving the chief executive officer’s compensation based on the results of the evaluation performed by the compensation committee; and</w:t>
      </w:r>
    </w:p>
    <w:p>
      <w:pPr>
        <w:spacing w:after="0" w:line="81" w:lineRule="exact"/>
        <w:rPr>
          <w:rFonts w:ascii="Arial" w:cs="Arial" w:eastAsia="Arial" w:hAnsi="Arial"/>
          <w:sz w:val="18"/>
          <w:szCs w:val="18"/>
          <w:color w:val="4D4D4F"/>
        </w:rPr>
      </w:pPr>
    </w:p>
    <w:p>
      <w:pPr>
        <w:jc w:val="both"/>
        <w:ind w:left="340" w:hanging="332"/>
        <w:spacing w:after="0"/>
        <w:tabs>
          <w:tab w:leader="none" w:pos="340" w:val="left"/>
        </w:tabs>
        <w:numPr>
          <w:ilvl w:val="0"/>
          <w:numId w:val="65"/>
        </w:numPr>
        <w:rPr>
          <w:rFonts w:ascii="Arial" w:cs="Arial" w:eastAsia="Arial" w:hAnsi="Arial"/>
          <w:sz w:val="18"/>
          <w:szCs w:val="18"/>
          <w:color w:val="4D4D4F"/>
        </w:rPr>
      </w:pPr>
      <w:r>
        <w:rPr>
          <w:rFonts w:ascii="Arial" w:cs="Arial" w:eastAsia="Arial" w:hAnsi="Arial"/>
          <w:sz w:val="18"/>
          <w:szCs w:val="18"/>
          <w:color w:val="4D4D4F"/>
        </w:rPr>
        <w:t>annually reviewing with the Lead Director and recommendations of our chief executive officer, the performance of our other NEOs in light of our NEO compensation goals and objectives and approving the compensation packages and compensation payouts for such individuals.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9C0"/>
        </w:rPr>
        <w:t>Role of Management</w:t>
      </w:r>
    </w:p>
    <w:p>
      <w:pPr>
        <w:spacing w:after="0" w:line="207" w:lineRule="exact"/>
        <w:rPr>
          <w:sz w:val="20"/>
          <w:szCs w:val="20"/>
          <w:color w:val="auto"/>
        </w:rPr>
      </w:pPr>
    </w:p>
    <w:p>
      <w:pPr>
        <w:jc w:val="both"/>
        <w:spacing w:after="0"/>
        <w:rPr>
          <w:sz w:val="20"/>
          <w:szCs w:val="20"/>
          <w:color w:val="auto"/>
        </w:rPr>
      </w:pPr>
      <w:r>
        <w:rPr>
          <w:rFonts w:ascii="Arial" w:cs="Arial" w:eastAsia="Arial" w:hAnsi="Arial"/>
          <w:sz w:val="18"/>
          <w:szCs w:val="18"/>
          <w:color w:val="auto"/>
        </w:rPr>
        <w:t>From time to time, our chief executive officer may develop recommendations for the compensation of our NEOs (other than himself) related to base salaries, annual cash incentive opportunities, equity award opportunities, and the criteria upon which these award opportunities may be earned.</w:t>
      </w:r>
    </w:p>
    <w:p>
      <w:pPr>
        <w:spacing w:after="0" w:line="16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4D4D4F"/>
        </w:rPr>
        <w:t>From time to time, our chief executive officer may attend compensation committee meetings at the request of the compensation committee but leaves the meetings for any deliberations related to and decisions regarding his own compensation.</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5" w:name="page46"/>
    <w:bookmarkEnd w:id="45"/>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9C0"/>
        </w:rPr>
        <w:t>Role of Independent Compensation Consultant</w:t>
      </w:r>
    </w:p>
    <w:p>
      <w:pPr>
        <w:spacing w:after="0" w:line="19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For 2020 the compensation committee retained Radford, which is part of the Rewards Solutions practice at Aon plc, as its independent outside compensation consultant to assist with reviewing selected NEO compensation. The compensation committee has the sole discretion to retain or replace Radford. The compensation committee believes that working with an independent compensation consultant furthers our objectives to recruit and retain qualified executives, align executive interests with those of stockholders, and ensure that executive compensation packages will appropriately motivate and reward ongoing achievement of business goals. The compensation committee has assessed the relationships among Radford, the compensation committee, our company and our executive officers for independence and conflicts of interest. In this assessment, the compensation committee reviewed the criteria set forth in Section 240.10C-1(b)(4)(i)-(vi) of the Code of Federal Regulations and such other criteria as it deemed appropriate. The compensation committee did not identify any conflicts of interest with the engagement of Radford. Additionally, Radford provided documented assurances that their relationship meets the independence standards, and no conflicts of interest were identified.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9C0"/>
        </w:rPr>
        <w:t>Advisory Vote on Executive Compensation</w:t>
      </w:r>
    </w:p>
    <w:p>
      <w:pPr>
        <w:spacing w:after="0" w:line="19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submit to our stockholders on a tri-annual basis a proposal for a (non-binding) advisory vote, known as a “say-on-pay” vote, to approve the compensation of our NEOs. The compensation committee considers the outcome of this vote, among other things, when evaluating our compensation principles, designs and practices. At our 2018 Annual Meeting, our stockholders expressed strong support for our compensation program for named executive officers in 2017, with 99.8% of shares voted cast in favor of approval of the compensation program. The compensation committee will continue to consider stockholder feedback and the results of say-on-pay votes when making future compensation decisions.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9C0"/>
        </w:rPr>
        <w:t>Stockholder Outreach</w:t>
      </w:r>
    </w:p>
    <w:p>
      <w:pPr>
        <w:spacing w:after="0" w:line="20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are committed to year-round, meaningful engagement with our stockholders. We prioritize the different perspectives and issues raised by our stockholders by incorporating them into the business and strategy decisions of the board of directors. In 2020 we discussed a wide range of topics, including NEO compensation, with stockholders. We did not make any changes to NEO compensation in 2020 based on those discussions. Our engagement initiatives will continue in 2021 with outreach to our stockholders.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9C0"/>
        </w:rPr>
        <w:t>Assessment of Compensation Risk</w:t>
      </w:r>
    </w:p>
    <w:p>
      <w:pPr>
        <w:spacing w:after="0" w:line="193"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review our compensation programs for employees generally and have concluded that these programs do not create risks that are reasonably likely to have a material adverse effect on our company. We believe that our compensation program helps ensure performance is focused on long-term stockholder value creation and does not encourage short-term risk taking at the expense of long-term results.</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0079C0"/>
        </w:rPr>
        <w:t>Pay Components</w:t>
      </w:r>
    </w:p>
    <w:p>
      <w:pPr>
        <w:spacing w:after="0" w:line="23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NEO compensation program involves regular review of compensation elements for NEOs, including whenever there is a change in roles or responsibilities of a NEO or a new NEO joins our company. Our NEO compensation program design uses a mix of annual and long-term components and a mix of cash and equity components. Our NEO compensation program includes base salary, annual cash bonus opportunities, long-term equity awards and promotion awards when necessary.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6" w:name="page47"/>
    <w:bookmarkEnd w:id="46"/>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9C0"/>
        </w:rPr>
        <w:t>Overview of Compensation Components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10287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420" w:type="dxa"/>
            <w:vAlign w:val="bottom"/>
          </w:tcPr>
          <w:p>
            <w:pPr>
              <w:spacing w:after="0"/>
              <w:rPr>
                <w:sz w:val="20"/>
                <w:szCs w:val="20"/>
                <w:color w:val="auto"/>
              </w:rPr>
            </w:pPr>
            <w:r>
              <w:rPr>
                <w:rFonts w:ascii="Arial" w:cs="Arial" w:eastAsia="Arial" w:hAnsi="Arial"/>
                <w:sz w:val="14"/>
                <w:szCs w:val="14"/>
                <w:color w:val="FFFFFF"/>
              </w:rPr>
              <w:t>Pay Element</w:t>
            </w:r>
          </w:p>
        </w:tc>
        <w:tc>
          <w:tcPr>
            <w:tcW w:w="1900" w:type="dxa"/>
            <w:vAlign w:val="bottom"/>
          </w:tcPr>
          <w:p>
            <w:pPr>
              <w:ind w:left="280"/>
              <w:spacing w:after="0"/>
              <w:rPr>
                <w:sz w:val="20"/>
                <w:szCs w:val="20"/>
                <w:color w:val="auto"/>
              </w:rPr>
            </w:pPr>
            <w:r>
              <w:rPr>
                <w:rFonts w:ascii="Arial" w:cs="Arial" w:eastAsia="Arial" w:hAnsi="Arial"/>
                <w:sz w:val="14"/>
                <w:szCs w:val="14"/>
                <w:color w:val="FFFFFF"/>
              </w:rPr>
              <w:t>Payment Vehicle</w:t>
            </w:r>
          </w:p>
        </w:tc>
        <w:tc>
          <w:tcPr>
            <w:tcW w:w="0" w:type="dxa"/>
            <w:vAlign w:val="bottom"/>
          </w:tcPr>
          <w:p>
            <w:pPr>
              <w:spacing w:after="0"/>
              <w:rPr>
                <w:sz w:val="1"/>
                <w:szCs w:val="1"/>
                <w:color w:val="auto"/>
              </w:rPr>
            </w:pPr>
          </w:p>
        </w:tc>
      </w:tr>
      <w:tr>
        <w:trPr>
          <w:trHeight w:val="296"/>
        </w:trPr>
        <w:tc>
          <w:tcPr>
            <w:tcW w:w="1420" w:type="dxa"/>
            <w:vAlign w:val="bottom"/>
          </w:tcPr>
          <w:p>
            <w:pPr>
              <w:spacing w:after="0"/>
              <w:rPr>
                <w:sz w:val="20"/>
                <w:szCs w:val="20"/>
                <w:color w:val="auto"/>
              </w:rPr>
            </w:pPr>
            <w:r>
              <w:rPr>
                <w:rFonts w:ascii="Arial" w:cs="Arial" w:eastAsia="Arial" w:hAnsi="Arial"/>
                <w:sz w:val="18"/>
                <w:szCs w:val="18"/>
                <w:color w:val="4D4D4F"/>
              </w:rPr>
              <w:t>Base Salary</w:t>
            </w:r>
          </w:p>
        </w:tc>
        <w:tc>
          <w:tcPr>
            <w:tcW w:w="1900" w:type="dxa"/>
            <w:vAlign w:val="bottom"/>
          </w:tcPr>
          <w:p>
            <w:pPr>
              <w:ind w:left="280"/>
              <w:spacing w:after="0"/>
              <w:rPr>
                <w:sz w:val="20"/>
                <w:szCs w:val="20"/>
                <w:color w:val="auto"/>
              </w:rPr>
            </w:pPr>
            <w:r>
              <w:rPr>
                <w:rFonts w:ascii="Arial" w:cs="Arial" w:eastAsia="Arial" w:hAnsi="Arial"/>
                <w:sz w:val="18"/>
                <w:szCs w:val="18"/>
                <w:i w:val="1"/>
                <w:iCs w:val="1"/>
                <w:color w:val="4D4D4F"/>
                <w:w w:val="99"/>
              </w:rPr>
              <w:t>Fixed cash payment</w:t>
            </w:r>
          </w:p>
        </w:tc>
        <w:tc>
          <w:tcPr>
            <w:tcW w:w="0" w:type="dxa"/>
            <w:vAlign w:val="bottom"/>
          </w:tcPr>
          <w:p>
            <w:pPr>
              <w:spacing w:after="0"/>
              <w:rPr>
                <w:sz w:val="1"/>
                <w:szCs w:val="1"/>
                <w:color w:val="auto"/>
              </w:rPr>
            </w:pPr>
          </w:p>
        </w:tc>
      </w:tr>
      <w:tr>
        <w:trPr>
          <w:trHeight w:val="608"/>
        </w:trPr>
        <w:tc>
          <w:tcPr>
            <w:tcW w:w="1420" w:type="dxa"/>
            <w:vAlign w:val="bottom"/>
          </w:tcPr>
          <w:p>
            <w:pPr>
              <w:spacing w:after="0"/>
              <w:rPr>
                <w:sz w:val="20"/>
                <w:szCs w:val="20"/>
                <w:color w:val="auto"/>
              </w:rPr>
            </w:pPr>
            <w:r>
              <w:rPr>
                <w:rFonts w:ascii="Arial" w:cs="Arial" w:eastAsia="Arial" w:hAnsi="Arial"/>
                <w:sz w:val="18"/>
                <w:szCs w:val="18"/>
                <w:color w:val="4D4D4F"/>
              </w:rPr>
              <w:t>Bonus</w:t>
            </w:r>
          </w:p>
        </w:tc>
        <w:tc>
          <w:tcPr>
            <w:tcW w:w="1900" w:type="dxa"/>
            <w:vAlign w:val="bottom"/>
          </w:tcPr>
          <w:p>
            <w:pPr>
              <w:ind w:left="280"/>
              <w:spacing w:after="0"/>
              <w:rPr>
                <w:sz w:val="20"/>
                <w:szCs w:val="20"/>
                <w:color w:val="auto"/>
              </w:rPr>
            </w:pPr>
            <w:r>
              <w:rPr>
                <w:rFonts w:ascii="Arial" w:cs="Arial" w:eastAsia="Arial" w:hAnsi="Arial"/>
                <w:sz w:val="18"/>
                <w:szCs w:val="18"/>
                <w:i w:val="1"/>
                <w:iCs w:val="1"/>
                <w:color w:val="4D4D4F"/>
                <w:w w:val="98"/>
              </w:rPr>
              <w:t>Variable cash bonus</w:t>
            </w:r>
          </w:p>
        </w:tc>
        <w:tc>
          <w:tcPr>
            <w:tcW w:w="0" w:type="dxa"/>
            <w:vAlign w:val="bottom"/>
          </w:tcPr>
          <w:p>
            <w:pPr>
              <w:spacing w:after="0"/>
              <w:rPr>
                <w:sz w:val="1"/>
                <w:szCs w:val="1"/>
                <w:color w:val="auto"/>
              </w:rPr>
            </w:pPr>
          </w:p>
        </w:tc>
      </w:tr>
      <w:tr>
        <w:trPr>
          <w:trHeight w:val="593"/>
        </w:trPr>
        <w:tc>
          <w:tcPr>
            <w:tcW w:w="1420" w:type="dxa"/>
            <w:vAlign w:val="bottom"/>
          </w:tcPr>
          <w:p>
            <w:pPr>
              <w:spacing w:after="0"/>
              <w:rPr>
                <w:sz w:val="20"/>
                <w:szCs w:val="20"/>
                <w:color w:val="auto"/>
              </w:rPr>
            </w:pPr>
            <w:r>
              <w:rPr>
                <w:rFonts w:ascii="Arial" w:cs="Arial" w:eastAsia="Arial" w:hAnsi="Arial"/>
                <w:sz w:val="18"/>
                <w:szCs w:val="18"/>
                <w:color w:val="4D4D4F"/>
              </w:rPr>
              <w:t>Long-Term</w:t>
            </w:r>
          </w:p>
        </w:tc>
        <w:tc>
          <w:tcPr>
            <w:tcW w:w="1900" w:type="dxa"/>
            <w:vAlign w:val="bottom"/>
            <w:vMerge w:val="restart"/>
          </w:tcPr>
          <w:p>
            <w:pPr>
              <w:ind w:left="280"/>
              <w:spacing w:after="0"/>
              <w:rPr>
                <w:sz w:val="20"/>
                <w:szCs w:val="20"/>
                <w:color w:val="auto"/>
              </w:rPr>
            </w:pPr>
            <w:r>
              <w:rPr>
                <w:rFonts w:ascii="Arial" w:cs="Arial" w:eastAsia="Arial" w:hAnsi="Arial"/>
                <w:sz w:val="18"/>
                <w:szCs w:val="18"/>
                <w:i w:val="1"/>
                <w:iCs w:val="1"/>
                <w:color w:val="4D4D4F"/>
              </w:rPr>
              <w:t>Stock options</w:t>
            </w:r>
          </w:p>
        </w:tc>
        <w:tc>
          <w:tcPr>
            <w:tcW w:w="0" w:type="dxa"/>
            <w:vAlign w:val="bottom"/>
          </w:tcPr>
          <w:p>
            <w:pPr>
              <w:spacing w:after="0"/>
              <w:rPr>
                <w:sz w:val="1"/>
                <w:szCs w:val="1"/>
                <w:color w:val="auto"/>
              </w:rPr>
            </w:pPr>
          </w:p>
        </w:tc>
      </w:tr>
      <w:tr>
        <w:trPr>
          <w:trHeight w:val="122"/>
        </w:trPr>
        <w:tc>
          <w:tcPr>
            <w:tcW w:w="1420" w:type="dxa"/>
            <w:vAlign w:val="bottom"/>
            <w:vMerge w:val="restart"/>
          </w:tcPr>
          <w:p>
            <w:pPr>
              <w:spacing w:after="0"/>
              <w:rPr>
                <w:sz w:val="20"/>
                <w:szCs w:val="20"/>
                <w:color w:val="auto"/>
              </w:rPr>
            </w:pPr>
            <w:r>
              <w:rPr>
                <w:rFonts w:ascii="Arial" w:cs="Arial" w:eastAsia="Arial" w:hAnsi="Arial"/>
                <w:sz w:val="18"/>
                <w:szCs w:val="18"/>
                <w:color w:val="4D4D4F"/>
              </w:rPr>
              <w:t>Equity Awards</w:t>
            </w:r>
          </w:p>
        </w:tc>
        <w:tc>
          <w:tcPr>
            <w:tcW w:w="1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420" w:type="dxa"/>
            <w:vAlign w:val="bottom"/>
            <w:vMerge w:val="continue"/>
          </w:tcPr>
          <w:p>
            <w:pPr>
              <w:spacing w:after="0"/>
              <w:rPr>
                <w:sz w:val="8"/>
                <w:szCs w:val="8"/>
                <w:color w:val="auto"/>
              </w:rPr>
            </w:pPr>
          </w:p>
        </w:tc>
        <w:tc>
          <w:tcPr>
            <w:tcW w:w="1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99"/>
        </w:trPr>
        <w:tc>
          <w:tcPr>
            <w:tcW w:w="1420" w:type="dxa"/>
            <w:vAlign w:val="bottom"/>
          </w:tcPr>
          <w:p>
            <w:pPr>
              <w:spacing w:after="0"/>
              <w:rPr>
                <w:sz w:val="20"/>
                <w:szCs w:val="20"/>
                <w:color w:val="auto"/>
              </w:rPr>
            </w:pPr>
            <w:r>
              <w:rPr>
                <w:rFonts w:ascii="Arial" w:cs="Arial" w:eastAsia="Arial" w:hAnsi="Arial"/>
                <w:sz w:val="18"/>
                <w:szCs w:val="18"/>
                <w:b w:val="1"/>
                <w:bCs w:val="1"/>
                <w:i w:val="1"/>
                <w:iCs w:val="1"/>
                <w:color w:val="0079C0"/>
              </w:rPr>
              <w:t>Base Salary</w:t>
            </w: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color w:val="FFFFFF"/>
        </w:rPr>
        <w:t>Purpose/Design</w:t>
      </w:r>
    </w:p>
    <w:p>
      <w:pPr>
        <w:jc w:val="both"/>
        <w:spacing w:after="0" w:line="234" w:lineRule="auto"/>
        <w:rPr>
          <w:sz w:val="20"/>
          <w:szCs w:val="20"/>
          <w:color w:val="auto"/>
        </w:rPr>
      </w:pPr>
      <w:r>
        <w:rPr>
          <w:rFonts w:ascii="Arial" w:cs="Arial" w:eastAsia="Arial" w:hAnsi="Arial"/>
          <w:sz w:val="18"/>
          <w:szCs w:val="18"/>
          <w:color w:val="4D4D4F"/>
        </w:rPr>
        <w:t>Attracts, retains and rewards NEOs, and provides NEOs with fixed compensation based on their performance and contributions</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4D4D4F"/>
        </w:rPr>
        <w:t>We do not have an established bonus policy for our NEOs; the compensation committee may decide, in its sole discretion, to reward NEOs with annual cash bonuses based on individual NEO performance, our business performance generally and, in certain circumstances, achievement of specific business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-2508885</wp:posOffset>
            </wp:positionH>
            <wp:positionV relativeFrom="paragraph">
              <wp:posOffset>-511175</wp:posOffset>
            </wp:positionV>
            <wp:extent cx="7132320" cy="5143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514350"/>
                    </a:xfrm>
                    <a:prstGeom prst="rect">
                      <a:avLst/>
                    </a:prstGeom>
                    <a:noFill/>
                  </pic:spPr>
                </pic:pic>
              </a:graphicData>
            </a:graphic>
          </wp:anchor>
        </w:drawing>
      </w:r>
    </w:p>
    <w:p>
      <w:pPr>
        <w:jc w:val="both"/>
        <w:spacing w:after="0"/>
        <w:rPr>
          <w:sz w:val="20"/>
          <w:szCs w:val="20"/>
          <w:color w:val="auto"/>
        </w:rPr>
      </w:pPr>
      <w:r>
        <w:rPr>
          <w:rFonts w:ascii="Arial" w:cs="Arial" w:eastAsia="Arial" w:hAnsi="Arial"/>
          <w:sz w:val="18"/>
          <w:szCs w:val="18"/>
          <w:color w:val="4D4D4F"/>
        </w:rPr>
        <w:t>Directly ties individual performance to long-term appreciation of our common stock price, rewards NEOs for strong company performance, and aligns the interests of NEOs with those of our stockholders</w:t>
      </w:r>
    </w:p>
    <w:p>
      <w:pPr>
        <w:spacing w:after="0" w:line="553" w:lineRule="exact"/>
        <w:rPr>
          <w:sz w:val="20"/>
          <w:szCs w:val="20"/>
          <w:color w:val="auto"/>
        </w:rPr>
      </w:pPr>
    </w:p>
    <w:p>
      <w:pPr>
        <w:sectPr>
          <w:pgSz w:w="11900" w:h="16838" w:orient="portrait"/>
          <w:cols w:equalWidth="0" w:num="2">
            <w:col w:w="3320" w:space="640"/>
            <w:col w:w="7280"/>
          </w:cols>
          <w:pgMar w:left="320" w:top="130" w:right="339" w:bottom="1440" w:gutter="0" w:footer="0" w:header="0"/>
          <w:type w:val="continuous"/>
        </w:sectPr>
      </w:pPr>
    </w:p>
    <w:p>
      <w:pPr>
        <w:jc w:val="both"/>
        <w:spacing w:after="0"/>
        <w:rPr>
          <w:sz w:val="20"/>
          <w:szCs w:val="20"/>
          <w:color w:val="auto"/>
        </w:rPr>
      </w:pPr>
      <w:r>
        <w:rPr>
          <w:rFonts w:ascii="Arial" w:cs="Arial" w:eastAsia="Arial" w:hAnsi="Arial"/>
          <w:sz w:val="18"/>
          <w:szCs w:val="18"/>
          <w:color w:val="4D4D4F"/>
        </w:rPr>
        <w:t>The compensation committee regularly considers the base salaries of the NEOs as part of its overall compensation review process and may make changes to such base salaries to reflect competitive market practices in the jurisdictions in which we operate and to adjust for individual NEO performance. Based on the foregoing, for 2020 the compensation committee approved base salaries as set forth below:</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 w:type="dxa"/>
            <w:vAlign w:val="bottom"/>
            <w:tcBorders>
              <w:top w:val="single" w:sz="8" w:color="95B3D7"/>
              <w:right w:val="single" w:sz="8" w:color="95B3D7"/>
            </w:tcBorders>
            <w:shd w:val="clear" w:color="auto" w:fill="95B3D7"/>
          </w:tcPr>
          <w:p>
            <w:pPr>
              <w:spacing w:after="0"/>
              <w:rPr>
                <w:sz w:val="16"/>
                <w:szCs w:val="16"/>
                <w:color w:val="auto"/>
              </w:rPr>
            </w:pPr>
          </w:p>
        </w:tc>
        <w:tc>
          <w:tcPr>
            <w:tcW w:w="2800" w:type="dxa"/>
            <w:vAlign w:val="bottom"/>
            <w:tcBorders>
              <w:top w:val="single" w:sz="8" w:color="95B3D7"/>
            </w:tcBorders>
            <w:shd w:val="clear" w:color="auto" w:fill="003E64"/>
          </w:tcPr>
          <w:p>
            <w:pPr>
              <w:spacing w:after="0"/>
              <w:rPr>
                <w:sz w:val="20"/>
                <w:szCs w:val="20"/>
                <w:color w:val="auto"/>
              </w:rPr>
            </w:pPr>
            <w:r>
              <w:rPr>
                <w:rFonts w:ascii="Arial" w:cs="Arial" w:eastAsia="Arial" w:hAnsi="Arial"/>
                <w:sz w:val="14"/>
                <w:szCs w:val="14"/>
                <w:b w:val="1"/>
                <w:bCs w:val="1"/>
                <w:color w:val="FFFFFF"/>
              </w:rPr>
              <w:t>Named Executive Officer</w:t>
            </w:r>
          </w:p>
        </w:tc>
        <w:tc>
          <w:tcPr>
            <w:tcW w:w="3360" w:type="dxa"/>
            <w:vAlign w:val="bottom"/>
            <w:tcBorders>
              <w:top w:val="single" w:sz="8" w:color="95B3D7"/>
            </w:tcBorders>
            <w:shd w:val="clear" w:color="auto" w:fill="003E64"/>
          </w:tcPr>
          <w:p>
            <w:pPr>
              <w:ind w:left="1100"/>
              <w:spacing w:after="0"/>
              <w:rPr>
                <w:sz w:val="20"/>
                <w:szCs w:val="20"/>
                <w:color w:val="auto"/>
              </w:rPr>
            </w:pPr>
            <w:r>
              <w:rPr>
                <w:rFonts w:ascii="Arial" w:cs="Arial" w:eastAsia="Arial" w:hAnsi="Arial"/>
                <w:sz w:val="14"/>
                <w:szCs w:val="14"/>
                <w:b w:val="1"/>
                <w:bCs w:val="1"/>
                <w:color w:val="FFFFFF"/>
              </w:rPr>
              <w:t>Annual Base Salary 2019</w:t>
            </w:r>
          </w:p>
        </w:tc>
        <w:tc>
          <w:tcPr>
            <w:tcW w:w="2800" w:type="dxa"/>
            <w:vAlign w:val="bottom"/>
            <w:tcBorders>
              <w:top w:val="single" w:sz="8" w:color="95B3D7"/>
            </w:tcBorders>
            <w:shd w:val="clear" w:color="auto" w:fill="003E64"/>
          </w:tcPr>
          <w:p>
            <w:pPr>
              <w:ind w:left="560"/>
              <w:spacing w:after="0"/>
              <w:rPr>
                <w:sz w:val="20"/>
                <w:szCs w:val="20"/>
                <w:color w:val="auto"/>
              </w:rPr>
            </w:pPr>
            <w:r>
              <w:rPr>
                <w:rFonts w:ascii="Arial" w:cs="Arial" w:eastAsia="Arial" w:hAnsi="Arial"/>
                <w:sz w:val="14"/>
                <w:szCs w:val="14"/>
                <w:b w:val="1"/>
                <w:bCs w:val="1"/>
                <w:color w:val="FFFFFF"/>
              </w:rPr>
              <w:t>Annual Base Salary 2020</w:t>
            </w:r>
          </w:p>
        </w:tc>
        <w:tc>
          <w:tcPr>
            <w:tcW w:w="2220" w:type="dxa"/>
            <w:vAlign w:val="bottom"/>
            <w:tcBorders>
              <w:top w:val="single" w:sz="8" w:color="95B3D7"/>
            </w:tcBorders>
            <w:shd w:val="clear" w:color="auto" w:fill="003E64"/>
          </w:tcPr>
          <w:p>
            <w:pPr>
              <w:ind w:left="540"/>
              <w:spacing w:after="0"/>
              <w:rPr>
                <w:sz w:val="20"/>
                <w:szCs w:val="20"/>
                <w:color w:val="auto"/>
              </w:rPr>
            </w:pPr>
            <w:r>
              <w:rPr>
                <w:rFonts w:ascii="Arial" w:cs="Arial" w:eastAsia="Arial" w:hAnsi="Arial"/>
                <w:sz w:val="14"/>
                <w:szCs w:val="14"/>
                <w:b w:val="1"/>
                <w:bCs w:val="1"/>
                <w:color w:val="FFFFFF"/>
              </w:rPr>
              <w:t>Percent Increase</w:t>
            </w:r>
          </w:p>
        </w:tc>
        <w:tc>
          <w:tcPr>
            <w:tcW w:w="20" w:type="dxa"/>
            <w:vAlign w:val="bottom"/>
            <w:tcBorders>
              <w:top w:val="single" w:sz="8" w:color="95B3D7"/>
            </w:tcBorders>
            <w:shd w:val="clear" w:color="auto" w:fill="95B3D7"/>
          </w:tcPr>
          <w:p>
            <w:pPr>
              <w:spacing w:after="0"/>
              <w:rPr>
                <w:sz w:val="16"/>
                <w:szCs w:val="16"/>
                <w:color w:val="auto"/>
              </w:rPr>
            </w:pPr>
          </w:p>
        </w:tc>
      </w:tr>
      <w:tr>
        <w:trPr>
          <w:trHeight w:val="203"/>
        </w:trPr>
        <w:tc>
          <w:tcPr>
            <w:tcW w:w="40" w:type="dxa"/>
            <w:vAlign w:val="bottom"/>
          </w:tcPr>
          <w:p>
            <w:pPr>
              <w:spacing w:after="0"/>
              <w:rPr>
                <w:sz w:val="17"/>
                <w:szCs w:val="17"/>
                <w:color w:val="auto"/>
              </w:rPr>
            </w:pPr>
          </w:p>
        </w:tc>
        <w:tc>
          <w:tcPr>
            <w:tcW w:w="2800" w:type="dxa"/>
            <w:vAlign w:val="bottom"/>
          </w:tcPr>
          <w:p>
            <w:pPr>
              <w:spacing w:after="0" w:line="202" w:lineRule="exact"/>
              <w:rPr>
                <w:sz w:val="20"/>
                <w:szCs w:val="20"/>
                <w:color w:val="auto"/>
              </w:rPr>
            </w:pPr>
            <w:r>
              <w:rPr>
                <w:rFonts w:ascii="Arial" w:cs="Arial" w:eastAsia="Arial" w:hAnsi="Arial"/>
                <w:sz w:val="18"/>
                <w:szCs w:val="18"/>
                <w:color w:val="4D4D4F"/>
              </w:rPr>
              <w:t>David H. Wang</w:t>
            </w:r>
          </w:p>
        </w:tc>
        <w:tc>
          <w:tcPr>
            <w:tcW w:w="3360" w:type="dxa"/>
            <w:vAlign w:val="bottom"/>
          </w:tcPr>
          <w:p>
            <w:pPr>
              <w:jc w:val="center"/>
              <w:ind w:left="473"/>
              <w:spacing w:after="0" w:line="202" w:lineRule="exact"/>
              <w:rPr>
                <w:sz w:val="20"/>
                <w:szCs w:val="20"/>
                <w:color w:val="auto"/>
              </w:rPr>
            </w:pPr>
            <w:r>
              <w:rPr>
                <w:rFonts w:ascii="Arial" w:cs="Arial" w:eastAsia="Arial" w:hAnsi="Arial"/>
                <w:sz w:val="18"/>
                <w:szCs w:val="18"/>
                <w:color w:val="4D4D4F"/>
              </w:rPr>
              <w:t>$229,742</w:t>
            </w:r>
          </w:p>
        </w:tc>
        <w:tc>
          <w:tcPr>
            <w:tcW w:w="2800" w:type="dxa"/>
            <w:vAlign w:val="bottom"/>
          </w:tcPr>
          <w:p>
            <w:pPr>
              <w:jc w:val="center"/>
              <w:spacing w:after="0" w:line="202" w:lineRule="exact"/>
              <w:rPr>
                <w:sz w:val="20"/>
                <w:szCs w:val="20"/>
                <w:color w:val="auto"/>
              </w:rPr>
            </w:pPr>
            <w:r>
              <w:rPr>
                <w:rFonts w:ascii="Arial" w:cs="Arial" w:eastAsia="Arial" w:hAnsi="Arial"/>
                <w:sz w:val="18"/>
                <w:szCs w:val="18"/>
                <w:color w:val="4D4D4F"/>
              </w:rPr>
              <w:t>$294,054</w:t>
            </w:r>
          </w:p>
        </w:tc>
        <w:tc>
          <w:tcPr>
            <w:tcW w:w="2220" w:type="dxa"/>
            <w:vAlign w:val="bottom"/>
          </w:tcPr>
          <w:p>
            <w:pPr>
              <w:jc w:val="center"/>
              <w:spacing w:after="0" w:line="202" w:lineRule="exact"/>
              <w:rPr>
                <w:sz w:val="20"/>
                <w:szCs w:val="20"/>
                <w:color w:val="auto"/>
              </w:rPr>
            </w:pPr>
            <w:r>
              <w:rPr>
                <w:rFonts w:ascii="Arial" w:cs="Arial" w:eastAsia="Arial" w:hAnsi="Arial"/>
                <w:sz w:val="18"/>
                <w:szCs w:val="18"/>
                <w:color w:val="4D4D4F"/>
                <w:w w:val="97"/>
              </w:rPr>
              <w:t>28.0%</w:t>
            </w:r>
          </w:p>
        </w:tc>
        <w:tc>
          <w:tcPr>
            <w:tcW w:w="20" w:type="dxa"/>
            <w:vAlign w:val="bottom"/>
          </w:tcPr>
          <w:p>
            <w:pPr>
              <w:spacing w:after="0"/>
              <w:rPr>
                <w:sz w:val="17"/>
                <w:szCs w:val="17"/>
                <w:color w:val="auto"/>
              </w:rPr>
            </w:pPr>
          </w:p>
        </w:tc>
      </w:tr>
      <w:tr>
        <w:trPr>
          <w:trHeight w:val="203"/>
        </w:trPr>
        <w:tc>
          <w:tcPr>
            <w:tcW w:w="40" w:type="dxa"/>
            <w:vAlign w:val="bottom"/>
            <w:tcBorders>
              <w:right w:val="single" w:sz="8" w:color="B7E4FF"/>
            </w:tcBorders>
          </w:tcPr>
          <w:p>
            <w:pPr>
              <w:spacing w:after="0"/>
              <w:rPr>
                <w:sz w:val="17"/>
                <w:szCs w:val="17"/>
                <w:color w:val="auto"/>
              </w:rPr>
            </w:pPr>
          </w:p>
        </w:tc>
        <w:tc>
          <w:tcPr>
            <w:tcW w:w="2800" w:type="dxa"/>
            <w:vAlign w:val="bottom"/>
            <w:shd w:val="clear" w:color="auto" w:fill="B7E4FF"/>
          </w:tcPr>
          <w:p>
            <w:pPr>
              <w:spacing w:after="0" w:line="202" w:lineRule="exact"/>
              <w:rPr>
                <w:sz w:val="20"/>
                <w:szCs w:val="20"/>
                <w:color w:val="auto"/>
              </w:rPr>
            </w:pPr>
            <w:r>
              <w:rPr>
                <w:rFonts w:ascii="Arial" w:cs="Arial" w:eastAsia="Arial" w:hAnsi="Arial"/>
                <w:sz w:val="18"/>
                <w:szCs w:val="18"/>
                <w:color w:val="4D4D4F"/>
              </w:rPr>
              <w:t>Mark McKechnie</w:t>
            </w:r>
          </w:p>
        </w:tc>
        <w:tc>
          <w:tcPr>
            <w:tcW w:w="3360" w:type="dxa"/>
            <w:vAlign w:val="bottom"/>
            <w:shd w:val="clear" w:color="auto" w:fill="B7E4FF"/>
          </w:tcPr>
          <w:p>
            <w:pPr>
              <w:jc w:val="center"/>
              <w:ind w:left="473"/>
              <w:spacing w:after="0" w:line="202" w:lineRule="exact"/>
              <w:rPr>
                <w:sz w:val="20"/>
                <w:szCs w:val="20"/>
                <w:color w:val="auto"/>
              </w:rPr>
            </w:pPr>
            <w:r>
              <w:rPr>
                <w:rFonts w:ascii="Arial" w:cs="Arial" w:eastAsia="Arial" w:hAnsi="Arial"/>
                <w:sz w:val="18"/>
                <w:szCs w:val="18"/>
                <w:color w:val="4D4D4F"/>
                <w:w w:val="98"/>
              </w:rPr>
              <w:t>232,424</w:t>
            </w:r>
          </w:p>
        </w:tc>
        <w:tc>
          <w:tcPr>
            <w:tcW w:w="2800" w:type="dxa"/>
            <w:vAlign w:val="bottom"/>
            <w:shd w:val="clear" w:color="auto" w:fill="B7E4FF"/>
          </w:tcPr>
          <w:p>
            <w:pPr>
              <w:jc w:val="center"/>
              <w:spacing w:after="0" w:line="202" w:lineRule="exact"/>
              <w:rPr>
                <w:sz w:val="20"/>
                <w:szCs w:val="20"/>
                <w:color w:val="auto"/>
              </w:rPr>
            </w:pPr>
            <w:r>
              <w:rPr>
                <w:rFonts w:ascii="Arial" w:cs="Arial" w:eastAsia="Arial" w:hAnsi="Arial"/>
                <w:sz w:val="18"/>
                <w:szCs w:val="18"/>
                <w:color w:val="4D4D4F"/>
                <w:w w:val="98"/>
              </w:rPr>
              <w:t>243,906</w:t>
            </w:r>
          </w:p>
        </w:tc>
        <w:tc>
          <w:tcPr>
            <w:tcW w:w="2220" w:type="dxa"/>
            <w:vAlign w:val="bottom"/>
            <w:shd w:val="clear" w:color="auto" w:fill="B7E4FF"/>
          </w:tcPr>
          <w:p>
            <w:pPr>
              <w:jc w:val="center"/>
              <w:spacing w:after="0" w:line="202" w:lineRule="exact"/>
              <w:rPr>
                <w:sz w:val="20"/>
                <w:szCs w:val="20"/>
                <w:color w:val="auto"/>
              </w:rPr>
            </w:pPr>
            <w:r>
              <w:rPr>
                <w:rFonts w:ascii="Arial" w:cs="Arial" w:eastAsia="Arial" w:hAnsi="Arial"/>
                <w:sz w:val="18"/>
                <w:szCs w:val="18"/>
                <w:color w:val="4D4D4F"/>
              </w:rPr>
              <w:t>4.9</w:t>
            </w:r>
          </w:p>
        </w:tc>
        <w:tc>
          <w:tcPr>
            <w:tcW w:w="20" w:type="dxa"/>
            <w:vAlign w:val="bottom"/>
          </w:tcPr>
          <w:p>
            <w:pPr>
              <w:spacing w:after="0"/>
              <w:rPr>
                <w:sz w:val="17"/>
                <w:szCs w:val="17"/>
                <w:color w:val="auto"/>
              </w:rPr>
            </w:pPr>
          </w:p>
        </w:tc>
      </w:tr>
      <w:tr>
        <w:trPr>
          <w:trHeight w:val="203"/>
        </w:trPr>
        <w:tc>
          <w:tcPr>
            <w:tcW w:w="40" w:type="dxa"/>
            <w:vAlign w:val="bottom"/>
          </w:tcPr>
          <w:p>
            <w:pPr>
              <w:spacing w:after="0"/>
              <w:rPr>
                <w:sz w:val="17"/>
                <w:szCs w:val="17"/>
                <w:color w:val="auto"/>
              </w:rPr>
            </w:pPr>
          </w:p>
        </w:tc>
        <w:tc>
          <w:tcPr>
            <w:tcW w:w="2800" w:type="dxa"/>
            <w:vAlign w:val="bottom"/>
          </w:tcPr>
          <w:p>
            <w:pPr>
              <w:spacing w:after="0" w:line="202" w:lineRule="exact"/>
              <w:rPr>
                <w:sz w:val="20"/>
                <w:szCs w:val="20"/>
                <w:color w:val="auto"/>
              </w:rPr>
            </w:pPr>
            <w:r>
              <w:rPr>
                <w:rFonts w:ascii="Arial" w:cs="Arial" w:eastAsia="Arial" w:hAnsi="Arial"/>
                <w:sz w:val="18"/>
                <w:szCs w:val="18"/>
                <w:color w:val="4D4D4F"/>
              </w:rPr>
              <w:t>Jian Wang</w:t>
            </w:r>
          </w:p>
        </w:tc>
        <w:tc>
          <w:tcPr>
            <w:tcW w:w="3360" w:type="dxa"/>
            <w:vAlign w:val="bottom"/>
          </w:tcPr>
          <w:p>
            <w:pPr>
              <w:jc w:val="center"/>
              <w:ind w:left="473"/>
              <w:spacing w:after="0" w:line="202" w:lineRule="exact"/>
              <w:rPr>
                <w:sz w:val="20"/>
                <w:szCs w:val="20"/>
                <w:color w:val="auto"/>
              </w:rPr>
            </w:pPr>
            <w:r>
              <w:rPr>
                <w:rFonts w:ascii="Arial" w:cs="Arial" w:eastAsia="Arial" w:hAnsi="Arial"/>
                <w:sz w:val="18"/>
                <w:szCs w:val="18"/>
                <w:color w:val="4D4D4F"/>
                <w:w w:val="98"/>
              </w:rPr>
              <w:t>139,241</w:t>
            </w:r>
          </w:p>
        </w:tc>
        <w:tc>
          <w:tcPr>
            <w:tcW w:w="2800" w:type="dxa"/>
            <w:vAlign w:val="bottom"/>
          </w:tcPr>
          <w:p>
            <w:pPr>
              <w:jc w:val="center"/>
              <w:spacing w:after="0" w:line="202" w:lineRule="exact"/>
              <w:rPr>
                <w:sz w:val="20"/>
                <w:szCs w:val="20"/>
                <w:color w:val="auto"/>
              </w:rPr>
            </w:pPr>
            <w:r>
              <w:rPr>
                <w:rFonts w:ascii="Arial" w:cs="Arial" w:eastAsia="Arial" w:hAnsi="Arial"/>
                <w:sz w:val="18"/>
                <w:szCs w:val="18"/>
                <w:color w:val="4D4D4F"/>
                <w:w w:val="98"/>
              </w:rPr>
              <w:t>162,492</w:t>
            </w:r>
          </w:p>
        </w:tc>
        <w:tc>
          <w:tcPr>
            <w:tcW w:w="2220" w:type="dxa"/>
            <w:vAlign w:val="bottom"/>
          </w:tcPr>
          <w:p>
            <w:pPr>
              <w:jc w:val="center"/>
              <w:spacing w:after="0" w:line="202" w:lineRule="exact"/>
              <w:rPr>
                <w:sz w:val="20"/>
                <w:szCs w:val="20"/>
                <w:color w:val="auto"/>
              </w:rPr>
            </w:pPr>
            <w:r>
              <w:rPr>
                <w:rFonts w:ascii="Arial" w:cs="Arial" w:eastAsia="Arial" w:hAnsi="Arial"/>
                <w:sz w:val="18"/>
                <w:szCs w:val="18"/>
                <w:color w:val="4D4D4F"/>
                <w:w w:val="96"/>
              </w:rPr>
              <w:t>16.7</w:t>
            </w:r>
          </w:p>
        </w:tc>
        <w:tc>
          <w:tcPr>
            <w:tcW w:w="20" w:type="dxa"/>
            <w:vAlign w:val="bottom"/>
          </w:tcPr>
          <w:p>
            <w:pPr>
              <w:spacing w:after="0"/>
              <w:rPr>
                <w:sz w:val="17"/>
                <w:szCs w:val="17"/>
                <w:color w:val="auto"/>
              </w:rPr>
            </w:pPr>
          </w:p>
        </w:tc>
      </w:tr>
      <w:tr>
        <w:trPr>
          <w:trHeight w:val="203"/>
        </w:trPr>
        <w:tc>
          <w:tcPr>
            <w:tcW w:w="40" w:type="dxa"/>
            <w:vAlign w:val="bottom"/>
            <w:tcBorders>
              <w:right w:val="single" w:sz="8" w:color="B7E4FF"/>
            </w:tcBorders>
          </w:tcPr>
          <w:p>
            <w:pPr>
              <w:spacing w:after="0"/>
              <w:rPr>
                <w:sz w:val="17"/>
                <w:szCs w:val="17"/>
                <w:color w:val="auto"/>
              </w:rPr>
            </w:pPr>
          </w:p>
        </w:tc>
        <w:tc>
          <w:tcPr>
            <w:tcW w:w="2800" w:type="dxa"/>
            <w:vAlign w:val="bottom"/>
            <w:shd w:val="clear" w:color="auto" w:fill="B7E4FF"/>
          </w:tcPr>
          <w:p>
            <w:pPr>
              <w:spacing w:after="0" w:line="202" w:lineRule="exact"/>
              <w:rPr>
                <w:sz w:val="20"/>
                <w:szCs w:val="20"/>
                <w:color w:val="auto"/>
              </w:rPr>
            </w:pPr>
            <w:r>
              <w:rPr>
                <w:rFonts w:ascii="Arial" w:cs="Arial" w:eastAsia="Arial" w:hAnsi="Arial"/>
                <w:sz w:val="18"/>
                <w:szCs w:val="18"/>
                <w:color w:val="4D4D4F"/>
              </w:rPr>
              <w:t>Lisa Feng</w:t>
            </w:r>
          </w:p>
        </w:tc>
        <w:tc>
          <w:tcPr>
            <w:tcW w:w="3360" w:type="dxa"/>
            <w:vAlign w:val="bottom"/>
            <w:shd w:val="clear" w:color="auto" w:fill="B7E4FF"/>
          </w:tcPr>
          <w:p>
            <w:pPr>
              <w:jc w:val="center"/>
              <w:ind w:left="473"/>
              <w:spacing w:after="0" w:line="202" w:lineRule="exact"/>
              <w:rPr>
                <w:sz w:val="20"/>
                <w:szCs w:val="20"/>
                <w:color w:val="auto"/>
              </w:rPr>
            </w:pPr>
            <w:r>
              <w:rPr>
                <w:rFonts w:ascii="Arial" w:cs="Arial" w:eastAsia="Arial" w:hAnsi="Arial"/>
                <w:sz w:val="18"/>
                <w:szCs w:val="18"/>
                <w:color w:val="4D4D4F"/>
                <w:w w:val="98"/>
              </w:rPr>
              <w:t>159,673</w:t>
            </w:r>
          </w:p>
        </w:tc>
        <w:tc>
          <w:tcPr>
            <w:tcW w:w="2800" w:type="dxa"/>
            <w:vAlign w:val="bottom"/>
            <w:shd w:val="clear" w:color="auto" w:fill="B7E4FF"/>
          </w:tcPr>
          <w:p>
            <w:pPr>
              <w:jc w:val="center"/>
              <w:spacing w:after="0" w:line="202" w:lineRule="exact"/>
              <w:rPr>
                <w:sz w:val="20"/>
                <w:szCs w:val="20"/>
                <w:color w:val="auto"/>
              </w:rPr>
            </w:pPr>
            <w:r>
              <w:rPr>
                <w:rFonts w:ascii="Arial" w:cs="Arial" w:eastAsia="Arial" w:hAnsi="Arial"/>
                <w:sz w:val="18"/>
                <w:szCs w:val="18"/>
                <w:color w:val="4D4D4F"/>
                <w:w w:val="98"/>
              </w:rPr>
              <w:t>169,172</w:t>
            </w:r>
          </w:p>
        </w:tc>
        <w:tc>
          <w:tcPr>
            <w:tcW w:w="2220" w:type="dxa"/>
            <w:vAlign w:val="bottom"/>
            <w:shd w:val="clear" w:color="auto" w:fill="B7E4FF"/>
          </w:tcPr>
          <w:p>
            <w:pPr>
              <w:jc w:val="center"/>
              <w:spacing w:after="0" w:line="202" w:lineRule="exact"/>
              <w:rPr>
                <w:sz w:val="20"/>
                <w:szCs w:val="20"/>
                <w:color w:val="auto"/>
              </w:rPr>
            </w:pPr>
            <w:r>
              <w:rPr>
                <w:rFonts w:ascii="Arial" w:cs="Arial" w:eastAsia="Arial" w:hAnsi="Arial"/>
                <w:sz w:val="18"/>
                <w:szCs w:val="18"/>
                <w:color w:val="4D4D4F"/>
              </w:rPr>
              <w:t>5.9</w:t>
            </w:r>
          </w:p>
        </w:tc>
        <w:tc>
          <w:tcPr>
            <w:tcW w:w="20" w:type="dxa"/>
            <w:vAlign w:val="bottom"/>
          </w:tcPr>
          <w:p>
            <w:pPr>
              <w:spacing w:after="0"/>
              <w:rPr>
                <w:sz w:val="17"/>
                <w:szCs w:val="17"/>
                <w:color w:val="auto"/>
              </w:rPr>
            </w:pPr>
          </w:p>
        </w:tc>
      </w:tr>
      <w:tr>
        <w:trPr>
          <w:trHeight w:val="217"/>
        </w:trPr>
        <w:tc>
          <w:tcPr>
            <w:tcW w:w="4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4D4D4F"/>
              </w:rPr>
              <w:t>Fuping Chen</w:t>
            </w:r>
          </w:p>
        </w:tc>
        <w:tc>
          <w:tcPr>
            <w:tcW w:w="3360" w:type="dxa"/>
            <w:vAlign w:val="bottom"/>
          </w:tcPr>
          <w:p>
            <w:pPr>
              <w:jc w:val="center"/>
              <w:ind w:left="473"/>
              <w:spacing w:after="0"/>
              <w:rPr>
                <w:sz w:val="20"/>
                <w:szCs w:val="20"/>
                <w:color w:val="auto"/>
              </w:rPr>
            </w:pPr>
            <w:r>
              <w:rPr>
                <w:rFonts w:ascii="Arial" w:cs="Arial" w:eastAsia="Arial" w:hAnsi="Arial"/>
                <w:sz w:val="18"/>
                <w:szCs w:val="18"/>
                <w:color w:val="4D4D4F"/>
              </w:rPr>
              <w:t>90,603</w:t>
            </w:r>
          </w:p>
        </w:tc>
        <w:tc>
          <w:tcPr>
            <w:tcW w:w="2800" w:type="dxa"/>
            <w:vAlign w:val="bottom"/>
          </w:tcPr>
          <w:p>
            <w:pPr>
              <w:jc w:val="center"/>
              <w:spacing w:after="0"/>
              <w:rPr>
                <w:sz w:val="20"/>
                <w:szCs w:val="20"/>
                <w:color w:val="auto"/>
              </w:rPr>
            </w:pPr>
            <w:r>
              <w:rPr>
                <w:rFonts w:ascii="Arial" w:cs="Arial" w:eastAsia="Arial" w:hAnsi="Arial"/>
                <w:sz w:val="18"/>
                <w:szCs w:val="18"/>
                <w:color w:val="4D4D4F"/>
                <w:w w:val="98"/>
              </w:rPr>
              <w:t>103,871</w:t>
            </w:r>
          </w:p>
        </w:tc>
        <w:tc>
          <w:tcPr>
            <w:tcW w:w="2220" w:type="dxa"/>
            <w:vAlign w:val="bottom"/>
          </w:tcPr>
          <w:p>
            <w:pPr>
              <w:jc w:val="center"/>
              <w:spacing w:after="0"/>
              <w:rPr>
                <w:sz w:val="20"/>
                <w:szCs w:val="20"/>
                <w:color w:val="auto"/>
              </w:rPr>
            </w:pPr>
            <w:r>
              <w:rPr>
                <w:rFonts w:ascii="Arial" w:cs="Arial" w:eastAsia="Arial" w:hAnsi="Arial"/>
                <w:sz w:val="18"/>
                <w:szCs w:val="18"/>
                <w:color w:val="4D4D4F"/>
                <w:w w:val="96"/>
              </w:rPr>
              <w:t>14.6</w:t>
            </w:r>
          </w:p>
        </w:tc>
        <w:tc>
          <w:tcPr>
            <w:tcW w:w="20" w:type="dxa"/>
            <w:vAlign w:val="bottom"/>
          </w:tcPr>
          <w:p>
            <w:pPr>
              <w:spacing w:after="0"/>
              <w:rPr>
                <w:sz w:val="18"/>
                <w:szCs w:val="18"/>
                <w:color w:val="auto"/>
              </w:rPr>
            </w:pPr>
          </w:p>
        </w:tc>
      </w:tr>
    </w:tbl>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9C0"/>
        </w:rPr>
        <w:t>Annual Cash Bonus Program</w:t>
      </w:r>
    </w:p>
    <w:p>
      <w:pPr>
        <w:spacing w:after="0" w:line="19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do not have an established bonus policy for our NEOs. The compensation committee may decide, in its sole discretion, to reward NEOs with annual cash bonuses based on the achievement of individual NEO performance, our business performance (including revenues and profits, without specified targets), and development generally. Based on the foregoing considerations, for 2020 the compensation committee approved the following bonuses:</w:t>
      </w:r>
    </w:p>
    <w:p>
      <w:pPr>
        <w:spacing w:after="0" w:line="84" w:lineRule="exact"/>
        <w:rPr>
          <w:sz w:val="20"/>
          <w:szCs w:val="20"/>
          <w:color w:val="auto"/>
        </w:rPr>
      </w:pPr>
    </w:p>
    <w:tbl>
      <w:tblPr>
        <w:tblLayout w:type="fixed"/>
        <w:tblInd w:w="3380" w:type="dxa"/>
        <w:tblCellMar>
          <w:top w:w="0" w:type="dxa"/>
          <w:left w:w="0" w:type="dxa"/>
          <w:bottom w:w="0" w:type="dxa"/>
          <w:right w:w="0" w:type="dxa"/>
        </w:tblCellMar>
      </w:tblPr>
      <w:tr>
        <w:trPr>
          <w:trHeight w:val="162"/>
        </w:trPr>
        <w:tc>
          <w:tcPr>
            <w:tcW w:w="2600" w:type="dxa"/>
            <w:vAlign w:val="bottom"/>
            <w:shd w:val="clear" w:color="auto" w:fill="003E64"/>
          </w:tcPr>
          <w:p>
            <w:pPr>
              <w:spacing w:after="0"/>
              <w:rPr>
                <w:sz w:val="20"/>
                <w:szCs w:val="20"/>
                <w:color w:val="auto"/>
              </w:rPr>
            </w:pPr>
            <w:r>
              <w:rPr>
                <w:rFonts w:ascii="Arial" w:cs="Arial" w:eastAsia="Arial" w:hAnsi="Arial"/>
                <w:sz w:val="14"/>
                <w:szCs w:val="14"/>
                <w:b w:val="1"/>
                <w:bCs w:val="1"/>
                <w:color w:val="FFFFFF"/>
              </w:rPr>
              <w:t>Named Executive Officer</w:t>
            </w:r>
          </w:p>
        </w:tc>
        <w:tc>
          <w:tcPr>
            <w:tcW w:w="1880" w:type="dxa"/>
            <w:vAlign w:val="bottom"/>
            <w:shd w:val="clear" w:color="auto" w:fill="003E64"/>
          </w:tcPr>
          <w:p>
            <w:pPr>
              <w:ind w:left="1000"/>
              <w:spacing w:after="0"/>
              <w:rPr>
                <w:sz w:val="20"/>
                <w:szCs w:val="20"/>
                <w:color w:val="auto"/>
              </w:rPr>
            </w:pPr>
            <w:r>
              <w:rPr>
                <w:rFonts w:ascii="Arial" w:cs="Arial" w:eastAsia="Arial" w:hAnsi="Arial"/>
                <w:sz w:val="14"/>
                <w:szCs w:val="14"/>
                <w:b w:val="1"/>
                <w:bCs w:val="1"/>
                <w:color w:val="FFFFFF"/>
              </w:rPr>
              <w:t>Bonus</w:t>
            </w:r>
          </w:p>
        </w:tc>
      </w:tr>
      <w:tr>
        <w:trPr>
          <w:trHeight w:val="203"/>
        </w:trPr>
        <w:tc>
          <w:tcPr>
            <w:tcW w:w="2600" w:type="dxa"/>
            <w:vAlign w:val="bottom"/>
          </w:tcPr>
          <w:p>
            <w:pPr>
              <w:spacing w:after="0" w:line="202" w:lineRule="exact"/>
              <w:rPr>
                <w:sz w:val="20"/>
                <w:szCs w:val="20"/>
                <w:color w:val="auto"/>
              </w:rPr>
            </w:pPr>
            <w:r>
              <w:rPr>
                <w:rFonts w:ascii="Arial" w:cs="Arial" w:eastAsia="Arial" w:hAnsi="Arial"/>
                <w:sz w:val="18"/>
                <w:szCs w:val="18"/>
                <w:color w:val="4D4D4F"/>
              </w:rPr>
              <w:t>David H. Wang</w:t>
            </w:r>
          </w:p>
        </w:tc>
        <w:tc>
          <w:tcPr>
            <w:tcW w:w="1880" w:type="dxa"/>
            <w:vAlign w:val="bottom"/>
          </w:tcPr>
          <w:p>
            <w:pPr>
              <w:jc w:val="center"/>
              <w:ind w:left="473"/>
              <w:spacing w:after="0" w:line="202" w:lineRule="exact"/>
              <w:rPr>
                <w:sz w:val="20"/>
                <w:szCs w:val="20"/>
                <w:color w:val="auto"/>
              </w:rPr>
            </w:pPr>
            <w:r>
              <w:rPr>
                <w:rFonts w:ascii="Arial" w:cs="Arial" w:eastAsia="Arial" w:hAnsi="Arial"/>
                <w:sz w:val="18"/>
                <w:szCs w:val="18"/>
                <w:color w:val="4D4D4F"/>
                <w:w w:val="98"/>
              </w:rPr>
              <w:t>$95,700</w:t>
            </w:r>
          </w:p>
        </w:tc>
      </w:tr>
      <w:tr>
        <w:trPr>
          <w:trHeight w:val="203"/>
        </w:trPr>
        <w:tc>
          <w:tcPr>
            <w:tcW w:w="2600" w:type="dxa"/>
            <w:vAlign w:val="bottom"/>
            <w:shd w:val="clear" w:color="auto" w:fill="B7E4FF"/>
          </w:tcPr>
          <w:p>
            <w:pPr>
              <w:spacing w:after="0" w:line="202" w:lineRule="exact"/>
              <w:rPr>
                <w:sz w:val="20"/>
                <w:szCs w:val="20"/>
                <w:color w:val="auto"/>
              </w:rPr>
            </w:pPr>
            <w:r>
              <w:rPr>
                <w:rFonts w:ascii="Arial" w:cs="Arial" w:eastAsia="Arial" w:hAnsi="Arial"/>
                <w:sz w:val="18"/>
                <w:szCs w:val="18"/>
                <w:color w:val="4D4D4F"/>
              </w:rPr>
              <w:t>Mark McKechnie</w:t>
            </w:r>
          </w:p>
        </w:tc>
        <w:tc>
          <w:tcPr>
            <w:tcW w:w="1880" w:type="dxa"/>
            <w:vAlign w:val="bottom"/>
            <w:shd w:val="clear" w:color="auto" w:fill="B7E4FF"/>
          </w:tcPr>
          <w:p>
            <w:pPr>
              <w:jc w:val="center"/>
              <w:ind w:left="493"/>
              <w:spacing w:after="0" w:line="202" w:lineRule="exact"/>
              <w:rPr>
                <w:sz w:val="20"/>
                <w:szCs w:val="20"/>
                <w:color w:val="auto"/>
              </w:rPr>
            </w:pPr>
            <w:r>
              <w:rPr>
                <w:rFonts w:ascii="Arial" w:cs="Arial" w:eastAsia="Arial" w:hAnsi="Arial"/>
                <w:sz w:val="18"/>
                <w:szCs w:val="18"/>
                <w:color w:val="4D4D4F"/>
                <w:w w:val="99"/>
              </w:rPr>
              <w:t>—</w:t>
            </w:r>
          </w:p>
        </w:tc>
      </w:tr>
      <w:tr>
        <w:trPr>
          <w:trHeight w:val="203"/>
        </w:trPr>
        <w:tc>
          <w:tcPr>
            <w:tcW w:w="2600" w:type="dxa"/>
            <w:vAlign w:val="bottom"/>
          </w:tcPr>
          <w:p>
            <w:pPr>
              <w:spacing w:after="0" w:line="202" w:lineRule="exact"/>
              <w:rPr>
                <w:sz w:val="20"/>
                <w:szCs w:val="20"/>
                <w:color w:val="auto"/>
              </w:rPr>
            </w:pPr>
            <w:r>
              <w:rPr>
                <w:rFonts w:ascii="Arial" w:cs="Arial" w:eastAsia="Arial" w:hAnsi="Arial"/>
                <w:sz w:val="18"/>
                <w:szCs w:val="18"/>
                <w:color w:val="4D4D4F"/>
              </w:rPr>
              <w:t>Jian Wang</w:t>
            </w:r>
          </w:p>
        </w:tc>
        <w:tc>
          <w:tcPr>
            <w:tcW w:w="1880" w:type="dxa"/>
            <w:vAlign w:val="bottom"/>
          </w:tcPr>
          <w:p>
            <w:pPr>
              <w:jc w:val="center"/>
              <w:ind w:left="473"/>
              <w:spacing w:after="0" w:line="202" w:lineRule="exact"/>
              <w:rPr>
                <w:sz w:val="20"/>
                <w:szCs w:val="20"/>
                <w:color w:val="auto"/>
              </w:rPr>
            </w:pPr>
            <w:r>
              <w:rPr>
                <w:rFonts w:ascii="Arial" w:cs="Arial" w:eastAsia="Arial" w:hAnsi="Arial"/>
                <w:sz w:val="18"/>
                <w:szCs w:val="18"/>
                <w:color w:val="4D4D4F"/>
              </w:rPr>
              <w:t>55,100</w:t>
            </w:r>
          </w:p>
        </w:tc>
      </w:tr>
      <w:tr>
        <w:trPr>
          <w:trHeight w:val="203"/>
        </w:trPr>
        <w:tc>
          <w:tcPr>
            <w:tcW w:w="2600" w:type="dxa"/>
            <w:vAlign w:val="bottom"/>
            <w:shd w:val="clear" w:color="auto" w:fill="B7E4FF"/>
          </w:tcPr>
          <w:p>
            <w:pPr>
              <w:spacing w:after="0" w:line="202" w:lineRule="exact"/>
              <w:rPr>
                <w:sz w:val="20"/>
                <w:szCs w:val="20"/>
                <w:color w:val="auto"/>
              </w:rPr>
            </w:pPr>
            <w:r>
              <w:rPr>
                <w:rFonts w:ascii="Arial" w:cs="Arial" w:eastAsia="Arial" w:hAnsi="Arial"/>
                <w:sz w:val="18"/>
                <w:szCs w:val="18"/>
                <w:color w:val="4D4D4F"/>
              </w:rPr>
              <w:t>Lisa Feng</w:t>
            </w:r>
          </w:p>
        </w:tc>
        <w:tc>
          <w:tcPr>
            <w:tcW w:w="1880" w:type="dxa"/>
            <w:vAlign w:val="bottom"/>
            <w:shd w:val="clear" w:color="auto" w:fill="B7E4FF"/>
          </w:tcPr>
          <w:p>
            <w:pPr>
              <w:jc w:val="center"/>
              <w:ind w:left="473"/>
              <w:spacing w:after="0" w:line="202" w:lineRule="exact"/>
              <w:rPr>
                <w:sz w:val="20"/>
                <w:szCs w:val="20"/>
                <w:color w:val="auto"/>
              </w:rPr>
            </w:pPr>
            <w:r>
              <w:rPr>
                <w:rFonts w:ascii="Arial" w:cs="Arial" w:eastAsia="Arial" w:hAnsi="Arial"/>
                <w:sz w:val="18"/>
                <w:szCs w:val="18"/>
                <w:color w:val="4D4D4F"/>
              </w:rPr>
              <w:t>43,500</w:t>
            </w:r>
          </w:p>
        </w:tc>
      </w:tr>
      <w:tr>
        <w:trPr>
          <w:trHeight w:val="217"/>
        </w:trPr>
        <w:tc>
          <w:tcPr>
            <w:tcW w:w="2600" w:type="dxa"/>
            <w:vAlign w:val="bottom"/>
          </w:tcPr>
          <w:p>
            <w:pPr>
              <w:spacing w:after="0"/>
              <w:rPr>
                <w:sz w:val="20"/>
                <w:szCs w:val="20"/>
                <w:color w:val="auto"/>
              </w:rPr>
            </w:pPr>
            <w:r>
              <w:rPr>
                <w:rFonts w:ascii="Arial" w:cs="Arial" w:eastAsia="Arial" w:hAnsi="Arial"/>
                <w:sz w:val="18"/>
                <w:szCs w:val="18"/>
                <w:color w:val="4D4D4F"/>
              </w:rPr>
              <w:t>Fuping Chen</w:t>
            </w:r>
          </w:p>
        </w:tc>
        <w:tc>
          <w:tcPr>
            <w:tcW w:w="1880" w:type="dxa"/>
            <w:vAlign w:val="bottom"/>
          </w:tcPr>
          <w:p>
            <w:pPr>
              <w:jc w:val="center"/>
              <w:ind w:left="473"/>
              <w:spacing w:after="0"/>
              <w:rPr>
                <w:sz w:val="20"/>
                <w:szCs w:val="20"/>
                <w:color w:val="auto"/>
              </w:rPr>
            </w:pPr>
            <w:r>
              <w:rPr>
                <w:rFonts w:ascii="Arial" w:cs="Arial" w:eastAsia="Arial" w:hAnsi="Arial"/>
                <w:sz w:val="18"/>
                <w:szCs w:val="18"/>
                <w:color w:val="4D4D4F"/>
              </w:rPr>
              <w:t>95,700</w:t>
            </w:r>
          </w:p>
        </w:tc>
      </w:tr>
    </w:tbl>
    <w:p>
      <w:pPr>
        <w:spacing w:after="0" w:line="16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For Mr. McKechnie, because he received a stock option grant in 2019 and because the compensation committee intended but did not implement a bonus plan for him based on specific business objectives, he did not receive an annual cash bonus for 2020.</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9C0"/>
        </w:rPr>
        <w:t>Long-Term Incentive Program</w:t>
      </w:r>
    </w:p>
    <w:p>
      <w:pPr>
        <w:spacing w:after="0" w:line="19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4D4D4F"/>
        </w:rPr>
        <w:t>Historically we have not typically granted stock options to NEOs on an annual basis. From time to time, however, we grant stock options, when appropriate, as the long-term incentive component of our compensation program. Our stock options allow our employees to purchase covered shares at a price equal to the fair market value on the date of grant. In some cases, we attach performance criterial to the vesting of the stock options. For 2020 the compensation committee approved option grants as set forth below:</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0" w:type="dxa"/>
            <w:vAlign w:val="bottom"/>
            <w:tcBorders>
              <w:top w:val="single" w:sz="8" w:color="95B3D7"/>
              <w:bottom w:val="single" w:sz="8" w:color="95B3D7"/>
              <w:right w:val="single" w:sz="8" w:color="95B3D7"/>
            </w:tcBorders>
            <w:shd w:val="clear" w:color="auto" w:fill="95B3D7"/>
          </w:tcPr>
          <w:p>
            <w:pPr>
              <w:spacing w:after="0"/>
              <w:rPr>
                <w:sz w:val="19"/>
                <w:szCs w:val="19"/>
                <w:color w:val="auto"/>
              </w:rPr>
            </w:pPr>
          </w:p>
        </w:tc>
        <w:tc>
          <w:tcPr>
            <w:tcW w:w="2920" w:type="dxa"/>
            <w:vAlign w:val="bottom"/>
            <w:tcBorders>
              <w:top w:val="single" w:sz="8" w:color="95B3D7"/>
              <w:bottom w:val="single" w:sz="8" w:color="95B3D7"/>
              <w:right w:val="single" w:sz="8" w:color="95B3D7"/>
            </w:tcBorders>
            <w:shd w:val="clear" w:color="auto" w:fill="003E64"/>
          </w:tcPr>
          <w:p>
            <w:pPr>
              <w:spacing w:after="0"/>
              <w:rPr>
                <w:sz w:val="19"/>
                <w:szCs w:val="19"/>
                <w:color w:val="auto"/>
              </w:rPr>
            </w:pPr>
          </w:p>
        </w:tc>
        <w:tc>
          <w:tcPr>
            <w:tcW w:w="2060" w:type="dxa"/>
            <w:vAlign w:val="bottom"/>
            <w:tcBorders>
              <w:top w:val="single" w:sz="8" w:color="95B3D7"/>
              <w:bottom w:val="single" w:sz="8" w:color="95B3D7"/>
              <w:right w:val="single" w:sz="8" w:color="003E64"/>
            </w:tcBorders>
            <w:shd w:val="clear" w:color="auto" w:fill="003E64"/>
          </w:tcPr>
          <w:p>
            <w:pPr>
              <w:spacing w:after="0"/>
              <w:rPr>
                <w:sz w:val="19"/>
                <w:szCs w:val="19"/>
                <w:color w:val="auto"/>
              </w:rPr>
            </w:pPr>
          </w:p>
        </w:tc>
        <w:tc>
          <w:tcPr>
            <w:tcW w:w="3360" w:type="dxa"/>
            <w:vAlign w:val="bottom"/>
            <w:tcBorders>
              <w:top w:val="single" w:sz="8" w:color="95B3D7"/>
              <w:bottom w:val="single" w:sz="8" w:color="95B3D7"/>
            </w:tcBorders>
            <w:gridSpan w:val="2"/>
            <w:shd w:val="clear" w:color="auto" w:fill="003E64"/>
          </w:tcPr>
          <w:p>
            <w:pPr>
              <w:ind w:left="1120"/>
              <w:spacing w:after="0"/>
              <w:rPr>
                <w:sz w:val="20"/>
                <w:szCs w:val="20"/>
                <w:color w:val="auto"/>
              </w:rPr>
            </w:pPr>
            <w:r>
              <w:rPr>
                <w:rFonts w:ascii="Arial" w:cs="Arial" w:eastAsia="Arial" w:hAnsi="Arial"/>
                <w:sz w:val="14"/>
                <w:szCs w:val="14"/>
                <w:color w:val="FFFFFF"/>
              </w:rPr>
              <w:t>Stock Options Exercisable for</w:t>
            </w:r>
          </w:p>
        </w:tc>
        <w:tc>
          <w:tcPr>
            <w:tcW w:w="780" w:type="dxa"/>
            <w:vAlign w:val="bottom"/>
            <w:tcBorders>
              <w:top w:val="single" w:sz="8" w:color="95B3D7"/>
              <w:bottom w:val="single" w:sz="8" w:color="95B3D7"/>
              <w:right w:val="single" w:sz="8" w:color="003E64"/>
            </w:tcBorders>
            <w:shd w:val="clear" w:color="auto" w:fill="003E64"/>
          </w:tcPr>
          <w:p>
            <w:pPr>
              <w:spacing w:after="0"/>
              <w:rPr>
                <w:sz w:val="19"/>
                <w:szCs w:val="19"/>
                <w:color w:val="auto"/>
              </w:rPr>
            </w:pPr>
          </w:p>
        </w:tc>
        <w:tc>
          <w:tcPr>
            <w:tcW w:w="2060" w:type="dxa"/>
            <w:vAlign w:val="bottom"/>
            <w:tcBorders>
              <w:top w:val="single" w:sz="8" w:color="95B3D7"/>
              <w:bottom w:val="single" w:sz="8" w:color="95B3D7"/>
            </w:tcBorders>
            <w:shd w:val="clear" w:color="auto" w:fill="003E64"/>
          </w:tcPr>
          <w:p>
            <w:pPr>
              <w:spacing w:after="0"/>
              <w:rPr>
                <w:sz w:val="19"/>
                <w:szCs w:val="19"/>
                <w:color w:val="auto"/>
              </w:rPr>
            </w:pPr>
          </w:p>
        </w:tc>
        <w:tc>
          <w:tcPr>
            <w:tcW w:w="20" w:type="dxa"/>
            <w:vAlign w:val="bottom"/>
            <w:tcBorders>
              <w:top w:val="single" w:sz="8" w:color="95B3D7"/>
              <w:bottom w:val="single" w:sz="8" w:color="95B3D7"/>
            </w:tcBorders>
            <w:shd w:val="clear" w:color="auto" w:fill="95B3D7"/>
          </w:tcPr>
          <w:p>
            <w:pPr>
              <w:spacing w:after="0"/>
              <w:rPr>
                <w:sz w:val="19"/>
                <w:szCs w:val="19"/>
                <w:color w:val="auto"/>
              </w:rPr>
            </w:pPr>
          </w:p>
        </w:tc>
      </w:tr>
      <w:tr>
        <w:trPr>
          <w:trHeight w:val="196"/>
        </w:trPr>
        <w:tc>
          <w:tcPr>
            <w:tcW w:w="40" w:type="dxa"/>
            <w:vAlign w:val="bottom"/>
            <w:tcBorders>
              <w:bottom w:val="single" w:sz="8" w:color="95B3D7"/>
              <w:right w:val="single" w:sz="8" w:color="95B3D7"/>
            </w:tcBorders>
            <w:shd w:val="clear" w:color="auto" w:fill="95B3D7"/>
          </w:tcPr>
          <w:p>
            <w:pPr>
              <w:spacing w:after="0"/>
              <w:rPr>
                <w:sz w:val="17"/>
                <w:szCs w:val="17"/>
                <w:color w:val="auto"/>
              </w:rPr>
            </w:pPr>
          </w:p>
        </w:tc>
        <w:tc>
          <w:tcPr>
            <w:tcW w:w="2920" w:type="dxa"/>
            <w:vAlign w:val="bottom"/>
            <w:tcBorders>
              <w:bottom w:val="single" w:sz="8" w:color="95B3D7"/>
              <w:right w:val="single" w:sz="8" w:color="95B3D7"/>
            </w:tcBorders>
            <w:shd w:val="clear" w:color="auto" w:fill="003E64"/>
          </w:tcPr>
          <w:p>
            <w:pPr>
              <w:spacing w:after="0"/>
              <w:rPr>
                <w:sz w:val="17"/>
                <w:szCs w:val="17"/>
                <w:color w:val="auto"/>
              </w:rPr>
            </w:pPr>
          </w:p>
        </w:tc>
        <w:tc>
          <w:tcPr>
            <w:tcW w:w="4140" w:type="dxa"/>
            <w:vAlign w:val="bottom"/>
            <w:tcBorders>
              <w:bottom w:val="single" w:sz="8" w:color="95B3D7"/>
              <w:right w:val="single" w:sz="8" w:color="95B3D7"/>
            </w:tcBorders>
            <w:gridSpan w:val="2"/>
            <w:shd w:val="clear" w:color="auto" w:fill="003E64"/>
          </w:tcPr>
          <w:p>
            <w:pPr>
              <w:jc w:val="right"/>
              <w:ind w:right="848"/>
              <w:spacing w:after="0"/>
              <w:rPr>
                <w:sz w:val="20"/>
                <w:szCs w:val="20"/>
                <w:color w:val="auto"/>
              </w:rPr>
            </w:pPr>
            <w:r>
              <w:rPr>
                <w:rFonts w:ascii="Arial" w:cs="Arial" w:eastAsia="Arial" w:hAnsi="Arial"/>
                <w:sz w:val="14"/>
                <w:szCs w:val="14"/>
                <w:b w:val="1"/>
                <w:bCs w:val="1"/>
                <w:color w:val="FFFFFF"/>
              </w:rPr>
              <w:t>Shares of Class A Common Stock</w:t>
            </w:r>
          </w:p>
        </w:tc>
        <w:tc>
          <w:tcPr>
            <w:tcW w:w="1280" w:type="dxa"/>
            <w:vAlign w:val="bottom"/>
            <w:tcBorders>
              <w:bottom w:val="single" w:sz="8" w:color="95B3D7"/>
            </w:tcBorders>
            <w:shd w:val="clear" w:color="auto" w:fill="003E64"/>
          </w:tcPr>
          <w:p>
            <w:pPr>
              <w:spacing w:after="0"/>
              <w:rPr>
                <w:sz w:val="17"/>
                <w:szCs w:val="17"/>
                <w:color w:val="auto"/>
              </w:rPr>
            </w:pPr>
          </w:p>
        </w:tc>
        <w:tc>
          <w:tcPr>
            <w:tcW w:w="2840" w:type="dxa"/>
            <w:vAlign w:val="bottom"/>
            <w:tcBorders>
              <w:bottom w:val="single" w:sz="8" w:color="95B3D7"/>
            </w:tcBorders>
            <w:gridSpan w:val="2"/>
            <w:shd w:val="clear" w:color="auto" w:fill="003E64"/>
          </w:tcPr>
          <w:p>
            <w:pPr>
              <w:spacing w:after="0"/>
              <w:rPr>
                <w:sz w:val="20"/>
                <w:szCs w:val="20"/>
                <w:color w:val="auto"/>
              </w:rPr>
            </w:pPr>
            <w:r>
              <w:rPr>
                <w:rFonts w:ascii="Arial" w:cs="Arial" w:eastAsia="Arial" w:hAnsi="Arial"/>
                <w:sz w:val="14"/>
                <w:szCs w:val="14"/>
                <w:b w:val="1"/>
                <w:bCs w:val="1"/>
                <w:color w:val="FFFFFF"/>
              </w:rPr>
              <w:t>ACM Shanghai Shares</w:t>
            </w:r>
          </w:p>
        </w:tc>
        <w:tc>
          <w:tcPr>
            <w:tcW w:w="20" w:type="dxa"/>
            <w:vAlign w:val="bottom"/>
            <w:tcBorders>
              <w:bottom w:val="single" w:sz="8" w:color="95B3D7"/>
            </w:tcBorders>
            <w:shd w:val="clear" w:color="auto" w:fill="95B3D7"/>
          </w:tcPr>
          <w:p>
            <w:pPr>
              <w:spacing w:after="0"/>
              <w:rPr>
                <w:sz w:val="17"/>
                <w:szCs w:val="17"/>
                <w:color w:val="auto"/>
              </w:rPr>
            </w:pPr>
          </w:p>
        </w:tc>
      </w:tr>
      <w:tr>
        <w:trPr>
          <w:trHeight w:val="162"/>
        </w:trPr>
        <w:tc>
          <w:tcPr>
            <w:tcW w:w="40" w:type="dxa"/>
            <w:vAlign w:val="bottom"/>
            <w:tcBorders>
              <w:right w:val="single" w:sz="8" w:color="95B3D7"/>
            </w:tcBorders>
            <w:shd w:val="clear" w:color="auto" w:fill="95B3D7"/>
          </w:tcPr>
          <w:p>
            <w:pPr>
              <w:spacing w:after="0"/>
              <w:rPr>
                <w:sz w:val="14"/>
                <w:szCs w:val="14"/>
                <w:color w:val="auto"/>
              </w:rPr>
            </w:pPr>
          </w:p>
        </w:tc>
        <w:tc>
          <w:tcPr>
            <w:tcW w:w="2920" w:type="dxa"/>
            <w:vAlign w:val="bottom"/>
            <w:tcBorders>
              <w:right w:val="single" w:sz="8" w:color="95B3D7"/>
            </w:tcBorders>
            <w:shd w:val="clear" w:color="auto" w:fill="003E64"/>
          </w:tcPr>
          <w:p>
            <w:pPr>
              <w:spacing w:after="0"/>
              <w:rPr>
                <w:sz w:val="20"/>
                <w:szCs w:val="20"/>
                <w:color w:val="auto"/>
              </w:rPr>
            </w:pPr>
            <w:r>
              <w:rPr>
                <w:rFonts w:ascii="Arial" w:cs="Arial" w:eastAsia="Arial" w:hAnsi="Arial"/>
                <w:sz w:val="14"/>
                <w:szCs w:val="14"/>
                <w:color w:val="FFFFFF"/>
              </w:rPr>
              <w:t>Named Executive Officer</w:t>
            </w:r>
          </w:p>
        </w:tc>
        <w:tc>
          <w:tcPr>
            <w:tcW w:w="2060" w:type="dxa"/>
            <w:vAlign w:val="bottom"/>
            <w:tcBorders>
              <w:right w:val="single" w:sz="8" w:color="95B3D7"/>
            </w:tcBorders>
            <w:shd w:val="clear" w:color="auto" w:fill="003E64"/>
          </w:tcPr>
          <w:p>
            <w:pPr>
              <w:jc w:val="center"/>
              <w:spacing w:after="0"/>
              <w:rPr>
                <w:sz w:val="20"/>
                <w:szCs w:val="20"/>
                <w:color w:val="auto"/>
              </w:rPr>
            </w:pPr>
            <w:r>
              <w:rPr>
                <w:rFonts w:ascii="Arial" w:cs="Arial" w:eastAsia="Arial" w:hAnsi="Arial"/>
                <w:sz w:val="14"/>
                <w:szCs w:val="14"/>
                <w:b w:val="1"/>
                <w:bCs w:val="1"/>
                <w:color w:val="FFFFFF"/>
              </w:rPr>
              <w:t>#</w:t>
            </w:r>
          </w:p>
        </w:tc>
        <w:tc>
          <w:tcPr>
            <w:tcW w:w="2080" w:type="dxa"/>
            <w:vAlign w:val="bottom"/>
            <w:tcBorders>
              <w:right w:val="single" w:sz="8" w:color="95B3D7"/>
            </w:tcBorders>
            <w:shd w:val="clear" w:color="auto" w:fill="003E64"/>
          </w:tcPr>
          <w:p>
            <w:pPr>
              <w:jc w:val="center"/>
              <w:spacing w:after="0"/>
              <w:rPr>
                <w:sz w:val="20"/>
                <w:szCs w:val="20"/>
                <w:color w:val="auto"/>
              </w:rPr>
            </w:pPr>
            <w:r>
              <w:rPr>
                <w:rFonts w:ascii="Arial" w:cs="Arial" w:eastAsia="Arial" w:hAnsi="Arial"/>
                <w:sz w:val="14"/>
                <w:szCs w:val="14"/>
                <w:b w:val="1"/>
                <w:bCs w:val="1"/>
                <w:color w:val="FFFFFF"/>
              </w:rPr>
              <w:t>Grant Date</w:t>
            </w:r>
          </w:p>
        </w:tc>
        <w:tc>
          <w:tcPr>
            <w:tcW w:w="1280" w:type="dxa"/>
            <w:vAlign w:val="bottom"/>
            <w:shd w:val="clear" w:color="auto" w:fill="003E64"/>
          </w:tcPr>
          <w:p>
            <w:pPr>
              <w:jc w:val="center"/>
              <w:ind w:left="688"/>
              <w:spacing w:after="0"/>
              <w:rPr>
                <w:sz w:val="20"/>
                <w:szCs w:val="20"/>
                <w:color w:val="auto"/>
              </w:rPr>
            </w:pPr>
            <w:r>
              <w:rPr>
                <w:rFonts w:ascii="Arial" w:cs="Arial" w:eastAsia="Arial" w:hAnsi="Arial"/>
                <w:sz w:val="14"/>
                <w:szCs w:val="14"/>
                <w:b w:val="1"/>
                <w:bCs w:val="1"/>
                <w:color w:val="FFFFFF"/>
              </w:rPr>
              <w:t>#</w:t>
            </w:r>
          </w:p>
        </w:tc>
        <w:tc>
          <w:tcPr>
            <w:tcW w:w="780" w:type="dxa"/>
            <w:vAlign w:val="bottom"/>
            <w:tcBorders>
              <w:right w:val="single" w:sz="8" w:color="95B3D7"/>
            </w:tcBorders>
            <w:shd w:val="clear" w:color="auto" w:fill="003E64"/>
          </w:tcPr>
          <w:p>
            <w:pPr>
              <w:spacing w:after="0"/>
              <w:rPr>
                <w:sz w:val="14"/>
                <w:szCs w:val="14"/>
                <w:color w:val="auto"/>
              </w:rPr>
            </w:pPr>
          </w:p>
        </w:tc>
        <w:tc>
          <w:tcPr>
            <w:tcW w:w="2060" w:type="dxa"/>
            <w:vAlign w:val="bottom"/>
            <w:shd w:val="clear" w:color="auto" w:fill="003E64"/>
          </w:tcPr>
          <w:p>
            <w:pPr>
              <w:jc w:val="center"/>
              <w:spacing w:after="0"/>
              <w:rPr>
                <w:sz w:val="20"/>
                <w:szCs w:val="20"/>
                <w:color w:val="auto"/>
              </w:rPr>
            </w:pPr>
            <w:r>
              <w:rPr>
                <w:rFonts w:ascii="Arial" w:cs="Arial" w:eastAsia="Arial" w:hAnsi="Arial"/>
                <w:sz w:val="14"/>
                <w:szCs w:val="14"/>
                <w:b w:val="1"/>
                <w:bCs w:val="1"/>
                <w:color w:val="FFFFFF"/>
              </w:rPr>
              <w:t>Grant Date</w:t>
            </w:r>
          </w:p>
        </w:tc>
        <w:tc>
          <w:tcPr>
            <w:tcW w:w="20" w:type="dxa"/>
            <w:vAlign w:val="bottom"/>
            <w:shd w:val="clear" w:color="auto" w:fill="95B3D7"/>
          </w:tcPr>
          <w:p>
            <w:pPr>
              <w:spacing w:after="0"/>
              <w:rPr>
                <w:sz w:val="14"/>
                <w:szCs w:val="14"/>
                <w:color w:val="auto"/>
              </w:rPr>
            </w:pPr>
          </w:p>
        </w:tc>
      </w:tr>
      <w:tr>
        <w:trPr>
          <w:trHeight w:val="162"/>
        </w:trPr>
        <w:tc>
          <w:tcPr>
            <w:tcW w:w="40" w:type="dxa"/>
            <w:vAlign w:val="bottom"/>
          </w:tcPr>
          <w:p>
            <w:pPr>
              <w:spacing w:after="0"/>
              <w:rPr>
                <w:sz w:val="14"/>
                <w:szCs w:val="14"/>
                <w:color w:val="auto"/>
              </w:rPr>
            </w:pPr>
          </w:p>
        </w:tc>
        <w:tc>
          <w:tcPr>
            <w:tcW w:w="2920" w:type="dxa"/>
            <w:vAlign w:val="bottom"/>
          </w:tcPr>
          <w:p>
            <w:pPr>
              <w:spacing w:after="0"/>
              <w:rPr>
                <w:sz w:val="20"/>
                <w:szCs w:val="20"/>
                <w:color w:val="auto"/>
              </w:rPr>
            </w:pPr>
            <w:r>
              <w:rPr>
                <w:rFonts w:ascii="Arial" w:cs="Arial" w:eastAsia="Arial" w:hAnsi="Arial"/>
                <w:sz w:val="14"/>
                <w:szCs w:val="14"/>
                <w:b w:val="1"/>
                <w:bCs w:val="1"/>
                <w:color w:val="4D4D4F"/>
              </w:rPr>
              <w:t>David H. Wang</w:t>
            </w:r>
          </w:p>
        </w:tc>
        <w:tc>
          <w:tcPr>
            <w:tcW w:w="2060" w:type="dxa"/>
            <w:vAlign w:val="bottom"/>
          </w:tcPr>
          <w:p>
            <w:pPr>
              <w:jc w:val="center"/>
              <w:spacing w:after="0"/>
              <w:rPr>
                <w:sz w:val="20"/>
                <w:szCs w:val="20"/>
                <w:color w:val="auto"/>
              </w:rPr>
            </w:pPr>
            <w:r>
              <w:rPr>
                <w:rFonts w:ascii="Arial" w:cs="Arial" w:eastAsia="Arial" w:hAnsi="Arial"/>
                <w:sz w:val="14"/>
                <w:szCs w:val="14"/>
                <w:color w:val="4D4D4F"/>
              </w:rPr>
              <w:t>545,399</w:t>
            </w:r>
          </w:p>
        </w:tc>
        <w:tc>
          <w:tcPr>
            <w:tcW w:w="2080" w:type="dxa"/>
            <w:vAlign w:val="bottom"/>
          </w:tcPr>
          <w:p>
            <w:pPr>
              <w:jc w:val="center"/>
              <w:spacing w:after="0"/>
              <w:rPr>
                <w:sz w:val="20"/>
                <w:szCs w:val="20"/>
                <w:color w:val="auto"/>
              </w:rPr>
            </w:pPr>
            <w:r>
              <w:rPr>
                <w:rFonts w:ascii="Arial" w:cs="Arial" w:eastAsia="Arial" w:hAnsi="Arial"/>
                <w:sz w:val="14"/>
                <w:szCs w:val="14"/>
                <w:color w:val="4D4D4F"/>
              </w:rPr>
              <w:t>March 20, 2020</w:t>
            </w:r>
          </w:p>
        </w:tc>
        <w:tc>
          <w:tcPr>
            <w:tcW w:w="1280" w:type="dxa"/>
            <w:vAlign w:val="bottom"/>
          </w:tcPr>
          <w:p>
            <w:pPr>
              <w:jc w:val="center"/>
              <w:ind w:left="688"/>
              <w:spacing w:after="0"/>
              <w:rPr>
                <w:sz w:val="20"/>
                <w:szCs w:val="20"/>
                <w:color w:val="auto"/>
              </w:rPr>
            </w:pPr>
            <w:r>
              <w:rPr>
                <w:rFonts w:ascii="Arial" w:cs="Arial" w:eastAsia="Arial" w:hAnsi="Arial"/>
                <w:sz w:val="14"/>
                <w:szCs w:val="14"/>
                <w:color w:val="4D4D4F"/>
              </w:rPr>
              <w:t>538,462</w:t>
            </w:r>
          </w:p>
        </w:tc>
        <w:tc>
          <w:tcPr>
            <w:tcW w:w="780" w:type="dxa"/>
            <w:vAlign w:val="bottom"/>
          </w:tcPr>
          <w:p>
            <w:pPr>
              <w:spacing w:after="0"/>
              <w:rPr>
                <w:sz w:val="14"/>
                <w:szCs w:val="14"/>
                <w:color w:val="auto"/>
              </w:rPr>
            </w:pPr>
          </w:p>
        </w:tc>
        <w:tc>
          <w:tcPr>
            <w:tcW w:w="2060" w:type="dxa"/>
            <w:vAlign w:val="bottom"/>
          </w:tcPr>
          <w:p>
            <w:pPr>
              <w:jc w:val="center"/>
              <w:spacing w:after="0"/>
              <w:rPr>
                <w:sz w:val="20"/>
                <w:szCs w:val="20"/>
                <w:color w:val="auto"/>
              </w:rPr>
            </w:pPr>
            <w:r>
              <w:rPr>
                <w:rFonts w:ascii="Arial" w:cs="Arial" w:eastAsia="Arial" w:hAnsi="Arial"/>
                <w:sz w:val="14"/>
                <w:szCs w:val="14"/>
                <w:color w:val="4D4D4F"/>
              </w:rPr>
              <w:t>January 1, 2020</w:t>
            </w:r>
          </w:p>
        </w:tc>
        <w:tc>
          <w:tcPr>
            <w:tcW w:w="20" w:type="dxa"/>
            <w:vAlign w:val="bottom"/>
          </w:tcPr>
          <w:p>
            <w:pPr>
              <w:spacing w:after="0"/>
              <w:rPr>
                <w:sz w:val="14"/>
                <w:szCs w:val="14"/>
                <w:color w:val="auto"/>
              </w:rPr>
            </w:pPr>
          </w:p>
        </w:tc>
      </w:tr>
      <w:tr>
        <w:trPr>
          <w:trHeight w:val="162"/>
        </w:trPr>
        <w:tc>
          <w:tcPr>
            <w:tcW w:w="40" w:type="dxa"/>
            <w:vAlign w:val="bottom"/>
            <w:tcBorders>
              <w:right w:val="single" w:sz="8" w:color="B7E4FF"/>
            </w:tcBorders>
          </w:tcPr>
          <w:p>
            <w:pPr>
              <w:spacing w:after="0"/>
              <w:rPr>
                <w:sz w:val="14"/>
                <w:szCs w:val="14"/>
                <w:color w:val="auto"/>
              </w:rPr>
            </w:pPr>
          </w:p>
        </w:tc>
        <w:tc>
          <w:tcPr>
            <w:tcW w:w="2920" w:type="dxa"/>
            <w:vAlign w:val="bottom"/>
            <w:tcBorders>
              <w:right w:val="single" w:sz="8" w:color="B7E4FF"/>
            </w:tcBorders>
            <w:shd w:val="clear" w:color="auto" w:fill="B7E4FF"/>
          </w:tcPr>
          <w:p>
            <w:pPr>
              <w:spacing w:after="0"/>
              <w:rPr>
                <w:sz w:val="20"/>
                <w:szCs w:val="20"/>
                <w:color w:val="auto"/>
              </w:rPr>
            </w:pPr>
            <w:r>
              <w:rPr>
                <w:rFonts w:ascii="Arial" w:cs="Arial" w:eastAsia="Arial" w:hAnsi="Arial"/>
                <w:sz w:val="14"/>
                <w:szCs w:val="14"/>
                <w:b w:val="1"/>
                <w:bCs w:val="1"/>
                <w:color w:val="4D4D4F"/>
              </w:rPr>
              <w:t>Mark McKechnie</w:t>
            </w:r>
          </w:p>
        </w:tc>
        <w:tc>
          <w:tcPr>
            <w:tcW w:w="2060" w:type="dxa"/>
            <w:vAlign w:val="bottom"/>
            <w:tcBorders>
              <w:right w:val="single" w:sz="8" w:color="B7E4FF"/>
            </w:tcBorders>
            <w:shd w:val="clear" w:color="auto" w:fill="B7E4FF"/>
          </w:tcPr>
          <w:p>
            <w:pPr>
              <w:jc w:val="center"/>
              <w:spacing w:after="0"/>
              <w:rPr>
                <w:sz w:val="20"/>
                <w:szCs w:val="20"/>
                <w:color w:val="auto"/>
              </w:rPr>
            </w:pPr>
            <w:r>
              <w:rPr>
                <w:rFonts w:ascii="Arial" w:cs="Arial" w:eastAsia="Arial" w:hAnsi="Arial"/>
                <w:sz w:val="14"/>
                <w:szCs w:val="14"/>
                <w:color w:val="4D4D4F"/>
                <w:w w:val="99"/>
              </w:rPr>
              <w:t>—</w:t>
            </w:r>
          </w:p>
        </w:tc>
        <w:tc>
          <w:tcPr>
            <w:tcW w:w="2080" w:type="dxa"/>
            <w:vAlign w:val="bottom"/>
            <w:tcBorders>
              <w:right w:val="single" w:sz="8" w:color="B7E4FF"/>
            </w:tcBorders>
            <w:shd w:val="clear" w:color="auto" w:fill="B7E4FF"/>
          </w:tcPr>
          <w:p>
            <w:pPr>
              <w:jc w:val="center"/>
              <w:spacing w:after="0"/>
              <w:rPr>
                <w:sz w:val="20"/>
                <w:szCs w:val="20"/>
                <w:color w:val="auto"/>
              </w:rPr>
            </w:pPr>
            <w:r>
              <w:rPr>
                <w:rFonts w:ascii="Arial" w:cs="Arial" w:eastAsia="Arial" w:hAnsi="Arial"/>
                <w:sz w:val="14"/>
                <w:szCs w:val="14"/>
                <w:color w:val="4D4D4F"/>
                <w:w w:val="99"/>
              </w:rPr>
              <w:t>—</w:t>
            </w:r>
          </w:p>
        </w:tc>
        <w:tc>
          <w:tcPr>
            <w:tcW w:w="1280" w:type="dxa"/>
            <w:vAlign w:val="bottom"/>
            <w:shd w:val="clear" w:color="auto" w:fill="B7E4FF"/>
          </w:tcPr>
          <w:p>
            <w:pPr>
              <w:jc w:val="center"/>
              <w:ind w:left="668"/>
              <w:spacing w:after="0"/>
              <w:rPr>
                <w:sz w:val="20"/>
                <w:szCs w:val="20"/>
                <w:color w:val="auto"/>
              </w:rPr>
            </w:pPr>
            <w:r>
              <w:rPr>
                <w:rFonts w:ascii="Arial" w:cs="Arial" w:eastAsia="Arial" w:hAnsi="Arial"/>
                <w:sz w:val="14"/>
                <w:szCs w:val="14"/>
                <w:color w:val="4D4D4F"/>
                <w:w w:val="99"/>
              </w:rPr>
              <w:t>—</w:t>
            </w:r>
          </w:p>
        </w:tc>
        <w:tc>
          <w:tcPr>
            <w:tcW w:w="780" w:type="dxa"/>
            <w:vAlign w:val="bottom"/>
            <w:tcBorders>
              <w:right w:val="single" w:sz="8" w:color="B7E4FF"/>
            </w:tcBorders>
            <w:shd w:val="clear" w:color="auto" w:fill="B7E4FF"/>
          </w:tcPr>
          <w:p>
            <w:pPr>
              <w:spacing w:after="0"/>
              <w:rPr>
                <w:sz w:val="14"/>
                <w:szCs w:val="14"/>
                <w:color w:val="auto"/>
              </w:rPr>
            </w:pPr>
          </w:p>
        </w:tc>
        <w:tc>
          <w:tcPr>
            <w:tcW w:w="2060" w:type="dxa"/>
            <w:vAlign w:val="bottom"/>
            <w:shd w:val="clear" w:color="auto" w:fill="B7E4FF"/>
          </w:tcPr>
          <w:p>
            <w:pPr>
              <w:jc w:val="center"/>
              <w:spacing w:after="0"/>
              <w:rPr>
                <w:sz w:val="20"/>
                <w:szCs w:val="20"/>
                <w:color w:val="auto"/>
              </w:rPr>
            </w:pPr>
            <w:r>
              <w:rPr>
                <w:rFonts w:ascii="Arial" w:cs="Arial" w:eastAsia="Arial" w:hAnsi="Arial"/>
                <w:sz w:val="14"/>
                <w:szCs w:val="14"/>
                <w:color w:val="4D4D4F"/>
                <w:w w:val="99"/>
              </w:rPr>
              <w:t>—</w:t>
            </w:r>
          </w:p>
        </w:tc>
        <w:tc>
          <w:tcPr>
            <w:tcW w:w="20" w:type="dxa"/>
            <w:vAlign w:val="bottom"/>
          </w:tcPr>
          <w:p>
            <w:pPr>
              <w:spacing w:after="0"/>
              <w:rPr>
                <w:sz w:val="14"/>
                <w:szCs w:val="14"/>
                <w:color w:val="auto"/>
              </w:rPr>
            </w:pPr>
          </w:p>
        </w:tc>
      </w:tr>
      <w:tr>
        <w:trPr>
          <w:trHeight w:val="162"/>
        </w:trPr>
        <w:tc>
          <w:tcPr>
            <w:tcW w:w="40" w:type="dxa"/>
            <w:vAlign w:val="bottom"/>
          </w:tcPr>
          <w:p>
            <w:pPr>
              <w:spacing w:after="0"/>
              <w:rPr>
                <w:sz w:val="14"/>
                <w:szCs w:val="14"/>
                <w:color w:val="auto"/>
              </w:rPr>
            </w:pPr>
          </w:p>
        </w:tc>
        <w:tc>
          <w:tcPr>
            <w:tcW w:w="2920" w:type="dxa"/>
            <w:vAlign w:val="bottom"/>
          </w:tcPr>
          <w:p>
            <w:pPr>
              <w:spacing w:after="0"/>
              <w:rPr>
                <w:sz w:val="20"/>
                <w:szCs w:val="20"/>
                <w:color w:val="auto"/>
              </w:rPr>
            </w:pPr>
            <w:r>
              <w:rPr>
                <w:rFonts w:ascii="Arial" w:cs="Arial" w:eastAsia="Arial" w:hAnsi="Arial"/>
                <w:sz w:val="14"/>
                <w:szCs w:val="14"/>
                <w:b w:val="1"/>
                <w:bCs w:val="1"/>
                <w:color w:val="4D4D4F"/>
              </w:rPr>
              <w:t>Jian Wang</w:t>
            </w:r>
          </w:p>
        </w:tc>
        <w:tc>
          <w:tcPr>
            <w:tcW w:w="2060" w:type="dxa"/>
            <w:vAlign w:val="bottom"/>
          </w:tcPr>
          <w:p>
            <w:pPr>
              <w:jc w:val="center"/>
              <w:spacing w:after="0"/>
              <w:rPr>
                <w:sz w:val="20"/>
                <w:szCs w:val="20"/>
                <w:color w:val="auto"/>
              </w:rPr>
            </w:pPr>
            <w:r>
              <w:rPr>
                <w:rFonts w:ascii="Arial" w:cs="Arial" w:eastAsia="Arial" w:hAnsi="Arial"/>
                <w:sz w:val="14"/>
                <w:szCs w:val="14"/>
                <w:color w:val="4D4D4F"/>
                <w:w w:val="99"/>
              </w:rPr>
              <w:t>—</w:t>
            </w:r>
          </w:p>
        </w:tc>
        <w:tc>
          <w:tcPr>
            <w:tcW w:w="2080" w:type="dxa"/>
            <w:vAlign w:val="bottom"/>
          </w:tcPr>
          <w:p>
            <w:pPr>
              <w:jc w:val="center"/>
              <w:spacing w:after="0"/>
              <w:rPr>
                <w:sz w:val="20"/>
                <w:szCs w:val="20"/>
                <w:color w:val="auto"/>
              </w:rPr>
            </w:pPr>
            <w:r>
              <w:rPr>
                <w:rFonts w:ascii="Arial" w:cs="Arial" w:eastAsia="Arial" w:hAnsi="Arial"/>
                <w:sz w:val="14"/>
                <w:szCs w:val="14"/>
                <w:color w:val="4D4D4F"/>
                <w:w w:val="99"/>
              </w:rPr>
              <w:t>—</w:t>
            </w:r>
          </w:p>
        </w:tc>
        <w:tc>
          <w:tcPr>
            <w:tcW w:w="1280" w:type="dxa"/>
            <w:vAlign w:val="bottom"/>
          </w:tcPr>
          <w:p>
            <w:pPr>
              <w:jc w:val="center"/>
              <w:ind w:left="688"/>
              <w:spacing w:after="0"/>
              <w:rPr>
                <w:sz w:val="20"/>
                <w:szCs w:val="20"/>
                <w:color w:val="auto"/>
              </w:rPr>
            </w:pPr>
            <w:r>
              <w:rPr>
                <w:rFonts w:ascii="Arial" w:cs="Arial" w:eastAsia="Arial" w:hAnsi="Arial"/>
                <w:sz w:val="14"/>
                <w:szCs w:val="14"/>
                <w:color w:val="4D4D4F"/>
              </w:rPr>
              <w:t>298,462</w:t>
            </w:r>
          </w:p>
        </w:tc>
        <w:tc>
          <w:tcPr>
            <w:tcW w:w="780" w:type="dxa"/>
            <w:vAlign w:val="bottom"/>
          </w:tcPr>
          <w:p>
            <w:pPr>
              <w:spacing w:after="0"/>
              <w:rPr>
                <w:sz w:val="14"/>
                <w:szCs w:val="14"/>
                <w:color w:val="auto"/>
              </w:rPr>
            </w:pPr>
          </w:p>
        </w:tc>
        <w:tc>
          <w:tcPr>
            <w:tcW w:w="2060" w:type="dxa"/>
            <w:vAlign w:val="bottom"/>
          </w:tcPr>
          <w:p>
            <w:pPr>
              <w:jc w:val="center"/>
              <w:spacing w:after="0"/>
              <w:rPr>
                <w:sz w:val="20"/>
                <w:szCs w:val="20"/>
                <w:color w:val="auto"/>
              </w:rPr>
            </w:pPr>
            <w:r>
              <w:rPr>
                <w:rFonts w:ascii="Arial" w:cs="Arial" w:eastAsia="Arial" w:hAnsi="Arial"/>
                <w:sz w:val="14"/>
                <w:szCs w:val="14"/>
                <w:color w:val="4D4D4F"/>
              </w:rPr>
              <w:t>January 1, 2020</w:t>
            </w:r>
          </w:p>
        </w:tc>
        <w:tc>
          <w:tcPr>
            <w:tcW w:w="20" w:type="dxa"/>
            <w:vAlign w:val="bottom"/>
          </w:tcPr>
          <w:p>
            <w:pPr>
              <w:spacing w:after="0"/>
              <w:rPr>
                <w:sz w:val="14"/>
                <w:szCs w:val="14"/>
                <w:color w:val="auto"/>
              </w:rPr>
            </w:pPr>
          </w:p>
        </w:tc>
      </w:tr>
      <w:tr>
        <w:trPr>
          <w:trHeight w:val="162"/>
        </w:trPr>
        <w:tc>
          <w:tcPr>
            <w:tcW w:w="40" w:type="dxa"/>
            <w:vAlign w:val="bottom"/>
            <w:tcBorders>
              <w:right w:val="single" w:sz="8" w:color="B7E4FF"/>
            </w:tcBorders>
          </w:tcPr>
          <w:p>
            <w:pPr>
              <w:spacing w:after="0"/>
              <w:rPr>
                <w:sz w:val="14"/>
                <w:szCs w:val="14"/>
                <w:color w:val="auto"/>
              </w:rPr>
            </w:pPr>
          </w:p>
        </w:tc>
        <w:tc>
          <w:tcPr>
            <w:tcW w:w="2920" w:type="dxa"/>
            <w:vAlign w:val="bottom"/>
            <w:tcBorders>
              <w:right w:val="single" w:sz="8" w:color="B7E4FF"/>
            </w:tcBorders>
            <w:shd w:val="clear" w:color="auto" w:fill="B7E4FF"/>
          </w:tcPr>
          <w:p>
            <w:pPr>
              <w:spacing w:after="0"/>
              <w:rPr>
                <w:sz w:val="20"/>
                <w:szCs w:val="20"/>
                <w:color w:val="auto"/>
              </w:rPr>
            </w:pPr>
            <w:r>
              <w:rPr>
                <w:rFonts w:ascii="Arial" w:cs="Arial" w:eastAsia="Arial" w:hAnsi="Arial"/>
                <w:sz w:val="14"/>
                <w:szCs w:val="14"/>
                <w:b w:val="1"/>
                <w:bCs w:val="1"/>
                <w:color w:val="4D4D4F"/>
              </w:rPr>
              <w:t>Lisa Feng</w:t>
            </w:r>
          </w:p>
        </w:tc>
        <w:tc>
          <w:tcPr>
            <w:tcW w:w="2060" w:type="dxa"/>
            <w:vAlign w:val="bottom"/>
            <w:tcBorders>
              <w:right w:val="single" w:sz="8" w:color="B7E4FF"/>
            </w:tcBorders>
            <w:shd w:val="clear" w:color="auto" w:fill="B7E4FF"/>
          </w:tcPr>
          <w:p>
            <w:pPr>
              <w:jc w:val="center"/>
              <w:spacing w:after="0"/>
              <w:rPr>
                <w:sz w:val="20"/>
                <w:szCs w:val="20"/>
                <w:color w:val="auto"/>
              </w:rPr>
            </w:pPr>
            <w:r>
              <w:rPr>
                <w:rFonts w:ascii="Arial" w:cs="Arial" w:eastAsia="Arial" w:hAnsi="Arial"/>
                <w:sz w:val="14"/>
                <w:szCs w:val="14"/>
                <w:color w:val="4D4D4F"/>
              </w:rPr>
              <w:t>10,000</w:t>
            </w:r>
          </w:p>
        </w:tc>
        <w:tc>
          <w:tcPr>
            <w:tcW w:w="2080" w:type="dxa"/>
            <w:vAlign w:val="bottom"/>
            <w:tcBorders>
              <w:right w:val="single" w:sz="8" w:color="B7E4FF"/>
            </w:tcBorders>
            <w:shd w:val="clear" w:color="auto" w:fill="B7E4FF"/>
          </w:tcPr>
          <w:p>
            <w:pPr>
              <w:jc w:val="center"/>
              <w:spacing w:after="0"/>
              <w:rPr>
                <w:sz w:val="20"/>
                <w:szCs w:val="20"/>
                <w:color w:val="auto"/>
              </w:rPr>
            </w:pPr>
            <w:r>
              <w:rPr>
                <w:rFonts w:ascii="Arial" w:cs="Arial" w:eastAsia="Arial" w:hAnsi="Arial"/>
                <w:sz w:val="14"/>
                <w:szCs w:val="14"/>
                <w:color w:val="4D4D4F"/>
              </w:rPr>
              <w:t>April 28, 2020</w:t>
            </w:r>
          </w:p>
        </w:tc>
        <w:tc>
          <w:tcPr>
            <w:tcW w:w="1280" w:type="dxa"/>
            <w:vAlign w:val="bottom"/>
            <w:shd w:val="clear" w:color="auto" w:fill="B7E4FF"/>
          </w:tcPr>
          <w:p>
            <w:pPr>
              <w:jc w:val="center"/>
              <w:ind w:left="688"/>
              <w:spacing w:after="0"/>
              <w:rPr>
                <w:sz w:val="20"/>
                <w:szCs w:val="20"/>
                <w:color w:val="auto"/>
              </w:rPr>
            </w:pPr>
            <w:r>
              <w:rPr>
                <w:rFonts w:ascii="Arial" w:cs="Arial" w:eastAsia="Arial" w:hAnsi="Arial"/>
                <w:sz w:val="14"/>
                <w:szCs w:val="14"/>
                <w:color w:val="4D4D4F"/>
              </w:rPr>
              <w:t>260,000</w:t>
            </w:r>
          </w:p>
        </w:tc>
        <w:tc>
          <w:tcPr>
            <w:tcW w:w="780" w:type="dxa"/>
            <w:vAlign w:val="bottom"/>
            <w:tcBorders>
              <w:right w:val="single" w:sz="8" w:color="B7E4FF"/>
            </w:tcBorders>
            <w:shd w:val="clear" w:color="auto" w:fill="B7E4FF"/>
          </w:tcPr>
          <w:p>
            <w:pPr>
              <w:spacing w:after="0"/>
              <w:rPr>
                <w:sz w:val="14"/>
                <w:szCs w:val="14"/>
                <w:color w:val="auto"/>
              </w:rPr>
            </w:pPr>
          </w:p>
        </w:tc>
        <w:tc>
          <w:tcPr>
            <w:tcW w:w="2060" w:type="dxa"/>
            <w:vAlign w:val="bottom"/>
            <w:shd w:val="clear" w:color="auto" w:fill="B7E4FF"/>
          </w:tcPr>
          <w:p>
            <w:pPr>
              <w:jc w:val="center"/>
              <w:spacing w:after="0"/>
              <w:rPr>
                <w:sz w:val="20"/>
                <w:szCs w:val="20"/>
                <w:color w:val="auto"/>
              </w:rPr>
            </w:pPr>
            <w:r>
              <w:rPr>
                <w:rFonts w:ascii="Arial" w:cs="Arial" w:eastAsia="Arial" w:hAnsi="Arial"/>
                <w:sz w:val="14"/>
                <w:szCs w:val="14"/>
                <w:color w:val="4D4D4F"/>
              </w:rPr>
              <w:t>January 1, 2020</w:t>
            </w:r>
          </w:p>
        </w:tc>
        <w:tc>
          <w:tcPr>
            <w:tcW w:w="20" w:type="dxa"/>
            <w:vAlign w:val="bottom"/>
          </w:tcPr>
          <w:p>
            <w:pPr>
              <w:spacing w:after="0"/>
              <w:rPr>
                <w:sz w:val="14"/>
                <w:szCs w:val="14"/>
                <w:color w:val="auto"/>
              </w:rPr>
            </w:pPr>
          </w:p>
        </w:tc>
      </w:tr>
      <w:tr>
        <w:trPr>
          <w:trHeight w:val="190"/>
        </w:trPr>
        <w:tc>
          <w:tcPr>
            <w:tcW w:w="40" w:type="dxa"/>
            <w:vAlign w:val="bottom"/>
          </w:tcPr>
          <w:p>
            <w:pPr>
              <w:spacing w:after="0"/>
              <w:rPr>
                <w:sz w:val="16"/>
                <w:szCs w:val="16"/>
                <w:color w:val="auto"/>
              </w:rPr>
            </w:pPr>
          </w:p>
        </w:tc>
        <w:tc>
          <w:tcPr>
            <w:tcW w:w="2920" w:type="dxa"/>
            <w:vAlign w:val="bottom"/>
          </w:tcPr>
          <w:p>
            <w:pPr>
              <w:spacing w:after="0"/>
              <w:rPr>
                <w:sz w:val="20"/>
                <w:szCs w:val="20"/>
                <w:color w:val="auto"/>
              </w:rPr>
            </w:pPr>
            <w:r>
              <w:rPr>
                <w:rFonts w:ascii="Arial" w:cs="Arial" w:eastAsia="Arial" w:hAnsi="Arial"/>
                <w:sz w:val="14"/>
                <w:szCs w:val="14"/>
                <w:b w:val="1"/>
                <w:bCs w:val="1"/>
                <w:color w:val="4D4D4F"/>
              </w:rPr>
              <w:t>Fuping Chen</w:t>
            </w:r>
          </w:p>
        </w:tc>
        <w:tc>
          <w:tcPr>
            <w:tcW w:w="2060" w:type="dxa"/>
            <w:vAlign w:val="bottom"/>
          </w:tcPr>
          <w:p>
            <w:pPr>
              <w:jc w:val="center"/>
              <w:spacing w:after="0"/>
              <w:rPr>
                <w:sz w:val="20"/>
                <w:szCs w:val="20"/>
                <w:color w:val="auto"/>
              </w:rPr>
            </w:pPr>
            <w:r>
              <w:rPr>
                <w:rFonts w:ascii="Arial" w:cs="Arial" w:eastAsia="Arial" w:hAnsi="Arial"/>
                <w:sz w:val="14"/>
                <w:szCs w:val="14"/>
                <w:color w:val="4D4D4F"/>
              </w:rPr>
              <w:t>20,000</w:t>
            </w:r>
          </w:p>
        </w:tc>
        <w:tc>
          <w:tcPr>
            <w:tcW w:w="2080" w:type="dxa"/>
            <w:vAlign w:val="bottom"/>
          </w:tcPr>
          <w:p>
            <w:pPr>
              <w:jc w:val="center"/>
              <w:spacing w:after="0"/>
              <w:rPr>
                <w:sz w:val="20"/>
                <w:szCs w:val="20"/>
                <w:color w:val="auto"/>
              </w:rPr>
            </w:pPr>
            <w:r>
              <w:rPr>
                <w:rFonts w:ascii="Arial" w:cs="Arial" w:eastAsia="Arial" w:hAnsi="Arial"/>
                <w:sz w:val="14"/>
                <w:szCs w:val="14"/>
                <w:color w:val="4D4D4F"/>
              </w:rPr>
              <w:t>July 28, 2020</w:t>
            </w:r>
          </w:p>
        </w:tc>
        <w:tc>
          <w:tcPr>
            <w:tcW w:w="1280" w:type="dxa"/>
            <w:vAlign w:val="bottom"/>
          </w:tcPr>
          <w:p>
            <w:pPr>
              <w:jc w:val="center"/>
              <w:ind w:left="688"/>
              <w:spacing w:after="0"/>
              <w:rPr>
                <w:sz w:val="20"/>
                <w:szCs w:val="20"/>
                <w:color w:val="auto"/>
              </w:rPr>
            </w:pPr>
            <w:r>
              <w:rPr>
                <w:rFonts w:ascii="Arial" w:cs="Arial" w:eastAsia="Arial" w:hAnsi="Arial"/>
                <w:sz w:val="14"/>
                <w:szCs w:val="14"/>
                <w:color w:val="4D4D4F"/>
              </w:rPr>
              <w:t>260,000</w:t>
            </w:r>
          </w:p>
        </w:tc>
        <w:tc>
          <w:tcPr>
            <w:tcW w:w="780" w:type="dxa"/>
            <w:vAlign w:val="bottom"/>
          </w:tcPr>
          <w:p>
            <w:pPr>
              <w:spacing w:after="0"/>
              <w:rPr>
                <w:sz w:val="16"/>
                <w:szCs w:val="16"/>
                <w:color w:val="auto"/>
              </w:rPr>
            </w:pPr>
          </w:p>
        </w:tc>
        <w:tc>
          <w:tcPr>
            <w:tcW w:w="2060" w:type="dxa"/>
            <w:vAlign w:val="bottom"/>
          </w:tcPr>
          <w:p>
            <w:pPr>
              <w:jc w:val="center"/>
              <w:spacing w:after="0"/>
              <w:rPr>
                <w:sz w:val="20"/>
                <w:szCs w:val="20"/>
                <w:color w:val="auto"/>
              </w:rPr>
            </w:pPr>
            <w:r>
              <w:rPr>
                <w:rFonts w:ascii="Arial" w:cs="Arial" w:eastAsia="Arial" w:hAnsi="Arial"/>
                <w:sz w:val="14"/>
                <w:szCs w:val="14"/>
                <w:color w:val="4D4D4F"/>
              </w:rPr>
              <w:t>January 1, 2020</w:t>
            </w:r>
          </w:p>
        </w:tc>
        <w:tc>
          <w:tcPr>
            <w:tcW w:w="20" w:type="dxa"/>
            <w:vAlign w:val="bottom"/>
          </w:tcPr>
          <w:p>
            <w:pPr>
              <w:spacing w:after="0"/>
              <w:rPr>
                <w:sz w:val="16"/>
                <w:szCs w:val="16"/>
                <w:color w:val="auto"/>
              </w:rPr>
            </w:pPr>
          </w:p>
        </w:tc>
      </w:tr>
      <w:tr>
        <w:trPr>
          <w:trHeight w:val="583"/>
        </w:trPr>
        <w:tc>
          <w:tcPr>
            <w:tcW w:w="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80" w:type="dxa"/>
            <w:vAlign w:val="bottom"/>
          </w:tcPr>
          <w:p>
            <w:pPr>
              <w:jc w:val="right"/>
              <w:ind w:right="1308"/>
              <w:spacing w:after="0"/>
              <w:rPr>
                <w:sz w:val="20"/>
                <w:szCs w:val="20"/>
                <w:color w:val="auto"/>
              </w:rPr>
            </w:pPr>
            <w:r>
              <w:rPr>
                <w:rFonts w:ascii="Arial" w:cs="Arial" w:eastAsia="Arial" w:hAnsi="Arial"/>
                <w:sz w:val="14"/>
                <w:szCs w:val="14"/>
                <w:color w:val="auto"/>
              </w:rPr>
              <w:t>41</w:t>
            </w:r>
          </w:p>
        </w:tc>
        <w:tc>
          <w:tcPr>
            <w:tcW w:w="1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4"/>
        </w:trPr>
        <w:tc>
          <w:tcPr>
            <w:tcW w:w="40" w:type="dxa"/>
            <w:vAlign w:val="bottom"/>
            <w:tcBorders>
              <w:bottom w:val="single" w:sz="8" w:color="auto"/>
            </w:tcBorders>
          </w:tcPr>
          <w:p>
            <w:pPr>
              <w:spacing w:after="0"/>
              <w:rPr>
                <w:sz w:val="3"/>
                <w:szCs w:val="3"/>
                <w:color w:val="auto"/>
              </w:rPr>
            </w:pPr>
          </w:p>
        </w:tc>
        <w:tc>
          <w:tcPr>
            <w:tcW w:w="2920" w:type="dxa"/>
            <w:vAlign w:val="bottom"/>
            <w:tcBorders>
              <w:bottom w:val="single" w:sz="8" w:color="auto"/>
            </w:tcBorders>
          </w:tcPr>
          <w:p>
            <w:pPr>
              <w:spacing w:after="0"/>
              <w:rPr>
                <w:sz w:val="3"/>
                <w:szCs w:val="3"/>
                <w:color w:val="auto"/>
              </w:rPr>
            </w:pPr>
          </w:p>
        </w:tc>
        <w:tc>
          <w:tcPr>
            <w:tcW w:w="2060" w:type="dxa"/>
            <w:vAlign w:val="bottom"/>
            <w:tcBorders>
              <w:bottom w:val="single" w:sz="8" w:color="auto"/>
            </w:tcBorders>
          </w:tcPr>
          <w:p>
            <w:pPr>
              <w:spacing w:after="0"/>
              <w:rPr>
                <w:sz w:val="3"/>
                <w:szCs w:val="3"/>
                <w:color w:val="auto"/>
              </w:rPr>
            </w:pPr>
          </w:p>
        </w:tc>
        <w:tc>
          <w:tcPr>
            <w:tcW w:w="20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0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30" w:right="339" w:bottom="1440" w:gutter="0" w:footer="0" w:header="0"/>
          <w:type w:val="continuous"/>
        </w:sectPr>
      </w:pPr>
    </w:p>
    <w:bookmarkStart w:id="47" w:name="page48"/>
    <w:bookmarkEnd w:id="47"/>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7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4D4D4F"/>
        </w:rPr>
        <w:t>To closely align his interests with our stockholders, to provide him with incentives linked to long-term performance, and to foster an ownership culture among executives, we granted a performance-based stock option to David Wang on March 20, 2020 covering Class A common stock. This performance-based stock option is subject to performance conditions linked to our market capitalization, which totaled $553,383,586 on the date the option was granted. The option vests and becomes exercisable as follows, in each case generally subject to Dr. Wang’s continued service through the vesting date:</w:t>
      </w:r>
    </w:p>
    <w:p>
      <w:pPr>
        <w:spacing w:after="0" w:line="81" w:lineRule="exact"/>
        <w:rPr>
          <w:sz w:val="20"/>
          <w:szCs w:val="20"/>
          <w:color w:val="auto"/>
        </w:rPr>
      </w:pPr>
    </w:p>
    <w:p>
      <w:pPr>
        <w:ind w:left="340" w:hanging="332"/>
        <w:spacing w:after="0" w:line="246" w:lineRule="auto"/>
        <w:tabs>
          <w:tab w:leader="none" w:pos="340" w:val="left"/>
        </w:tabs>
        <w:numPr>
          <w:ilvl w:val="0"/>
          <w:numId w:val="66"/>
        </w:numPr>
        <w:rPr>
          <w:rFonts w:ascii="Arial" w:cs="Arial" w:eastAsia="Arial" w:hAnsi="Arial"/>
          <w:sz w:val="18"/>
          <w:szCs w:val="18"/>
          <w:color w:val="4D4D4F"/>
        </w:rPr>
      </w:pPr>
      <w:r>
        <w:rPr>
          <w:rFonts w:ascii="Arial" w:cs="Arial" w:eastAsia="Arial" w:hAnsi="Arial"/>
          <w:sz w:val="18"/>
          <w:szCs w:val="18"/>
          <w:color w:val="4D4D4F"/>
        </w:rPr>
        <w:t>one-third of the covered shares vested as of October 1, 2020, which was the first trading day on which our market capitalization equaled or exceeded $1,553,383,586;</w:t>
      </w:r>
    </w:p>
    <w:p>
      <w:pPr>
        <w:spacing w:after="0" w:line="61" w:lineRule="exact"/>
        <w:rPr>
          <w:rFonts w:ascii="Arial" w:cs="Arial" w:eastAsia="Arial" w:hAnsi="Arial"/>
          <w:sz w:val="18"/>
          <w:szCs w:val="18"/>
          <w:color w:val="4D4D4F"/>
        </w:rPr>
      </w:pPr>
    </w:p>
    <w:p>
      <w:pPr>
        <w:ind w:left="340" w:hanging="332"/>
        <w:spacing w:after="0" w:line="246" w:lineRule="auto"/>
        <w:tabs>
          <w:tab w:leader="none" w:pos="340" w:val="left"/>
        </w:tabs>
        <w:numPr>
          <w:ilvl w:val="0"/>
          <w:numId w:val="66"/>
        </w:numPr>
        <w:rPr>
          <w:rFonts w:ascii="Arial" w:cs="Arial" w:eastAsia="Arial" w:hAnsi="Arial"/>
          <w:sz w:val="18"/>
          <w:szCs w:val="18"/>
          <w:color w:val="4D4D4F"/>
        </w:rPr>
      </w:pPr>
      <w:r>
        <w:rPr>
          <w:rFonts w:ascii="Arial" w:cs="Arial" w:eastAsia="Arial" w:hAnsi="Arial"/>
          <w:sz w:val="18"/>
          <w:szCs w:val="18"/>
          <w:color w:val="4D4D4F"/>
        </w:rPr>
        <w:t>one-third of the covered shares will vest as of the first trading day on which our market capitalization equals or exceeds $2,553,383,586; and</w:t>
      </w:r>
    </w:p>
    <w:p>
      <w:pPr>
        <w:spacing w:after="0" w:line="75" w:lineRule="exact"/>
        <w:rPr>
          <w:rFonts w:ascii="Arial" w:cs="Arial" w:eastAsia="Arial" w:hAnsi="Arial"/>
          <w:sz w:val="18"/>
          <w:szCs w:val="18"/>
          <w:color w:val="4D4D4F"/>
        </w:rPr>
      </w:pPr>
    </w:p>
    <w:p>
      <w:pPr>
        <w:ind w:left="340" w:hanging="332"/>
        <w:spacing w:after="0"/>
        <w:tabs>
          <w:tab w:leader="none" w:pos="340" w:val="left"/>
        </w:tabs>
        <w:numPr>
          <w:ilvl w:val="0"/>
          <w:numId w:val="66"/>
        </w:numPr>
        <w:rPr>
          <w:rFonts w:ascii="Arial" w:cs="Arial" w:eastAsia="Arial" w:hAnsi="Arial"/>
          <w:sz w:val="18"/>
          <w:szCs w:val="18"/>
          <w:color w:val="4D4D4F"/>
        </w:rPr>
      </w:pPr>
      <w:r>
        <w:rPr>
          <w:rFonts w:ascii="Arial" w:cs="Arial" w:eastAsia="Arial" w:hAnsi="Arial"/>
          <w:sz w:val="18"/>
          <w:szCs w:val="18"/>
          <w:color w:val="4D4D4F"/>
        </w:rPr>
        <w:t>one-third of the covered shares will vest as of the first trading day on which our market capitalization equals or exceeds $3,553,383,586.</w:t>
      </w:r>
    </w:p>
    <w:p>
      <w:pPr>
        <w:spacing w:after="0" w:line="17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4D4D4F"/>
        </w:rPr>
        <w:t xml:space="preserve">To achieve specified business objectives and to foster an ownership culture among executives, we granted a performance-based stock option grant to Fuping Chen on July 28, 2020 covering Class A common stock. This performance-based stock option is subject to performance conditions described below and vests and becomes exercisable as follows, in each case generally subject to Mr. Chen’s continued service through the vesting date and subject to accelerated vesting in </w:t>
      </w:r>
      <w:r>
        <w:rPr>
          <w:rFonts w:ascii="Arial" w:cs="Arial" w:eastAsia="Arial" w:hAnsi="Arial"/>
          <w:sz w:val="18"/>
          <w:szCs w:val="18"/>
          <w:color w:val="000000"/>
        </w:rPr>
        <w:t>full upon the occurrence of a defined change in control of</w:t>
      </w:r>
      <w:r>
        <w:rPr>
          <w:rFonts w:ascii="Arial" w:cs="Arial" w:eastAsia="Arial" w:hAnsi="Arial"/>
          <w:sz w:val="18"/>
          <w:szCs w:val="18"/>
          <w:color w:val="4D4D4F"/>
        </w:rPr>
        <w:t xml:space="preserve"> </w:t>
      </w:r>
      <w:r>
        <w:rPr>
          <w:rFonts w:ascii="Arial" w:cs="Arial" w:eastAsia="Arial" w:hAnsi="Arial"/>
          <w:sz w:val="18"/>
          <w:szCs w:val="18"/>
          <w:color w:val="000000"/>
        </w:rPr>
        <w:t>our company</w:t>
      </w:r>
      <w:r>
        <w:rPr>
          <w:rFonts w:ascii="Arial" w:cs="Arial" w:eastAsia="Arial" w:hAnsi="Arial"/>
          <w:sz w:val="18"/>
          <w:szCs w:val="18"/>
          <w:color w:val="4D4D4F"/>
        </w:rPr>
        <w:t>:</w:t>
      </w:r>
    </w:p>
    <w:p>
      <w:pPr>
        <w:spacing w:after="0" w:line="81" w:lineRule="exact"/>
        <w:rPr>
          <w:sz w:val="20"/>
          <w:szCs w:val="20"/>
          <w:color w:val="auto"/>
        </w:rPr>
      </w:pPr>
    </w:p>
    <w:p>
      <w:pPr>
        <w:ind w:left="340" w:hanging="332"/>
        <w:spacing w:after="0"/>
        <w:tabs>
          <w:tab w:leader="none" w:pos="340" w:val="left"/>
        </w:tabs>
        <w:numPr>
          <w:ilvl w:val="0"/>
          <w:numId w:val="67"/>
        </w:numPr>
        <w:rPr>
          <w:rFonts w:ascii="Arial" w:cs="Arial" w:eastAsia="Arial" w:hAnsi="Arial"/>
          <w:sz w:val="18"/>
          <w:szCs w:val="18"/>
          <w:color w:val="4D4D4F"/>
        </w:rPr>
      </w:pPr>
      <w:r>
        <w:rPr>
          <w:rFonts w:ascii="Arial" w:cs="Arial" w:eastAsia="Arial" w:hAnsi="Arial"/>
          <w:sz w:val="18"/>
          <w:szCs w:val="18"/>
          <w:color w:val="4D4D4F"/>
        </w:rPr>
        <w:t>10,000 shares will vest upon our receipt of our first demo tool order from a specified major semiconductor company; and</w:t>
      </w:r>
    </w:p>
    <w:p>
      <w:pPr>
        <w:spacing w:after="0" w:line="90" w:lineRule="exact"/>
        <w:rPr>
          <w:rFonts w:ascii="Arial" w:cs="Arial" w:eastAsia="Arial" w:hAnsi="Arial"/>
          <w:sz w:val="18"/>
          <w:szCs w:val="18"/>
          <w:color w:val="4D4D4F"/>
        </w:rPr>
      </w:pPr>
    </w:p>
    <w:p>
      <w:pPr>
        <w:ind w:left="340" w:hanging="332"/>
        <w:spacing w:after="0"/>
        <w:tabs>
          <w:tab w:leader="none" w:pos="340" w:val="left"/>
        </w:tabs>
        <w:numPr>
          <w:ilvl w:val="0"/>
          <w:numId w:val="67"/>
        </w:numPr>
        <w:rPr>
          <w:rFonts w:ascii="Arial" w:cs="Arial" w:eastAsia="Arial" w:hAnsi="Arial"/>
          <w:sz w:val="18"/>
          <w:szCs w:val="18"/>
          <w:color w:val="4D4D4F"/>
        </w:rPr>
      </w:pPr>
      <w:r>
        <w:rPr>
          <w:rFonts w:ascii="Arial" w:cs="Arial" w:eastAsia="Arial" w:hAnsi="Arial"/>
          <w:sz w:val="18"/>
          <w:szCs w:val="18"/>
          <w:color w:val="4D4D4F"/>
        </w:rPr>
        <w:t>10,000 shares will vest upon the qualification of our first demo tool for a specified major semiconductor company.</w:t>
      </w:r>
    </w:p>
    <w:p>
      <w:pPr>
        <w:spacing w:after="0" w:line="17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For options covering ACM Shanghai stock, one-half of the option vests on January 1, 2023, generally subject to continued service and key financial metrics. The remaining half of the option vests on January 1, 2024, generally subject to continued service and key financial metrics. In each case, vesting is also contingent on the applicable NEO’s performance rating for the year prior to the applicable time-based vesting date, such that 100% of the option that would otherwise vest pursuant to the foregoing two sentences will vest if such performance rating is “excellent” or “good,” 80% if such performance rating is “medium,” 60% if such performance rating is “pass,” and 0% if such performance rating is below “pass.” All such options accelerate vesting upon a defined change in control of ACM.</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8" w:name="page49"/>
    <w:bookmarkEnd w:id="48"/>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9C0"/>
        </w:rPr>
        <w:t>Hedging and Pledging Prohibitions</w:t>
      </w:r>
    </w:p>
    <w:p>
      <w:pPr>
        <w:spacing w:after="0" w:line="19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4D4D4F"/>
        </w:rPr>
        <w:t>Under our Insider Trading Policy, employees and directors, as well as their family members, including our NEOs, may not hedge or pledge any ACM securities that they hold directly. An exception to this prohibition may be granted where a person wishes to pledge ACM securities as collateral for a loan (not including margin debt) and clearly demonstrates the financial capacity to repay the loan without resort to the pledged securities. Any employee (including each NEO) or director, as well as their family members, who wishes to pledge ACM securities as collateral for a loan must submit a request for approval to the chief financial officer at least two weeks prior to the proposed execution of documents evidencing the proposed pledge, except that any proposed pledge by the chief financial officer must be submitted to and either approved or prohibited by the chief executive officer.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9C0"/>
        </w:rPr>
        <w:t>Clawbacks</w:t>
      </w:r>
    </w:p>
    <w:p>
      <w:pPr>
        <w:spacing w:after="0" w:line="19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4D4D4F"/>
        </w:rPr>
        <w:t>Under our 2016 Omnibus Incentive Plan, all awards, amounts or benefits received or outstanding under the plan are subject to clawback, cancellation, recoupment, rescission, payback, reduction or other similar action in accordance with the terms of any clawback or similar policy we may adopt, or any applicable law related to such actions, as may be in effect from time to time. We have not adopted any clawback or similar policy to date.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9C0"/>
        </w:rPr>
        <w:t>Other Benefits</w:t>
      </w:r>
    </w:p>
    <w:p>
      <w:pPr>
        <w:spacing w:after="0" w:line="20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Our PRC-based NEOs, which include all NEOs except U.S.-based Mark McKechnie, are generally eligible to participate in our health and welfare programs and retirement plans on the same basis as other PRC employees.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9C0"/>
        </w:rPr>
        <w:t>Perquisites</w:t>
      </w:r>
    </w:p>
    <w:p>
      <w:pPr>
        <w:spacing w:after="0" w:line="19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provide PRC-based members of senior management, including PRC-based NEOs, with an allowance for housing, which the compensation committee views as an essential tool to recruit and retain talented NEOs and which is an element of compensation commonly provided by international companies operating in China. In 2020 the following NEOs received a housing allowance: David Wang ,Fuping Chen, Jian Wang and Lisa Feng. For additional information, see “Executive Compensation—Summary Compensation Table” above.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9C0"/>
        </w:rPr>
        <w:t>Employment Agreements</w:t>
      </w:r>
    </w:p>
    <w:p>
      <w:pPr>
        <w:spacing w:after="0" w:line="19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enter into employment agreements with our employees located principally in the PRC, including all of our NEOs other than U.S.-based NEO Mark McKechnie, that contain an employment term and other statutorily required terms and conditions but do not include compensatory terms. In addition, ACM Shanghai was a party to an employment agreement with Lisa Feng that was entered into as of January 8, 2018 and extended through January 7, 2021. The agreement contained provisions with respect to base salary, annual bonus eligibility and certain severance payments.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9C0"/>
        </w:rPr>
        <w:t>Potential Payments Upon Termination or Change in Control</w:t>
      </w:r>
    </w:p>
    <w:p>
      <w:pPr>
        <w:spacing w:after="0" w:line="20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4D4D4F"/>
        </w:rPr>
        <w:t>Our option awards gr</w:t>
      </w:r>
      <w:r>
        <w:rPr>
          <w:rFonts w:ascii="Arial" w:cs="Arial" w:eastAsia="Arial" w:hAnsi="Arial"/>
          <w:sz w:val="18"/>
          <w:szCs w:val="18"/>
          <w:color w:val="000000"/>
        </w:rPr>
        <w:t>anted under our 2016 Omnibus Incentive Plan to employees, including NEOs, provide for acceleration upon a change in</w:t>
      </w:r>
      <w:r>
        <w:rPr>
          <w:rFonts w:ascii="Arial" w:cs="Arial" w:eastAsia="Arial" w:hAnsi="Arial"/>
          <w:sz w:val="18"/>
          <w:szCs w:val="18"/>
          <w:color w:val="4D4D4F"/>
        </w:rPr>
        <w:t xml:space="preserve"> </w:t>
      </w:r>
      <w:r>
        <w:rPr>
          <w:rFonts w:ascii="Arial" w:cs="Arial" w:eastAsia="Arial" w:hAnsi="Arial"/>
          <w:sz w:val="18"/>
          <w:szCs w:val="18"/>
          <w:color w:val="000000"/>
        </w:rPr>
        <w:t>control, excluding the performance-based stock option granted to David Wang on March 20, 2020. Except for those option arrangements, none of our NEOs is party to a currently effective contract or other arrangement that provides for the acceleration or payment of any benefits in the event of a change in control of our company or the termination of the NEO’s employment, whether or not the termination occurs within a specified time period after the occurrence of a change in control.</w:t>
      </w:r>
    </w:p>
    <w:p>
      <w:pPr>
        <w:spacing w:after="0" w:line="16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NEOs based in the PRC, who include all NEOs other than U.S.-based Mark McKechnie, may be entitled to statutory severance as required by applicable law.</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9" w:name="page50"/>
    <w:bookmarkEnd w:id="49"/>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b w:val="1"/>
          <w:bCs w:val="1"/>
          <w:color w:val="0079C0"/>
        </w:rPr>
        <w:t>Internal Revenue Code Section 162(m) Considerations</w:t>
      </w:r>
    </w:p>
    <w:p>
      <w:pPr>
        <w:spacing w:after="0" w:line="26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4D4D4F"/>
        </w:rPr>
        <w:t>Internal Revenue Code Section 162(m) limits the deductibility of compensation in excess of $1 million paid to any one NEO in any calendar year. Under the tax rules in effect before 2018, compensation that qualified as “performance-based” under Section 162(m) was deductible without regard to this $1 million limit. However, the Tax Cuts and Jobs Act, which was signed into law December 22, 2017, eliminated this performance-based compensation exception effective January 1, 2018, subject to a special rule that “grandfathers” certain awards and arrangements that were in effect on or before November 2, 2017. Moreover, from and after January 1, 2018, compensation awarded in excess of $1 million to our NEOs generally will not be deductible. While Section 162(m) limits the deductibility of compensation paid to the NEOs, the compensation committee will design compensation programs that are intended to be in the best long-term interests of our company and stockholders, with deductibility of compensation being one of a variety of considerations taken into account.</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0079C0"/>
        </w:rPr>
        <w:t>Internal Revenue Code Sections 280G and 409A</w:t>
      </w:r>
    </w:p>
    <w:p>
      <w:pPr>
        <w:spacing w:after="0" w:line="23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4D4D4F"/>
        </w:rPr>
        <w:t>We have not provided or committed to provide any NEO with a gross-up or other reimbursement for tax amounts the executive might pay pursuant to Section 280G or Section 409A of the Internal Revenue Code. Section 280G and related sections of the Internal Revenue Code provide that an executive officer and certain persons who hold significant stockholder interests and certain other service providers could be subject to significant additional taxes if they receive payments or benefits in connection with a change in control that exceeds certain limits, and that we or our successor could lose a deduction on the amounts subject to the additional tax. Section 409A also imposes additional significant taxes on the individual in the event that an executive officer, director or service provider of certain types receives “deferred compensation” that does not meet the requirements of Section 409A.</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0079C0"/>
        </w:rPr>
        <w:t>Accounting for Stock-Based Compensation</w:t>
      </w:r>
    </w:p>
    <w:p>
      <w:pPr>
        <w:spacing w:after="0" w:line="23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4D4D4F"/>
        </w:rPr>
        <w:t>We follow the Financial Accounting Standard Board’s Accounting Standards Codification Topic 718 for our stock-based compensation awards, which requires us to measure the compensation expense for all share-based awards made to our employees and members of our Board, based on the grant date “fair value” of these awards. This calculation is performed for accounting purposes and reported in the executive compensation tables required by the federal securities laws, even though the recipient of the awards may realize no value from their awards.</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0079C0"/>
        </w:rPr>
        <w:t>Report of the Compensation Committee</w:t>
      </w:r>
    </w:p>
    <w:p>
      <w:pPr>
        <w:spacing w:after="0" w:line="23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4D4D4F"/>
        </w:rPr>
        <w:t>The compensation committee of the board of directors has reviewed and discussed with management the section entitled “Compensation Discussion and Analysis” required by Item 402(b) of Regulation S-K and, based on such review and discussions, the compensation committee has recommended to the board that the section entitled “Compensation Discussion and Analysis” be included in this Proxy Statement and incorporated by reference into the Annual Report on Form 10-K of ACM Research, Inc. for the fiscal year ended December 31, 2020.</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Respectfully submitted by the members of the Compensation Committee: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4D4D4F"/>
        </w:rPr>
        <w:t>Haiping Dun (Chair)</w:t>
      </w:r>
    </w:p>
    <w:p>
      <w:pPr>
        <w:spacing w:after="0"/>
        <w:rPr>
          <w:sz w:val="20"/>
          <w:szCs w:val="20"/>
          <w:color w:val="auto"/>
        </w:rPr>
      </w:pPr>
      <w:r>
        <w:rPr>
          <w:rFonts w:ascii="Arial" w:cs="Arial" w:eastAsia="Arial" w:hAnsi="Arial"/>
          <w:sz w:val="18"/>
          <w:szCs w:val="18"/>
          <w:color w:val="4D4D4F"/>
        </w:rPr>
        <w:t>Tracy Liu</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0" w:name="page51"/>
    <w:bookmarkEnd w:id="50"/>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28" w:lineRule="exact"/>
        <w:rPr>
          <w:sz w:val="20"/>
          <w:szCs w:val="20"/>
          <w:color w:val="auto"/>
        </w:rPr>
      </w:pPr>
    </w:p>
    <w:p>
      <w:pPr>
        <w:spacing w:after="0"/>
        <w:rPr>
          <w:sz w:val="20"/>
          <w:szCs w:val="20"/>
          <w:color w:val="auto"/>
        </w:rPr>
      </w:pPr>
      <w:r>
        <w:rPr>
          <w:rFonts w:ascii="Arial" w:cs="Arial" w:eastAsia="Arial" w:hAnsi="Arial"/>
          <w:sz w:val="25"/>
          <w:szCs w:val="25"/>
          <w:b w:val="1"/>
          <w:bCs w:val="1"/>
          <w:color w:val="003E64"/>
        </w:rPr>
        <w:t xml:space="preserve">Proposal </w:t>
      </w:r>
      <w:r>
        <w:rPr>
          <w:sz w:val="1"/>
          <w:szCs w:val="1"/>
          <w:color w:val="auto"/>
        </w:rPr>
        <w:drawing>
          <wp:inline distT="0" distB="0" distL="0" distR="0">
            <wp:extent cx="257175" cy="266065"/>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57175" cy="266065"/>
                    </a:xfrm>
                    <a:prstGeom prst="rect">
                      <a:avLst/>
                    </a:prstGeom>
                    <a:noFill/>
                    <a:ln>
                      <a:noFill/>
                    </a:ln>
                  </pic:spPr>
                </pic:pic>
              </a:graphicData>
            </a:graphic>
          </wp:inline>
        </w:drawing>
      </w:r>
      <w:r>
        <w:rPr>
          <w:rFonts w:ascii="Arial" w:cs="Arial" w:eastAsia="Arial" w:hAnsi="Arial"/>
          <w:sz w:val="25"/>
          <w:szCs w:val="25"/>
          <w:b w:val="1"/>
          <w:bCs w:val="1"/>
          <w:color w:val="003E64"/>
        </w:rPr>
        <w:t xml:space="preserve"> — Amendment to Certificate of Incorporation</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b w:val="1"/>
          <w:bCs w:val="1"/>
          <w:color w:val="0079C0"/>
        </w:rPr>
        <w:t>Charter Amendment Generally</w:t>
      </w:r>
    </w:p>
    <w:p>
      <w:pPr>
        <w:spacing w:after="0" w:line="238" w:lineRule="exact"/>
        <w:rPr>
          <w:sz w:val="20"/>
          <w:szCs w:val="20"/>
          <w:color w:val="auto"/>
        </w:rPr>
      </w:pPr>
    </w:p>
    <w:p>
      <w:pPr>
        <w:spacing w:after="0" w:line="246" w:lineRule="auto"/>
        <w:rPr>
          <w:sz w:val="20"/>
          <w:szCs w:val="20"/>
          <w:color w:val="auto"/>
        </w:rPr>
      </w:pPr>
      <w:r>
        <w:rPr>
          <w:rFonts w:ascii="Arial" w:cs="Arial" w:eastAsia="Arial" w:hAnsi="Arial"/>
          <w:sz w:val="18"/>
          <w:szCs w:val="18"/>
          <w:color w:val="4D4D4F"/>
        </w:rPr>
        <w:t>The board of directors has adopted, subject to stockholder approval, amendments to our certificate of incorporation that we refer to collectively as the Charter Amendment. The Charter Amendment would:</w:t>
      </w:r>
    </w:p>
    <w:p>
      <w:pPr>
        <w:spacing w:after="0" w:line="62" w:lineRule="exact"/>
        <w:rPr>
          <w:sz w:val="20"/>
          <w:szCs w:val="20"/>
          <w:color w:val="auto"/>
        </w:rPr>
      </w:pPr>
    </w:p>
    <w:p>
      <w:pPr>
        <w:jc w:val="both"/>
        <w:ind w:left="340" w:hanging="332"/>
        <w:spacing w:after="0"/>
        <w:tabs>
          <w:tab w:leader="none" w:pos="340" w:val="left"/>
        </w:tabs>
        <w:numPr>
          <w:ilvl w:val="0"/>
          <w:numId w:val="68"/>
        </w:numPr>
        <w:rPr>
          <w:rFonts w:ascii="Arial" w:cs="Arial" w:eastAsia="Arial" w:hAnsi="Arial"/>
          <w:sz w:val="18"/>
          <w:szCs w:val="18"/>
          <w:color w:val="4D4D4F"/>
        </w:rPr>
      </w:pPr>
      <w:r>
        <w:rPr>
          <w:rFonts w:ascii="Arial" w:cs="Arial" w:eastAsia="Arial" w:hAnsi="Arial"/>
          <w:sz w:val="18"/>
          <w:szCs w:val="18"/>
          <w:color w:val="4D4D4F"/>
        </w:rPr>
        <w:t>Increase the aggregate number of shares of Class A common stock, or Class A Common, that we are authorized to issue from 50,000,000 to 150,000,000, with 60,000,000 of the 100,000,000 additional authorized shares being available for issuance only as dividends on outstanding shares of Class A Common; and</w:t>
      </w:r>
    </w:p>
    <w:p>
      <w:pPr>
        <w:spacing w:after="0" w:line="81" w:lineRule="exact"/>
        <w:rPr>
          <w:rFonts w:ascii="Arial" w:cs="Arial" w:eastAsia="Arial" w:hAnsi="Arial"/>
          <w:sz w:val="18"/>
          <w:szCs w:val="18"/>
          <w:color w:val="4D4D4F"/>
        </w:rPr>
      </w:pPr>
    </w:p>
    <w:p>
      <w:pPr>
        <w:jc w:val="both"/>
        <w:ind w:left="340" w:hanging="332"/>
        <w:spacing w:after="0"/>
        <w:tabs>
          <w:tab w:leader="none" w:pos="340" w:val="left"/>
        </w:tabs>
        <w:numPr>
          <w:ilvl w:val="0"/>
          <w:numId w:val="68"/>
        </w:numPr>
        <w:rPr>
          <w:rFonts w:ascii="Arial" w:cs="Arial" w:eastAsia="Arial" w:hAnsi="Arial"/>
          <w:sz w:val="18"/>
          <w:szCs w:val="18"/>
          <w:color w:val="4D4D4F"/>
        </w:rPr>
      </w:pPr>
      <w:r>
        <w:rPr>
          <w:rFonts w:ascii="Arial" w:cs="Arial" w:eastAsia="Arial" w:hAnsi="Arial"/>
          <w:sz w:val="18"/>
          <w:szCs w:val="18"/>
          <w:color w:val="4D4D4F"/>
        </w:rPr>
        <w:t>increase the aggregate number of shares of Class B common stock, or Class B Common, that we are authorized to issue from 2,409,738 to 5,307,816, with all of the authorized but unissued shares of Class B Common being available for issuance only as dividends on outstanding shares of Class B Common.</w:t>
      </w:r>
    </w:p>
    <w:p>
      <w:pPr>
        <w:spacing w:after="0" w:line="16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4D4D4F"/>
        </w:rPr>
        <w:t xml:space="preserve">The Charter Amendment would also remove a now-obsolete provision related to the automatic conversion of Class B Common into Class A Common. Under the dual class structure of common stock created in our certificate of incorporation, Class A Common has one vote per share and Class B Common has twenty votes per share. Class B Common is convertible into Class A Common in circumstances specified in our certificate of incorporation. The terms of our certificate of incorporation currently state that all outstanding shares of Class B Common would convert automatically into shares of Class A Common, on a one for one basis, upon the first December 31 occurring in or after 2022 as of which the “October Market Cap” (as defined) for the immediately preceding month of October exceeds $1.0 billion, </w:t>
      </w:r>
      <w:r>
        <w:rPr>
          <w:rFonts w:ascii="Arial" w:cs="Arial" w:eastAsia="Arial" w:hAnsi="Arial"/>
          <w:sz w:val="18"/>
          <w:szCs w:val="18"/>
          <w:i w:val="1"/>
          <w:iCs w:val="1"/>
          <w:color w:val="4D4D4F"/>
        </w:rPr>
        <w:t>provided</w:t>
      </w:r>
      <w:r>
        <w:rPr>
          <w:rFonts w:ascii="Arial" w:cs="Arial" w:eastAsia="Arial" w:hAnsi="Arial"/>
          <w:sz w:val="18"/>
          <w:szCs w:val="18"/>
          <w:color w:val="4D4D4F"/>
        </w:rPr>
        <w:t xml:space="preserve"> that no such automatic conversion will ever occur if the October Market Cap for the month of October in any year from 2018 through 2021 exceeds $1.0 billion. For these purposes, the “October Market Cap” was $1.2 billion as of October 2020, and as a result, no automatic conversion of Class B Common into Class A Common will ever occur under the above-described provisions. The Charter Amendment, if approved, would remove this now-obsolete provision for simplicity and clarity.</w:t>
      </w:r>
    </w:p>
    <w:p>
      <w:pPr>
        <w:spacing w:after="0" w:line="13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4D4D4F"/>
        </w:rPr>
        <w:t>As of April 8, 2021, the record date for the Annual Meeting, 17,263,562 shares of Class A Common and 1,769,272 shares of Class B Common were outstanding. As of such date, (a) 3,782,942 shares of Class A Common were reserved for issuance pursuant to outstanding options, (b) an additional 2,338,272 shares of Class A Common were reserved for issuance under our 2016 Omnibus Incentive Plan, (c) 242,681 shares of Class A Common were reserved for issuance pursuant to an outstanding warrant, and (d) 1,769,272 shares of Class A Common were reserved for issuance upon conversion of Class B Common. Accordingly, we currently have only approximately 1,220,531 shares of Class A Common that are available for future issuance (other than in accordance with outstanding securities and plans). Under our certificate of incorporation , no authorized but unissued shares of Class B Stock may be issued for any purpose.</w:t>
      </w:r>
    </w:p>
    <w:p>
      <w:pPr>
        <w:spacing w:after="0" w:line="332" w:lineRule="exact"/>
        <w:rPr>
          <w:sz w:val="20"/>
          <w:szCs w:val="20"/>
          <w:color w:val="auto"/>
        </w:rPr>
      </w:pPr>
    </w:p>
    <w:p>
      <w:pPr>
        <w:jc w:val="both"/>
        <w:spacing w:after="0" w:line="241" w:lineRule="auto"/>
        <w:rPr>
          <w:sz w:val="20"/>
          <w:szCs w:val="20"/>
          <w:color w:val="auto"/>
        </w:rPr>
      </w:pPr>
      <w:r>
        <w:rPr>
          <w:rFonts w:ascii="Arial" w:cs="Arial" w:eastAsia="Arial" w:hAnsi="Arial"/>
          <w:sz w:val="18"/>
          <w:szCs w:val="18"/>
          <w:i w:val="1"/>
          <w:iCs w:val="1"/>
          <w:color w:val="4D4D4F"/>
        </w:rPr>
        <w:t xml:space="preserve">The full text of the Charter Amendment, marked to show the proposed deletions and insertions, is set forth in Appendix A to this Proxy Statement. </w:t>
      </w:r>
      <w:r>
        <w:rPr>
          <w:rFonts w:ascii="Arial" w:cs="Arial" w:eastAsia="Arial" w:hAnsi="Arial"/>
          <w:sz w:val="18"/>
          <w:szCs w:val="18"/>
          <w:color w:val="4D4D4F"/>
        </w:rPr>
        <w:t>The general description of provisions of our certificate of incorporation and the Charter Amendment set forth herein are qualified</w:t>
      </w:r>
      <w:r>
        <w:rPr>
          <w:rFonts w:ascii="Arial" w:cs="Arial" w:eastAsia="Arial" w:hAnsi="Arial"/>
          <w:sz w:val="18"/>
          <w:szCs w:val="18"/>
          <w:i w:val="1"/>
          <w:iCs w:val="1"/>
          <w:color w:val="4D4D4F"/>
        </w:rPr>
        <w:t xml:space="preserve"> </w:t>
      </w:r>
      <w:r>
        <w:rPr>
          <w:rFonts w:ascii="Arial" w:cs="Arial" w:eastAsia="Arial" w:hAnsi="Arial"/>
          <w:sz w:val="18"/>
          <w:szCs w:val="18"/>
          <w:color w:val="4D4D4F"/>
        </w:rPr>
        <w:t xml:space="preserve">in their entirety by reference to the text of </w:t>
      </w:r>
      <w:r>
        <w:rPr>
          <w:rFonts w:ascii="Arial" w:cs="Arial" w:eastAsia="Arial" w:hAnsi="Arial"/>
          <w:sz w:val="18"/>
          <w:szCs w:val="18"/>
          <w:i w:val="1"/>
          <w:iCs w:val="1"/>
          <w:color w:val="4D4D4F"/>
        </w:rPr>
        <w:t>Appendix A</w:t>
      </w:r>
      <w:r>
        <w:rPr>
          <w:rFonts w:ascii="Arial" w:cs="Arial" w:eastAsia="Arial" w:hAnsi="Arial"/>
          <w:sz w:val="18"/>
          <w:szCs w:val="18"/>
          <w:color w:val="4D4D4F"/>
        </w:rPr>
        <w:t>. If stockholders approve the Charter Amendment, we will file a Certificate of Amendment that includes only those amendments that were approved by the stockholders with the Secretary of State of the State of Delaware following the Annual Meeting. The Certificate of Amendment will become effective upon acceptance of the filing by the Secretary of State of the State of Delaware.</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0079C0"/>
        </w:rPr>
        <w:t>Purpose and Effect of Authorized Share Increases</w:t>
      </w:r>
    </w:p>
    <w:p>
      <w:pPr>
        <w:spacing w:after="0" w:line="19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4D4D4F"/>
        </w:rPr>
        <w:t>The principal purpose of the Charter Amendment is to increase the total number of shares of Class A Common that we are authorized to issue from 50,000,000 to 150,000,000, with 60,000,000 shares of Class A Common to be reserved for issuance exclusively in connection with dividends on Class A Common, and to increase the total number of shares of Class B Common that we are authorized to issue from 2,409,738 to 5,307,816, with all authorized but unissued shares of Class B Common to be reserved for issuance only in connection with dividends on Class B Common. As a result, the number of shares of common stock authorized for issuance would increase from an aggregate of 52,409,738 shares of common stock to 155,307,816 shares of common stock.</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1" w:name="page52"/>
    <w:bookmarkEnd w:id="51"/>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4D4D4F"/>
        </w:rPr>
        <w:t>We do not believe that the number of currently authorized shares of Class A Common available for future issuance provides us with the necessary flexibility to be able to continue to grow our company and operations in 2021 and future years. The board of directors believes that the proposed Charter Amendment is advisable and in the best interests of our company and stockholders in order to maintain our flexibility in considering and planning for future corporate needs in today’s competitive and fast-changing environment. Additionally, we believe that an increase in the number of authorized shares of Class A Common will give us greater flexibility in the future by allowing us to take any one or a combination of the following general corporate initiatives to support our growth plans:</w:t>
      </w:r>
    </w:p>
    <w:p>
      <w:pPr>
        <w:spacing w:after="0" w:line="52" w:lineRule="exact"/>
        <w:rPr>
          <w:sz w:val="20"/>
          <w:szCs w:val="20"/>
          <w:color w:val="auto"/>
        </w:rPr>
      </w:pPr>
    </w:p>
    <w:p>
      <w:pPr>
        <w:ind w:left="340" w:hanging="332"/>
        <w:spacing w:after="0"/>
        <w:tabs>
          <w:tab w:leader="none" w:pos="340" w:val="left"/>
        </w:tabs>
        <w:numPr>
          <w:ilvl w:val="0"/>
          <w:numId w:val="69"/>
        </w:numPr>
        <w:rPr>
          <w:rFonts w:ascii="Arial" w:cs="Arial" w:eastAsia="Arial" w:hAnsi="Arial"/>
          <w:sz w:val="18"/>
          <w:szCs w:val="18"/>
          <w:color w:val="4D4D4F"/>
        </w:rPr>
      </w:pPr>
      <w:r>
        <w:rPr>
          <w:rFonts w:ascii="Arial" w:cs="Arial" w:eastAsia="Arial" w:hAnsi="Arial"/>
          <w:sz w:val="18"/>
          <w:szCs w:val="18"/>
          <w:color w:val="4D4D4F"/>
        </w:rPr>
        <w:t>raise additional capital through Class A Common offerings;</w:t>
      </w:r>
    </w:p>
    <w:p>
      <w:pPr>
        <w:spacing w:after="0" w:line="76" w:lineRule="exact"/>
        <w:rPr>
          <w:rFonts w:ascii="Arial" w:cs="Arial" w:eastAsia="Arial" w:hAnsi="Arial"/>
          <w:sz w:val="18"/>
          <w:szCs w:val="18"/>
          <w:color w:val="4D4D4F"/>
        </w:rPr>
      </w:pPr>
    </w:p>
    <w:p>
      <w:pPr>
        <w:ind w:left="340" w:hanging="332"/>
        <w:spacing w:after="0"/>
        <w:tabs>
          <w:tab w:leader="none" w:pos="340" w:val="left"/>
        </w:tabs>
        <w:numPr>
          <w:ilvl w:val="0"/>
          <w:numId w:val="69"/>
        </w:numPr>
        <w:rPr>
          <w:rFonts w:ascii="Arial" w:cs="Arial" w:eastAsia="Arial" w:hAnsi="Arial"/>
          <w:sz w:val="18"/>
          <w:szCs w:val="18"/>
          <w:color w:val="4D4D4F"/>
        </w:rPr>
      </w:pPr>
      <w:r>
        <w:rPr>
          <w:rFonts w:ascii="Arial" w:cs="Arial" w:eastAsia="Arial" w:hAnsi="Arial"/>
          <w:sz w:val="18"/>
          <w:szCs w:val="18"/>
          <w:color w:val="4D4D4F"/>
        </w:rPr>
        <w:t>provide equity incentives to attract or retain employees, officers, or directors;</w:t>
      </w:r>
    </w:p>
    <w:p>
      <w:pPr>
        <w:spacing w:after="0" w:line="90" w:lineRule="exact"/>
        <w:rPr>
          <w:rFonts w:ascii="Arial" w:cs="Arial" w:eastAsia="Arial" w:hAnsi="Arial"/>
          <w:sz w:val="18"/>
          <w:szCs w:val="18"/>
          <w:color w:val="4D4D4F"/>
        </w:rPr>
      </w:pPr>
    </w:p>
    <w:p>
      <w:pPr>
        <w:ind w:left="340" w:hanging="332"/>
        <w:spacing w:after="0" w:line="246" w:lineRule="auto"/>
        <w:tabs>
          <w:tab w:leader="none" w:pos="340" w:val="left"/>
        </w:tabs>
        <w:numPr>
          <w:ilvl w:val="0"/>
          <w:numId w:val="69"/>
        </w:numPr>
        <w:rPr>
          <w:rFonts w:ascii="Arial" w:cs="Arial" w:eastAsia="Arial" w:hAnsi="Arial"/>
          <w:sz w:val="18"/>
          <w:szCs w:val="18"/>
          <w:color w:val="4D4D4F"/>
        </w:rPr>
      </w:pPr>
      <w:r>
        <w:rPr>
          <w:rFonts w:ascii="Arial" w:cs="Arial" w:eastAsia="Arial" w:hAnsi="Arial"/>
          <w:sz w:val="18"/>
          <w:szCs w:val="18"/>
          <w:color w:val="4D4D4F"/>
        </w:rPr>
        <w:t>acquire businesses, technologies, product franchises, or other assets through acquisition activity using Class A Common as consideration;</w:t>
      </w:r>
    </w:p>
    <w:p>
      <w:pPr>
        <w:spacing w:after="0" w:line="75" w:lineRule="exact"/>
        <w:rPr>
          <w:rFonts w:ascii="Arial" w:cs="Arial" w:eastAsia="Arial" w:hAnsi="Arial"/>
          <w:sz w:val="18"/>
          <w:szCs w:val="18"/>
          <w:color w:val="4D4D4F"/>
        </w:rPr>
      </w:pPr>
    </w:p>
    <w:p>
      <w:pPr>
        <w:ind w:left="340" w:hanging="332"/>
        <w:spacing w:after="0"/>
        <w:tabs>
          <w:tab w:leader="none" w:pos="340" w:val="left"/>
        </w:tabs>
        <w:numPr>
          <w:ilvl w:val="0"/>
          <w:numId w:val="69"/>
        </w:numPr>
        <w:rPr>
          <w:rFonts w:ascii="Arial" w:cs="Arial" w:eastAsia="Arial" w:hAnsi="Arial"/>
          <w:sz w:val="18"/>
          <w:szCs w:val="18"/>
          <w:color w:val="4D4D4F"/>
        </w:rPr>
      </w:pPr>
      <w:r>
        <w:rPr>
          <w:rFonts w:ascii="Arial" w:cs="Arial" w:eastAsia="Arial" w:hAnsi="Arial"/>
          <w:sz w:val="18"/>
          <w:szCs w:val="18"/>
          <w:color w:val="4D4D4F"/>
        </w:rPr>
        <w:t>issue share dividends on our Class A and Class B Common; or</w:t>
      </w:r>
    </w:p>
    <w:p>
      <w:pPr>
        <w:spacing w:after="0" w:line="76" w:lineRule="exact"/>
        <w:rPr>
          <w:rFonts w:ascii="Arial" w:cs="Arial" w:eastAsia="Arial" w:hAnsi="Arial"/>
          <w:sz w:val="18"/>
          <w:szCs w:val="18"/>
          <w:color w:val="4D4D4F"/>
        </w:rPr>
      </w:pPr>
    </w:p>
    <w:p>
      <w:pPr>
        <w:ind w:left="340" w:hanging="332"/>
        <w:spacing w:after="0"/>
        <w:tabs>
          <w:tab w:leader="none" w:pos="340" w:val="left"/>
        </w:tabs>
        <w:numPr>
          <w:ilvl w:val="0"/>
          <w:numId w:val="69"/>
        </w:numPr>
        <w:rPr>
          <w:rFonts w:ascii="Arial" w:cs="Arial" w:eastAsia="Arial" w:hAnsi="Arial"/>
          <w:sz w:val="18"/>
          <w:szCs w:val="18"/>
          <w:color w:val="4D4D4F"/>
        </w:rPr>
      </w:pPr>
      <w:r>
        <w:rPr>
          <w:rFonts w:ascii="Arial" w:cs="Arial" w:eastAsia="Arial" w:hAnsi="Arial"/>
          <w:sz w:val="18"/>
          <w:szCs w:val="18"/>
          <w:color w:val="4D4D4F"/>
        </w:rPr>
        <w:t>issue Class A Common for other corporate purposes.</w:t>
      </w:r>
    </w:p>
    <w:p>
      <w:pPr>
        <w:spacing w:after="0" w:line="18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4D4D4F"/>
        </w:rPr>
        <w:t>Without an increase in the number of authorized shares of Class A Common, the number of remaining shares of Class A Common may be insufficient to complete one or more of the above transactions when and if the board deems it advisable and in the best interests of our company and stockholders to do so. We believe that having the additional authorized shares of Class A Common available for issuance, upon approval of the board, will be beneficial to our company and stockholders by allowing us to promptly consider and respond to future business opportunities as they arise, including in relation to acquisition opportunities. Due to market, industry and other factors, the delay involved in calling and holding a stockholder meeting to approve an increase in authorized shares at the time a business opportunity presents itself may prevent us from timely pursuing that opportunity, or may significantly adversely affect the economic or strategic value of that opportunity.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4D4D4F"/>
        </w:rPr>
        <w:t>We currently have no specific plans, arrangements, or understandings to issue additional shares of Class A Common, except for issuances</w:t>
      </w:r>
    </w:p>
    <w:p>
      <w:pPr>
        <w:ind w:firstLine="8"/>
        <w:spacing w:after="0" w:line="246" w:lineRule="auto"/>
        <w:tabs>
          <w:tab w:leader="none" w:pos="219" w:val="left"/>
        </w:tabs>
        <w:numPr>
          <w:ilvl w:val="0"/>
          <w:numId w:val="70"/>
        </w:numPr>
        <w:rPr>
          <w:rFonts w:ascii="Arial" w:cs="Arial" w:eastAsia="Arial" w:hAnsi="Arial"/>
          <w:sz w:val="18"/>
          <w:szCs w:val="18"/>
          <w:color w:val="4D4D4F"/>
        </w:rPr>
      </w:pPr>
      <w:r>
        <w:rPr>
          <w:rFonts w:ascii="Arial" w:cs="Arial" w:eastAsia="Arial" w:hAnsi="Arial"/>
          <w:sz w:val="18"/>
          <w:szCs w:val="18"/>
          <w:color w:val="4D4D4F"/>
        </w:rPr>
        <w:t xml:space="preserve">pursuant to the exercise of outstanding options to purchase shares of Class A Common, (ii) under the 2016 Omnibus Incentive Plan, (iii) </w:t>
      </w:r>
      <w:r>
        <w:rPr>
          <w:rFonts w:ascii="Arial" w:cs="Arial" w:eastAsia="Arial" w:hAnsi="Arial"/>
          <w:sz w:val="18"/>
          <w:szCs w:val="18"/>
          <w:color w:val="000000"/>
        </w:rPr>
        <w:t xml:space="preserve">pursuant to the exercise of an outstanding warrant, and (iv) </w:t>
      </w:r>
      <w:r>
        <w:rPr>
          <w:rFonts w:ascii="Arial" w:cs="Arial" w:eastAsia="Arial" w:hAnsi="Arial"/>
          <w:sz w:val="18"/>
          <w:szCs w:val="18"/>
          <w:color w:val="4D4D4F"/>
        </w:rPr>
        <w:t>upon conversion of Class B Common.</w:t>
      </w:r>
    </w:p>
    <w:p>
      <w:pPr>
        <w:spacing w:after="0" w:line="15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4D4D4F"/>
        </w:rPr>
        <w:t>While we have allocated shares of Class A Common to be reserved for use exclusively in connection with dividends on Class A Common and all of the authorized but unissued shares of Class B Common to be reserved for use only in connection with dividends on Class B Common, we currently have no specific plans, arrangements or understandings to issue a stock dividend. We continually evaluate our capital structure and may consider a stock dividend if, among other things, market conditions are favorable or there is a favorable business opportunity for the company.</w:t>
      </w:r>
    </w:p>
    <w:p>
      <w:pPr>
        <w:spacing w:after="0" w:line="17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4D4D4F"/>
        </w:rPr>
        <w:t>The proposed Charter Amendment will not affect the rights of existing stockholders of Class A Common or Class B Common, except to the extent that future issuances of common stock (which, in the case of Class B Common, would be limited to dividends on Class B Common), including the additional shares that would be authorized if the proposed Charter Amendment is approved, may dilute the current equity ownership position of current holders of common stock and may be made without further stockholder approval, unless otherwise required by applicable laws or stock exchange regulations.</w:t>
      </w:r>
    </w:p>
    <w:p>
      <w:pPr>
        <w:spacing w:after="0" w:line="16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4D4D4F"/>
        </w:rPr>
        <w:t>Although the board is motivated by business and financial considerations in proposing this Charter Amendment, stockholders should be aware that the Charter Amendment could be viewed as an anti-takeover provision. This proposed Charter Amendment, if approved, might discourage an attempt by a third party to gain control of us by acquiring a substantial number of shares of Class A Common in order to complete a merger, sale of all or any part of our assets, or similar transactions, because the issuance of new shares could be used to dilute the stock ownership of that third party.</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2" w:name="page53"/>
    <w:bookmarkEnd w:id="52"/>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7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4D4D4F"/>
        </w:rPr>
        <w:t>Any newly authorized shares of Class A Common and Class B Common that would be authorized by the approval of this proposed Charter Amendment will be equal in rank and have the same voting, dividend and liquidation rights to the shares of Class A Common and Class B Common, respectively, now outstanding. If the proposed Charter Amendment is approved, it will become effective upon the filing of a certificate of amendment to our certificate of incorporation with the Secretary of State of the State of Delaware.</w:t>
      </w:r>
    </w:p>
    <w:p>
      <w:pPr>
        <w:spacing w:after="0" w:line="164" w:lineRule="exact"/>
        <w:rPr>
          <w:sz w:val="20"/>
          <w:szCs w:val="20"/>
          <w:color w:val="auto"/>
        </w:rPr>
      </w:pPr>
    </w:p>
    <w:p>
      <w:pPr>
        <w:jc w:val="both"/>
        <w:spacing w:after="0"/>
        <w:rPr>
          <w:sz w:val="20"/>
          <w:szCs w:val="20"/>
          <w:color w:val="auto"/>
        </w:rPr>
      </w:pPr>
      <w:r>
        <w:rPr>
          <w:rFonts w:ascii="Arial" w:cs="Arial" w:eastAsia="Arial" w:hAnsi="Arial"/>
          <w:sz w:val="18"/>
          <w:szCs w:val="18"/>
          <w:color w:val="4D4D4F"/>
        </w:rPr>
        <w:t>Currently, our certificate of incorporation authorizes us to issue 10,000,000 shares of preferred stock. No other class of capital stock of the company is authorized. We are not proposing, and the proposed Charter Amendment will not result in, any change to our authorized preferred stock.</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0079C0"/>
        </w:rPr>
        <w:t>The board of directors recommends a vote</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0079C0"/>
        </w:rPr>
        <w:t>FOR</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0079C0"/>
        </w:rPr>
        <w:t>the amendment to our certificate of incorporation.</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3" w:name="page54"/>
    <w:bookmarkEnd w:id="53"/>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28" w:lineRule="exact"/>
        <w:rPr>
          <w:sz w:val="20"/>
          <w:szCs w:val="20"/>
          <w:color w:val="auto"/>
        </w:rPr>
      </w:pPr>
    </w:p>
    <w:p>
      <w:pPr>
        <w:spacing w:after="0"/>
        <w:rPr>
          <w:sz w:val="20"/>
          <w:szCs w:val="20"/>
          <w:color w:val="auto"/>
        </w:rPr>
      </w:pPr>
      <w:r>
        <w:rPr>
          <w:rFonts w:ascii="Arial" w:cs="Arial" w:eastAsia="Arial" w:hAnsi="Arial"/>
          <w:sz w:val="25"/>
          <w:szCs w:val="25"/>
          <w:b w:val="1"/>
          <w:bCs w:val="1"/>
          <w:color w:val="003E64"/>
        </w:rPr>
        <w:t xml:space="preserve">Proposal </w:t>
      </w:r>
      <w:r>
        <w:rPr>
          <w:sz w:val="1"/>
          <w:szCs w:val="1"/>
          <w:color w:val="auto"/>
        </w:rPr>
        <w:drawing>
          <wp:inline distT="0" distB="0" distL="0" distR="0">
            <wp:extent cx="257175" cy="274320"/>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57175" cy="274320"/>
                    </a:xfrm>
                    <a:prstGeom prst="rect">
                      <a:avLst/>
                    </a:prstGeom>
                    <a:noFill/>
                    <a:ln>
                      <a:noFill/>
                    </a:ln>
                  </pic:spPr>
                </pic:pic>
              </a:graphicData>
            </a:graphic>
          </wp:inline>
        </w:drawing>
      </w:r>
      <w:r>
        <w:rPr>
          <w:rFonts w:ascii="Arial" w:cs="Arial" w:eastAsia="Arial" w:hAnsi="Arial"/>
          <w:sz w:val="25"/>
          <w:szCs w:val="25"/>
          <w:b w:val="1"/>
          <w:bCs w:val="1"/>
          <w:color w:val="003E64"/>
        </w:rPr>
        <w:t xml:space="preserve"> — Ratification of Appointment of Independent Auditor for 2021</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b w:val="1"/>
          <w:bCs w:val="1"/>
          <w:color w:val="0079C0"/>
        </w:rPr>
        <w:t>Appointment of Independent Auditor by Audit Committee</w:t>
      </w:r>
    </w:p>
    <w:p>
      <w:pPr>
        <w:spacing w:after="0" w:line="23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4D4D4F"/>
        </w:rPr>
        <w:t>The audit committee annually evaluates the performance of our independent auditor, including the senior audit engagement team, and determines whether to reengage the current independent auditor or consider other audit firms.</w:t>
      </w:r>
    </w:p>
    <w:p>
      <w:pPr>
        <w:spacing w:after="0" w:line="156" w:lineRule="exact"/>
        <w:rPr>
          <w:sz w:val="20"/>
          <w:szCs w:val="20"/>
          <w:color w:val="auto"/>
        </w:rPr>
      </w:pPr>
    </w:p>
    <w:p>
      <w:pPr>
        <w:jc w:val="both"/>
        <w:spacing w:after="0"/>
        <w:rPr>
          <w:sz w:val="20"/>
          <w:szCs w:val="20"/>
          <w:color w:val="auto"/>
        </w:rPr>
      </w:pPr>
      <w:r>
        <w:rPr>
          <w:rFonts w:ascii="Arial" w:cs="Arial" w:eastAsia="Arial" w:hAnsi="Arial"/>
          <w:sz w:val="18"/>
          <w:szCs w:val="18"/>
          <w:color w:val="4D4D4F"/>
        </w:rPr>
        <w:t>This year the audit committee has approved the retention of BDO China Shu Lun Pan Certified Public Accountants LLP, or BDO, as our independent auditor to report on our consolidated financial statements and the effectiveness of our internal control over financial reporting for the year ending December 31, 2021. Factors considered by the audit committee in deciding whether to retain BDO included:</w:t>
      </w:r>
    </w:p>
    <w:p>
      <w:pPr>
        <w:spacing w:after="0" w:line="81" w:lineRule="exact"/>
        <w:rPr>
          <w:sz w:val="20"/>
          <w:szCs w:val="20"/>
          <w:color w:val="auto"/>
        </w:rPr>
      </w:pPr>
    </w:p>
    <w:p>
      <w:pPr>
        <w:ind w:left="340" w:hanging="332"/>
        <w:spacing w:after="0"/>
        <w:tabs>
          <w:tab w:leader="none" w:pos="340" w:val="left"/>
        </w:tabs>
        <w:numPr>
          <w:ilvl w:val="0"/>
          <w:numId w:val="71"/>
        </w:numPr>
        <w:rPr>
          <w:rFonts w:ascii="Arial" w:cs="Arial" w:eastAsia="Arial" w:hAnsi="Arial"/>
          <w:sz w:val="18"/>
          <w:szCs w:val="18"/>
          <w:color w:val="4D4D4F"/>
        </w:rPr>
      </w:pPr>
      <w:r>
        <w:rPr>
          <w:rFonts w:ascii="Arial" w:cs="Arial" w:eastAsia="Arial" w:hAnsi="Arial"/>
          <w:sz w:val="18"/>
          <w:szCs w:val="18"/>
          <w:color w:val="4D4D4F"/>
        </w:rPr>
        <w:t>BDO’s global capabilities;</w:t>
      </w:r>
    </w:p>
    <w:p>
      <w:pPr>
        <w:spacing w:after="0" w:line="76" w:lineRule="exact"/>
        <w:rPr>
          <w:rFonts w:ascii="Arial" w:cs="Arial" w:eastAsia="Arial" w:hAnsi="Arial"/>
          <w:sz w:val="18"/>
          <w:szCs w:val="18"/>
          <w:color w:val="4D4D4F"/>
        </w:rPr>
      </w:pPr>
    </w:p>
    <w:p>
      <w:pPr>
        <w:ind w:left="340" w:hanging="332"/>
        <w:spacing w:after="0"/>
        <w:tabs>
          <w:tab w:leader="none" w:pos="340" w:val="left"/>
        </w:tabs>
        <w:numPr>
          <w:ilvl w:val="0"/>
          <w:numId w:val="71"/>
        </w:numPr>
        <w:rPr>
          <w:rFonts w:ascii="Arial" w:cs="Arial" w:eastAsia="Arial" w:hAnsi="Arial"/>
          <w:sz w:val="18"/>
          <w:szCs w:val="18"/>
          <w:color w:val="4D4D4F"/>
        </w:rPr>
      </w:pPr>
      <w:r>
        <w:rPr>
          <w:rFonts w:ascii="Arial" w:cs="Arial" w:eastAsia="Arial" w:hAnsi="Arial"/>
          <w:sz w:val="18"/>
          <w:szCs w:val="18"/>
          <w:color w:val="4D4D4F"/>
        </w:rPr>
        <w:t>BDO’s technical expertise and knowledge of our global operations and industry;</w:t>
      </w:r>
    </w:p>
    <w:p>
      <w:pPr>
        <w:spacing w:after="0" w:line="90" w:lineRule="exact"/>
        <w:rPr>
          <w:rFonts w:ascii="Arial" w:cs="Arial" w:eastAsia="Arial" w:hAnsi="Arial"/>
          <w:sz w:val="18"/>
          <w:szCs w:val="18"/>
          <w:color w:val="4D4D4F"/>
        </w:rPr>
      </w:pPr>
    </w:p>
    <w:p>
      <w:pPr>
        <w:ind w:left="340" w:hanging="332"/>
        <w:spacing w:after="0"/>
        <w:tabs>
          <w:tab w:leader="none" w:pos="340" w:val="left"/>
        </w:tabs>
        <w:numPr>
          <w:ilvl w:val="0"/>
          <w:numId w:val="71"/>
        </w:numPr>
        <w:rPr>
          <w:rFonts w:ascii="Arial" w:cs="Arial" w:eastAsia="Arial" w:hAnsi="Arial"/>
          <w:sz w:val="18"/>
          <w:szCs w:val="18"/>
          <w:color w:val="4D4D4F"/>
        </w:rPr>
      </w:pPr>
      <w:r>
        <w:rPr>
          <w:rFonts w:ascii="Arial" w:cs="Arial" w:eastAsia="Arial" w:hAnsi="Arial"/>
          <w:sz w:val="18"/>
          <w:szCs w:val="18"/>
          <w:color w:val="4D4D4F"/>
        </w:rPr>
        <w:t>the quality and candor of BDO’s communications with the audit committee and management;</w:t>
      </w:r>
    </w:p>
    <w:p>
      <w:pPr>
        <w:spacing w:after="0" w:line="90" w:lineRule="exact"/>
        <w:rPr>
          <w:rFonts w:ascii="Arial" w:cs="Arial" w:eastAsia="Arial" w:hAnsi="Arial"/>
          <w:sz w:val="18"/>
          <w:szCs w:val="18"/>
          <w:color w:val="4D4D4F"/>
        </w:rPr>
      </w:pPr>
    </w:p>
    <w:p>
      <w:pPr>
        <w:ind w:left="340" w:hanging="332"/>
        <w:spacing w:after="0"/>
        <w:tabs>
          <w:tab w:leader="none" w:pos="340" w:val="left"/>
        </w:tabs>
        <w:numPr>
          <w:ilvl w:val="0"/>
          <w:numId w:val="71"/>
        </w:numPr>
        <w:rPr>
          <w:rFonts w:ascii="Arial" w:cs="Arial" w:eastAsia="Arial" w:hAnsi="Arial"/>
          <w:sz w:val="18"/>
          <w:szCs w:val="18"/>
          <w:color w:val="4D4D4F"/>
        </w:rPr>
      </w:pPr>
      <w:r>
        <w:rPr>
          <w:rFonts w:ascii="Arial" w:cs="Arial" w:eastAsia="Arial" w:hAnsi="Arial"/>
          <w:sz w:val="18"/>
          <w:szCs w:val="18"/>
          <w:color w:val="4D4D4F"/>
        </w:rPr>
        <w:t>the quality and efficiency of the services provided by BDO, including input from management on BDO’s performance;</w:t>
      </w:r>
    </w:p>
    <w:p>
      <w:pPr>
        <w:spacing w:after="0" w:line="76" w:lineRule="exact"/>
        <w:rPr>
          <w:rFonts w:ascii="Arial" w:cs="Arial" w:eastAsia="Arial" w:hAnsi="Arial"/>
          <w:sz w:val="18"/>
          <w:szCs w:val="18"/>
          <w:color w:val="4D4D4F"/>
        </w:rPr>
      </w:pPr>
    </w:p>
    <w:p>
      <w:pPr>
        <w:ind w:left="340" w:hanging="332"/>
        <w:spacing w:after="0"/>
        <w:tabs>
          <w:tab w:leader="none" w:pos="340" w:val="left"/>
        </w:tabs>
        <w:numPr>
          <w:ilvl w:val="0"/>
          <w:numId w:val="71"/>
        </w:numPr>
        <w:rPr>
          <w:rFonts w:ascii="Arial" w:cs="Arial" w:eastAsia="Arial" w:hAnsi="Arial"/>
          <w:sz w:val="18"/>
          <w:szCs w:val="18"/>
          <w:color w:val="4D4D4F"/>
        </w:rPr>
      </w:pPr>
      <w:r>
        <w:rPr>
          <w:rFonts w:ascii="Arial" w:cs="Arial" w:eastAsia="Arial" w:hAnsi="Arial"/>
          <w:sz w:val="18"/>
          <w:szCs w:val="18"/>
          <w:color w:val="4D4D4F"/>
        </w:rPr>
        <w:t>BDO’s objectivity and professional skepticism;</w:t>
      </w:r>
    </w:p>
    <w:p>
      <w:pPr>
        <w:spacing w:after="0" w:line="90" w:lineRule="exact"/>
        <w:rPr>
          <w:rFonts w:ascii="Arial" w:cs="Arial" w:eastAsia="Arial" w:hAnsi="Arial"/>
          <w:sz w:val="18"/>
          <w:szCs w:val="18"/>
          <w:color w:val="4D4D4F"/>
        </w:rPr>
      </w:pPr>
    </w:p>
    <w:p>
      <w:pPr>
        <w:ind w:left="340" w:hanging="332"/>
        <w:spacing w:after="0"/>
        <w:tabs>
          <w:tab w:leader="none" w:pos="340" w:val="left"/>
        </w:tabs>
        <w:numPr>
          <w:ilvl w:val="0"/>
          <w:numId w:val="71"/>
        </w:numPr>
        <w:rPr>
          <w:rFonts w:ascii="Arial" w:cs="Arial" w:eastAsia="Arial" w:hAnsi="Arial"/>
          <w:sz w:val="18"/>
          <w:szCs w:val="18"/>
          <w:color w:val="4D4D4F"/>
        </w:rPr>
      </w:pPr>
      <w:r>
        <w:rPr>
          <w:rFonts w:ascii="Arial" w:cs="Arial" w:eastAsia="Arial" w:hAnsi="Arial"/>
          <w:sz w:val="18"/>
          <w:szCs w:val="18"/>
          <w:color w:val="4D4D4F"/>
        </w:rPr>
        <w:t>external data on audit quality and performance ;</w:t>
      </w:r>
    </w:p>
    <w:p>
      <w:pPr>
        <w:spacing w:after="0" w:line="90" w:lineRule="exact"/>
        <w:rPr>
          <w:rFonts w:ascii="Arial" w:cs="Arial" w:eastAsia="Arial" w:hAnsi="Arial"/>
          <w:sz w:val="18"/>
          <w:szCs w:val="18"/>
          <w:color w:val="4D4D4F"/>
        </w:rPr>
      </w:pPr>
    </w:p>
    <w:p>
      <w:pPr>
        <w:ind w:left="340" w:hanging="332"/>
        <w:spacing w:after="0"/>
        <w:tabs>
          <w:tab w:leader="none" w:pos="340" w:val="left"/>
        </w:tabs>
        <w:numPr>
          <w:ilvl w:val="0"/>
          <w:numId w:val="71"/>
        </w:numPr>
        <w:rPr>
          <w:rFonts w:ascii="Arial" w:cs="Arial" w:eastAsia="Arial" w:hAnsi="Arial"/>
          <w:sz w:val="18"/>
          <w:szCs w:val="18"/>
          <w:color w:val="4D4D4F"/>
        </w:rPr>
      </w:pPr>
      <w:r>
        <w:rPr>
          <w:rFonts w:ascii="Arial" w:cs="Arial" w:eastAsia="Arial" w:hAnsi="Arial"/>
          <w:sz w:val="18"/>
          <w:szCs w:val="18"/>
          <w:color w:val="4D4D4F"/>
        </w:rPr>
        <w:t>BDO’s use of technology to aid in audit efficiency;</w:t>
      </w:r>
    </w:p>
    <w:p>
      <w:pPr>
        <w:spacing w:after="0" w:line="76" w:lineRule="exact"/>
        <w:rPr>
          <w:rFonts w:ascii="Arial" w:cs="Arial" w:eastAsia="Arial" w:hAnsi="Arial"/>
          <w:sz w:val="18"/>
          <w:szCs w:val="18"/>
          <w:color w:val="4D4D4F"/>
        </w:rPr>
      </w:pPr>
    </w:p>
    <w:p>
      <w:pPr>
        <w:ind w:left="340" w:hanging="332"/>
        <w:spacing w:after="0" w:line="246" w:lineRule="auto"/>
        <w:tabs>
          <w:tab w:leader="none" w:pos="340" w:val="left"/>
        </w:tabs>
        <w:numPr>
          <w:ilvl w:val="0"/>
          <w:numId w:val="71"/>
        </w:numPr>
        <w:rPr>
          <w:rFonts w:ascii="Arial" w:cs="Arial" w:eastAsia="Arial" w:hAnsi="Arial"/>
          <w:sz w:val="18"/>
          <w:szCs w:val="18"/>
          <w:color w:val="4D4D4F"/>
        </w:rPr>
      </w:pPr>
      <w:r>
        <w:rPr>
          <w:rFonts w:ascii="Arial" w:cs="Arial" w:eastAsia="Arial" w:hAnsi="Arial"/>
          <w:sz w:val="18"/>
          <w:szCs w:val="18"/>
          <w:color w:val="4D4D4F"/>
        </w:rPr>
        <w:t>BDO’s independence, how effectively BDO demonstrated its independent judgment, and the controls and processes in place that help ensure BDO’s independence;</w:t>
      </w:r>
    </w:p>
    <w:p>
      <w:pPr>
        <w:spacing w:after="0" w:line="75" w:lineRule="exact"/>
        <w:rPr>
          <w:rFonts w:ascii="Arial" w:cs="Arial" w:eastAsia="Arial" w:hAnsi="Arial"/>
          <w:sz w:val="18"/>
          <w:szCs w:val="18"/>
          <w:color w:val="4D4D4F"/>
        </w:rPr>
      </w:pPr>
    </w:p>
    <w:p>
      <w:pPr>
        <w:ind w:left="340" w:hanging="332"/>
        <w:spacing w:after="0"/>
        <w:tabs>
          <w:tab w:leader="none" w:pos="340" w:val="left"/>
        </w:tabs>
        <w:numPr>
          <w:ilvl w:val="0"/>
          <w:numId w:val="71"/>
        </w:numPr>
        <w:rPr>
          <w:rFonts w:ascii="Arial" w:cs="Arial" w:eastAsia="Arial" w:hAnsi="Arial"/>
          <w:sz w:val="18"/>
          <w:szCs w:val="18"/>
          <w:color w:val="4D4D4F"/>
        </w:rPr>
      </w:pPr>
      <w:r>
        <w:rPr>
          <w:rFonts w:ascii="Arial" w:cs="Arial" w:eastAsia="Arial" w:hAnsi="Arial"/>
          <w:sz w:val="18"/>
          <w:szCs w:val="18"/>
          <w:color w:val="4D4D4F"/>
        </w:rPr>
        <w:t>the appropriateness of BDO’s fees; and</w:t>
      </w:r>
    </w:p>
    <w:p>
      <w:pPr>
        <w:spacing w:after="0" w:line="90" w:lineRule="exact"/>
        <w:rPr>
          <w:rFonts w:ascii="Arial" w:cs="Arial" w:eastAsia="Arial" w:hAnsi="Arial"/>
          <w:sz w:val="18"/>
          <w:szCs w:val="18"/>
          <w:color w:val="4D4D4F"/>
        </w:rPr>
      </w:pPr>
    </w:p>
    <w:p>
      <w:pPr>
        <w:jc w:val="both"/>
        <w:ind w:left="340" w:hanging="332"/>
        <w:spacing w:after="0"/>
        <w:tabs>
          <w:tab w:leader="none" w:pos="340" w:val="left"/>
        </w:tabs>
        <w:numPr>
          <w:ilvl w:val="0"/>
          <w:numId w:val="71"/>
        </w:numPr>
        <w:rPr>
          <w:rFonts w:ascii="Arial" w:cs="Arial" w:eastAsia="Arial" w:hAnsi="Arial"/>
          <w:sz w:val="18"/>
          <w:szCs w:val="18"/>
          <w:color w:val="4D4D4F"/>
        </w:rPr>
      </w:pPr>
      <w:r>
        <w:rPr>
          <w:rFonts w:ascii="Arial" w:cs="Arial" w:eastAsia="Arial" w:hAnsi="Arial"/>
          <w:sz w:val="18"/>
          <w:szCs w:val="18"/>
          <w:color w:val="4D4D4F"/>
        </w:rPr>
        <w:t>the potential impact of proposed legislation and exchange regulations regarding audits by an accounting firm, such as BDO, with a branch or office located in a foreign jurisdiction, such as the PRC, that the Public Company Accounting Oversight Board is unable to inspect or investigate due to a position taken by an authority in the foreign jurisdiction.</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0079C0"/>
        </w:rPr>
        <w:t>Proposed Ratification of Independent Auditor</w:t>
      </w:r>
    </w:p>
    <w:p>
      <w:pPr>
        <w:spacing w:after="0" w:line="23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4D4D4F"/>
        </w:rPr>
        <w:t>The audit committee is responsible for the appointment, retention, termination, compensation and oversight of the work of our independent registered public accounting firm for the purpose of preparing or issuing an audit report or related work. Although ratification of the appointment of our independent auditor is not required by our bylaws or otherwise, the board of directors is submitting the appointment of BDO to our stockholders for ratification because we value the views of our stockholders.</w:t>
      </w:r>
    </w:p>
    <w:p>
      <w:pPr>
        <w:spacing w:after="0" w:line="16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4D4D4F"/>
        </w:rPr>
        <w:t>The audit committee considers BDO to be well qualified. In the absence of contrary specification, the proxy holders will vote proxies received in response to this solicitation in favor of ratification of the appointment. In the event that stockholders fail to ratify the appointment of BDO, the audit committee will reconsider the appointment of BDO. Even if the appointment is ratified, the ratification is not binding and the audit committee may in its discretion select a different independent auditor at any time during the year if it determines that such a change would be in the best interests of our company and stockholders.</w:t>
      </w:r>
    </w:p>
    <w:p>
      <w:pPr>
        <w:spacing w:after="0" w:line="162"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4D4D4F"/>
        </w:rPr>
        <w:t>Representatives of BDO are expected to be present at the Annual Meeting and will have an opportunity to make a statement, if they desire.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079C0"/>
        </w:rPr>
        <w:t>The board of directors recommends a vote</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079C0"/>
        </w:rPr>
        <w:t>FOR</w:t>
      </w:r>
    </w:p>
    <w:p>
      <w:pPr>
        <w:jc w:val="center"/>
        <w:spacing w:after="0"/>
        <w:rPr>
          <w:sz w:val="20"/>
          <w:szCs w:val="20"/>
          <w:color w:val="auto"/>
        </w:rPr>
      </w:pPr>
      <w:r>
        <w:rPr>
          <w:rFonts w:ascii="Arial" w:cs="Arial" w:eastAsia="Arial" w:hAnsi="Arial"/>
          <w:sz w:val="22"/>
          <w:szCs w:val="22"/>
          <w:b w:val="1"/>
          <w:bCs w:val="1"/>
          <w:color w:val="0079C0"/>
        </w:rPr>
        <w:t>the ratification of the appointment of BDO as our independent auditor for 2021.</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4" w:name="page55"/>
    <w:bookmarkEnd w:id="54"/>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3E64"/>
        </w:rPr>
        <w:t>Accounting Matters</w:t>
      </w:r>
    </w:p>
    <w:p>
      <w:pPr>
        <w:spacing w:after="0" w:line="278" w:lineRule="exact"/>
        <w:rPr>
          <w:sz w:val="20"/>
          <w:szCs w:val="20"/>
          <w:color w:val="auto"/>
        </w:rPr>
      </w:pPr>
    </w:p>
    <w:p>
      <w:pPr>
        <w:spacing w:after="0"/>
        <w:rPr>
          <w:sz w:val="20"/>
          <w:szCs w:val="20"/>
          <w:color w:val="auto"/>
        </w:rPr>
      </w:pPr>
      <w:r>
        <w:rPr>
          <w:rFonts w:ascii="Arial" w:cs="Arial" w:eastAsia="Arial" w:hAnsi="Arial"/>
          <w:sz w:val="22"/>
          <w:szCs w:val="22"/>
          <w:b w:val="1"/>
          <w:bCs w:val="1"/>
          <w:color w:val="0079C0"/>
        </w:rPr>
        <w:t>Principal Independent Auditor Fees</w:t>
      </w:r>
    </w:p>
    <w:p>
      <w:pPr>
        <w:spacing w:after="0" w:line="238" w:lineRule="exact"/>
        <w:rPr>
          <w:sz w:val="20"/>
          <w:szCs w:val="20"/>
          <w:color w:val="auto"/>
        </w:rPr>
      </w:pPr>
    </w:p>
    <w:p>
      <w:pPr>
        <w:spacing w:after="0" w:line="246" w:lineRule="auto"/>
        <w:rPr>
          <w:sz w:val="20"/>
          <w:szCs w:val="20"/>
          <w:color w:val="auto"/>
        </w:rPr>
      </w:pPr>
      <w:r>
        <w:rPr>
          <w:rFonts w:ascii="Arial" w:cs="Arial" w:eastAsia="Arial" w:hAnsi="Arial"/>
          <w:sz w:val="18"/>
          <w:szCs w:val="18"/>
          <w:color w:val="4D4D4F"/>
        </w:rPr>
        <w:t>The following table sets forth the aggregate fees billed to us by BDO for professional services rendered for the years ended December 31, 2020 and 2019:</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80" w:type="dxa"/>
            <w:vAlign w:val="bottom"/>
            <w:shd w:val="clear" w:color="auto" w:fill="003E64"/>
          </w:tcPr>
          <w:p>
            <w:pPr>
              <w:spacing w:after="0"/>
              <w:rPr>
                <w:sz w:val="16"/>
                <w:szCs w:val="16"/>
                <w:color w:val="auto"/>
              </w:rPr>
            </w:pPr>
          </w:p>
        </w:tc>
        <w:tc>
          <w:tcPr>
            <w:tcW w:w="4540" w:type="dxa"/>
            <w:vAlign w:val="bottom"/>
            <w:shd w:val="clear" w:color="auto" w:fill="003E64"/>
          </w:tcPr>
          <w:p>
            <w:pPr>
              <w:jc w:val="center"/>
              <w:ind w:left="3335"/>
              <w:spacing w:after="0"/>
              <w:rPr>
                <w:sz w:val="20"/>
                <w:szCs w:val="20"/>
                <w:color w:val="auto"/>
              </w:rPr>
            </w:pPr>
            <w:r>
              <w:rPr>
                <w:rFonts w:ascii="Arial" w:cs="Arial" w:eastAsia="Arial" w:hAnsi="Arial"/>
                <w:sz w:val="14"/>
                <w:szCs w:val="14"/>
                <w:b w:val="1"/>
                <w:bCs w:val="1"/>
                <w:color w:val="FFFFFF"/>
              </w:rPr>
              <w:t>2020</w:t>
            </w:r>
          </w:p>
        </w:tc>
        <w:tc>
          <w:tcPr>
            <w:tcW w:w="1120" w:type="dxa"/>
            <w:vAlign w:val="bottom"/>
            <w:shd w:val="clear" w:color="auto" w:fill="003E64"/>
          </w:tcPr>
          <w:p>
            <w:pPr>
              <w:jc w:val="center"/>
              <w:spacing w:after="0"/>
              <w:rPr>
                <w:sz w:val="20"/>
                <w:szCs w:val="20"/>
                <w:color w:val="auto"/>
              </w:rPr>
            </w:pPr>
            <w:r>
              <w:rPr>
                <w:rFonts w:ascii="Arial" w:cs="Arial" w:eastAsia="Arial" w:hAnsi="Arial"/>
                <w:sz w:val="14"/>
                <w:szCs w:val="14"/>
                <w:b w:val="1"/>
                <w:bCs w:val="1"/>
                <w:color w:val="FFFFFF"/>
              </w:rPr>
              <w:t>2019</w:t>
            </w:r>
          </w:p>
        </w:tc>
      </w:tr>
      <w:tr>
        <w:trPr>
          <w:trHeight w:val="203"/>
        </w:trPr>
        <w:tc>
          <w:tcPr>
            <w:tcW w:w="5580" w:type="dxa"/>
            <w:vAlign w:val="bottom"/>
          </w:tcPr>
          <w:p>
            <w:pPr>
              <w:ind w:left="120"/>
              <w:spacing w:after="0" w:line="202" w:lineRule="exact"/>
              <w:rPr>
                <w:sz w:val="20"/>
                <w:szCs w:val="20"/>
                <w:color w:val="auto"/>
              </w:rPr>
            </w:pPr>
            <w:r>
              <w:rPr>
                <w:rFonts w:ascii="Arial" w:cs="Arial" w:eastAsia="Arial" w:hAnsi="Arial"/>
                <w:sz w:val="18"/>
                <w:szCs w:val="18"/>
                <w:color w:val="4D4D4F"/>
              </w:rPr>
              <w:t>Audit Fees(1)</w:t>
            </w:r>
          </w:p>
        </w:tc>
        <w:tc>
          <w:tcPr>
            <w:tcW w:w="4540" w:type="dxa"/>
            <w:vAlign w:val="bottom"/>
          </w:tcPr>
          <w:p>
            <w:pPr>
              <w:jc w:val="center"/>
              <w:ind w:left="3335"/>
              <w:spacing w:after="0" w:line="202" w:lineRule="exact"/>
              <w:rPr>
                <w:sz w:val="20"/>
                <w:szCs w:val="20"/>
                <w:color w:val="auto"/>
              </w:rPr>
            </w:pPr>
            <w:r>
              <w:rPr>
                <w:rFonts w:ascii="Arial" w:cs="Arial" w:eastAsia="Arial" w:hAnsi="Arial"/>
                <w:sz w:val="18"/>
                <w:szCs w:val="18"/>
                <w:color w:val="4D4D4F"/>
              </w:rPr>
              <w:t>$479,225</w:t>
            </w:r>
          </w:p>
        </w:tc>
        <w:tc>
          <w:tcPr>
            <w:tcW w:w="1120" w:type="dxa"/>
            <w:vAlign w:val="bottom"/>
          </w:tcPr>
          <w:p>
            <w:pPr>
              <w:jc w:val="center"/>
              <w:spacing w:after="0" w:line="202" w:lineRule="exact"/>
              <w:rPr>
                <w:sz w:val="20"/>
                <w:szCs w:val="20"/>
                <w:color w:val="auto"/>
              </w:rPr>
            </w:pPr>
            <w:r>
              <w:rPr>
                <w:rFonts w:ascii="Arial" w:cs="Arial" w:eastAsia="Arial" w:hAnsi="Arial"/>
                <w:sz w:val="18"/>
                <w:szCs w:val="18"/>
                <w:color w:val="4D4D4F"/>
              </w:rPr>
              <w:t>$293,725</w:t>
            </w:r>
          </w:p>
        </w:tc>
      </w:tr>
      <w:tr>
        <w:trPr>
          <w:trHeight w:val="203"/>
        </w:trPr>
        <w:tc>
          <w:tcPr>
            <w:tcW w:w="55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4D4D4F"/>
              </w:rPr>
              <w:t>Audit-related Fees(2)</w:t>
            </w:r>
          </w:p>
        </w:tc>
        <w:tc>
          <w:tcPr>
            <w:tcW w:w="4540" w:type="dxa"/>
            <w:vAlign w:val="bottom"/>
            <w:shd w:val="clear" w:color="auto" w:fill="CCEEFF"/>
          </w:tcPr>
          <w:p>
            <w:pPr>
              <w:jc w:val="center"/>
              <w:ind w:left="3335"/>
              <w:spacing w:after="0" w:line="202" w:lineRule="exact"/>
              <w:rPr>
                <w:sz w:val="20"/>
                <w:szCs w:val="20"/>
                <w:color w:val="auto"/>
              </w:rPr>
            </w:pPr>
            <w:r>
              <w:rPr>
                <w:rFonts w:ascii="Arial" w:cs="Arial" w:eastAsia="Arial" w:hAnsi="Arial"/>
                <w:sz w:val="18"/>
                <w:szCs w:val="18"/>
                <w:color w:val="4D4D4F"/>
              </w:rPr>
              <w:t>$410,350</w:t>
            </w:r>
          </w:p>
        </w:tc>
        <w:tc>
          <w:tcPr>
            <w:tcW w:w="11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4D4D4F"/>
              </w:rPr>
              <w:t>$167,120</w:t>
            </w:r>
          </w:p>
        </w:tc>
      </w:tr>
      <w:tr>
        <w:trPr>
          <w:trHeight w:val="283"/>
        </w:trPr>
        <w:tc>
          <w:tcPr>
            <w:tcW w:w="5580" w:type="dxa"/>
            <w:vAlign w:val="bottom"/>
          </w:tcPr>
          <w:p>
            <w:pPr>
              <w:ind w:left="120"/>
              <w:spacing w:after="0"/>
              <w:rPr>
                <w:sz w:val="20"/>
                <w:szCs w:val="20"/>
                <w:color w:val="auto"/>
              </w:rPr>
            </w:pPr>
            <w:r>
              <w:rPr>
                <w:rFonts w:ascii="Arial" w:cs="Arial" w:eastAsia="Arial" w:hAnsi="Arial"/>
                <w:sz w:val="18"/>
                <w:szCs w:val="18"/>
                <w:color w:val="4D4D4F"/>
              </w:rPr>
              <w:t>Total</w:t>
            </w:r>
          </w:p>
        </w:tc>
        <w:tc>
          <w:tcPr>
            <w:tcW w:w="4540" w:type="dxa"/>
            <w:vAlign w:val="bottom"/>
          </w:tcPr>
          <w:p>
            <w:pPr>
              <w:jc w:val="center"/>
              <w:ind w:left="3335"/>
              <w:spacing w:after="0"/>
              <w:rPr>
                <w:sz w:val="20"/>
                <w:szCs w:val="20"/>
                <w:color w:val="auto"/>
              </w:rPr>
            </w:pPr>
            <w:r>
              <w:rPr>
                <w:rFonts w:ascii="Arial" w:cs="Arial" w:eastAsia="Arial" w:hAnsi="Arial"/>
                <w:sz w:val="18"/>
                <w:szCs w:val="18"/>
                <w:color w:val="4D4D4F"/>
              </w:rPr>
              <w:t>$889,575</w:t>
            </w:r>
          </w:p>
        </w:tc>
        <w:tc>
          <w:tcPr>
            <w:tcW w:w="1120" w:type="dxa"/>
            <w:vAlign w:val="bottom"/>
          </w:tcPr>
          <w:p>
            <w:pPr>
              <w:jc w:val="center"/>
              <w:spacing w:after="0"/>
              <w:rPr>
                <w:sz w:val="20"/>
                <w:szCs w:val="20"/>
                <w:color w:val="auto"/>
              </w:rPr>
            </w:pPr>
            <w:r>
              <w:rPr>
                <w:rFonts w:ascii="Arial" w:cs="Arial" w:eastAsia="Arial" w:hAnsi="Arial"/>
                <w:sz w:val="18"/>
                <w:szCs w:val="18"/>
                <w:color w:val="4D4D4F"/>
              </w:rPr>
              <w:t>$463,020</w:t>
            </w:r>
          </w:p>
        </w:tc>
      </w:tr>
    </w:tbl>
    <w:p>
      <w:pPr>
        <w:spacing w:after="0" w:line="5" w:lineRule="exact"/>
        <w:rPr>
          <w:sz w:val="20"/>
          <w:szCs w:val="20"/>
          <w:color w:val="auto"/>
        </w:rPr>
      </w:pPr>
    </w:p>
    <w:p>
      <w:pPr>
        <w:ind w:left="340" w:hanging="332"/>
        <w:spacing w:after="0" w:line="258" w:lineRule="auto"/>
        <w:tabs>
          <w:tab w:leader="none" w:pos="340" w:val="left"/>
        </w:tabs>
        <w:numPr>
          <w:ilvl w:val="0"/>
          <w:numId w:val="72"/>
        </w:numPr>
        <w:rPr>
          <w:rFonts w:ascii="Arial" w:cs="Arial" w:eastAsia="Arial" w:hAnsi="Arial"/>
          <w:sz w:val="14"/>
          <w:szCs w:val="14"/>
          <w:color w:val="4D4D4F"/>
        </w:rPr>
      </w:pPr>
      <w:r>
        <w:rPr>
          <w:rFonts w:ascii="Arial" w:cs="Arial" w:eastAsia="Arial" w:hAnsi="Arial"/>
          <w:sz w:val="14"/>
          <w:szCs w:val="14"/>
          <w:color w:val="4D4D4F"/>
        </w:rPr>
        <w:t>Includes services relating to the audit of the annual consolidated financial statements, review of quarterly consolidated financial statements, statutory audits, comfort letters, and consents and review of documentation filed with SEC-registered and other securities offerings.</w:t>
      </w:r>
    </w:p>
    <w:p>
      <w:pPr>
        <w:spacing w:after="0" w:line="31" w:lineRule="exact"/>
        <w:rPr>
          <w:rFonts w:ascii="Arial" w:cs="Arial" w:eastAsia="Arial" w:hAnsi="Arial"/>
          <w:sz w:val="14"/>
          <w:szCs w:val="14"/>
          <w:color w:val="4D4D4F"/>
        </w:rPr>
      </w:pPr>
    </w:p>
    <w:p>
      <w:pPr>
        <w:ind w:left="340" w:hanging="332"/>
        <w:spacing w:after="0" w:line="258" w:lineRule="auto"/>
        <w:tabs>
          <w:tab w:leader="none" w:pos="340" w:val="left"/>
        </w:tabs>
        <w:numPr>
          <w:ilvl w:val="0"/>
          <w:numId w:val="72"/>
        </w:numPr>
        <w:rPr>
          <w:rFonts w:ascii="Arial" w:cs="Arial" w:eastAsia="Arial" w:hAnsi="Arial"/>
          <w:sz w:val="14"/>
          <w:szCs w:val="14"/>
          <w:color w:val="4D4D4F"/>
        </w:rPr>
      </w:pPr>
      <w:r>
        <w:rPr>
          <w:rFonts w:ascii="Arial" w:cs="Arial" w:eastAsia="Arial" w:hAnsi="Arial"/>
          <w:sz w:val="14"/>
          <w:szCs w:val="14"/>
          <w:color w:val="4D4D4F"/>
        </w:rPr>
        <w:t>Includes services relating to the audit of the financial statements of ACM Shanghai in connection with its proposed initial public offering on the Shanghai Stock Exchange’s Sci-Tech innovAtion boaRd.</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0079C0"/>
        </w:rPr>
        <w:t>Audit Committee Pre-Approval Policies and Procedures</w:t>
      </w:r>
    </w:p>
    <w:p>
      <w:pPr>
        <w:spacing w:after="0" w:line="23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4D4D4F"/>
        </w:rPr>
        <w:t>The audit committee has adopted a policy that requires the audit committee or a member of the audit committee to pre-approve all engagements with our independent auditor. These services include audit services, audit-related services and tax services. Each year, the audit committee must approve the independent auditor’s retention to audit our financial statements, subject to ratification by the stockholders. The audit committee also approves the estimated fees associated with the audit before the audit begins. The audit committee or a member of the audit committee also pre-approves any engagement of an auditing firm other than the independent auditor to perform a statutory audit for any of our subsidiaries.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0079C0"/>
        </w:rPr>
        <w:t>Report of the Audit Committee</w:t>
      </w:r>
    </w:p>
    <w:p>
      <w:pPr>
        <w:spacing w:after="0" w:line="23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4D4D4F"/>
        </w:rPr>
        <w:t xml:space="preserve">The Audit Committee of the Board of Directors consists entirely of members who meet the independence requirements of the listing standards of Nasdaq and the rules and regulations of the SEC, as determined by the board. The Audit Committee is responsible for providing independent, objective oversight of the financial reporting processes and internal controls of ACM Research, Inc., or ACM. The Audit Committee operates under a written charter approved by the board. A copy of the current charter is available at </w:t>
      </w:r>
      <w:r>
        <w:rPr>
          <w:rFonts w:ascii="Arial" w:cs="Arial" w:eastAsia="Arial" w:hAnsi="Arial"/>
          <w:sz w:val="18"/>
          <w:szCs w:val="18"/>
          <w:i w:val="1"/>
          <w:iCs w:val="1"/>
          <w:color w:val="4D4D4F"/>
        </w:rPr>
        <w:t>media.corporate-ir.net/media_files/IROL/25/254659/acm-ac-charter-final.pdf</w:t>
      </w:r>
      <w:r>
        <w:rPr>
          <w:rFonts w:ascii="Arial" w:cs="Arial" w:eastAsia="Arial" w:hAnsi="Arial"/>
          <w:sz w:val="18"/>
          <w:szCs w:val="18"/>
          <w:color w:val="4D4D4F"/>
        </w:rPr>
        <w:t>.</w:t>
      </w:r>
    </w:p>
    <w:p>
      <w:pPr>
        <w:spacing w:after="0" w:line="17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4D4D4F"/>
        </w:rPr>
        <w:t>Management is responsible for ACM’s system of internal control and financial reporting processes, for the preparation of consolidated financial statements in accordance with U.S. generally accepted accounting principles and for the annual report on ACM’s internal control over financial reporting. The independent auditor is responsible for performing an independent audit of ACM’s consolidated financial statements in accordance with the standards of the Public Company Accounting Oversight Board, or PCAOB, and for issuing a report on the financial statements and the effectiveness of ACM’s internal control over financial reporting. The Audit Committee’s responsibility is to monitor and oversee these processes. In performing its functions, the Audit Committee acts only in an oversight capacity and necessarily relied on the work and assurances of management, the internal audit group, and the independent auditor. Audit Committee members do not serve as professional accountants or auditors for ACM, and their functions are not intended to duplicate or certify the activities of ACM’s management or independent auditor.</w:t>
      </w:r>
    </w:p>
    <w:p>
      <w:pPr>
        <w:spacing w:after="0" w:line="16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4D4D4F"/>
        </w:rPr>
        <w:t>Consistent with its monitoring and oversight responsibilities, the Audit Committee met with management and BDO Shu Lun Pan, LLC, or BDO, the independent auditor of ACM, to review and discuss the December 31, 2020 audited consolidated financial statements. Management represented that ACM had prepared the consolidated financial statements in accordance with U.S. generally accepted accounting principles. The Audit Committee discussed with BDO the matters required by the PCAOB in accordance with Auditing Standard No. 1301, “Communications with Audit Committees.”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5" w:name="page56"/>
    <w:bookmarkEnd w:id="55"/>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71"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4D4D4F"/>
        </w:rPr>
        <w:t>The Audit Committee received from BDO the written communication that is required by PCAOB Rule 3526, “Communication with Audit Committees Concerning Independence,” and the Audit Committee discussed with BDO that firm’s independence. The Audit Committee also considered whether BDO’s provision of non-audit services and the audit and non-audit fees paid to BDO were compatible with maintaining that firm’s independence. On the basis of these reviews, the Audit Committee determined that BDO has the requisite independence.</w:t>
      </w:r>
    </w:p>
    <w:p>
      <w:pPr>
        <w:spacing w:after="0" w:line="16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4D4D4F"/>
        </w:rPr>
        <w:t>Management completed the documentation, testing and evaluation of ACM’s system of internal control over financial reporting as of December 31, 2020 as required by Section 404 of the Sarbanes-Oxley Act of 2002. The Audit Committee received periodic updates from management and BDO at Audit Committee meetings throughout the year and provided oversight of the process. Prior to filing ACM’s Annual Report on Form 10-K for the fiscal year ended December 31, 2020, or the Form 10-K, with the SEC, the Audit Committee also reviewed management’s report on the effectiveness of ACM’s internal control over financial reporting contained in the Form 10-K, as well as the Report of Independent Registered Public Accounting Firm provided by BDO and also included in the Form 10-K. BDO’s report included in the Form 10-K related to its audit of ACM’s consolidated financial statements.</w:t>
      </w:r>
    </w:p>
    <w:p>
      <w:pPr>
        <w:spacing w:after="0" w:line="17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4D4D4F"/>
        </w:rPr>
        <w:t>Based upon the Audit Committee’s discussions with management and BDO and the Audit Committee’s review of the information provided by, and the representations of, management and BDO, the Audit Committee recommended to the board that the audited consolidated financial statements as of and for the year ended December 31, 2020 be included in BDO’s Annual Report on Form 10-K for the year ended December 31, 2020. The Audit Committee selected BDO as ACM’s independent auditor for the fiscal year ending December 31, 2021, and recommended that the selection be submitted for ratification by the stockholders of ACM.</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Respectfully submitted by the members of the </w:t>
      </w:r>
      <w:r>
        <w:rPr>
          <w:rFonts w:ascii="Arial" w:cs="Arial" w:eastAsia="Arial" w:hAnsi="Arial"/>
          <w:sz w:val="18"/>
          <w:szCs w:val="18"/>
          <w:color w:val="4D4D4F"/>
        </w:rPr>
        <w:t>Audit Committee: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4D4D4F"/>
        </w:rPr>
        <w:t>Tracy Liu (Chair)</w:t>
      </w:r>
    </w:p>
    <w:p>
      <w:pPr>
        <w:spacing w:after="0" w:line="234" w:lineRule="auto"/>
        <w:rPr>
          <w:sz w:val="20"/>
          <w:szCs w:val="20"/>
          <w:color w:val="auto"/>
        </w:rPr>
      </w:pPr>
      <w:r>
        <w:rPr>
          <w:rFonts w:ascii="Arial" w:cs="Arial" w:eastAsia="Arial" w:hAnsi="Arial"/>
          <w:sz w:val="18"/>
          <w:szCs w:val="18"/>
          <w:color w:val="4D4D4F"/>
        </w:rPr>
        <w:t>Haiping Dun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4D4D4F"/>
        </w:rPr>
        <w:t>Yinan Xiang</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6" w:name="page57"/>
    <w:bookmarkEnd w:id="56"/>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28" w:lineRule="exact"/>
        <w:rPr>
          <w:sz w:val="20"/>
          <w:szCs w:val="20"/>
          <w:color w:val="auto"/>
        </w:rPr>
      </w:pPr>
    </w:p>
    <w:p>
      <w:pPr>
        <w:ind w:left="980"/>
        <w:spacing w:after="0"/>
        <w:rPr>
          <w:sz w:val="20"/>
          <w:szCs w:val="20"/>
          <w:color w:val="auto"/>
        </w:rPr>
      </w:pPr>
      <w:r>
        <w:rPr>
          <w:rFonts w:ascii="Arial" w:cs="Arial" w:eastAsia="Arial" w:hAnsi="Arial"/>
          <w:sz w:val="25"/>
          <w:szCs w:val="25"/>
          <w:b w:val="1"/>
          <w:bCs w:val="1"/>
          <w:color w:val="003E64"/>
        </w:rPr>
        <w:t xml:space="preserve">Proposal </w:t>
      </w:r>
      <w:r>
        <w:rPr>
          <w:sz w:val="1"/>
          <w:szCs w:val="1"/>
          <w:color w:val="auto"/>
        </w:rPr>
        <w:drawing>
          <wp:inline distT="0" distB="0" distL="0" distR="0">
            <wp:extent cx="265430" cy="266065"/>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65430" cy="266065"/>
                    </a:xfrm>
                    <a:prstGeom prst="rect">
                      <a:avLst/>
                    </a:prstGeom>
                    <a:noFill/>
                    <a:ln>
                      <a:noFill/>
                    </a:ln>
                  </pic:spPr>
                </pic:pic>
              </a:graphicData>
            </a:graphic>
          </wp:inline>
        </w:drawing>
      </w:r>
      <w:r>
        <w:rPr>
          <w:rFonts w:ascii="Arial" w:cs="Arial" w:eastAsia="Arial" w:hAnsi="Arial"/>
          <w:sz w:val="25"/>
          <w:szCs w:val="25"/>
          <w:b w:val="1"/>
          <w:bCs w:val="1"/>
          <w:color w:val="003E64"/>
        </w:rPr>
        <w:t xml:space="preserve"> — Advisory Vote on 2020 Executive Compensation</w:t>
      </w:r>
    </w:p>
    <w:p>
      <w:pPr>
        <w:spacing w:after="0" w:line="26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4D4D4F"/>
        </w:rPr>
        <w:t>Our stockholders have the opportunity at the Annual Meeting to vote to approve, on a non-binding, advisory basis, the compensation of our NEOs in 2020 as disclosed in this Proxy Statement.</w:t>
      </w:r>
    </w:p>
    <w:p>
      <w:pPr>
        <w:spacing w:after="0" w:line="15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4D4D4F"/>
        </w:rPr>
        <w:t>Our compensation program is intended to provide appropriate and balanced incentives toward achieving our annual and long-term strategic objectives and to create an alignment of interests between our NEOs and stockholders. This approach is intended to motivate our existing NEOs and to attract new executives with the skills and attributes that we need. Please refer to “Executive Compensation” for an overview of the compensation of our NEOs.</w:t>
      </w:r>
    </w:p>
    <w:p>
      <w:pPr>
        <w:spacing w:after="0" w:line="16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4D4D4F"/>
        </w:rPr>
        <w:t>We are asking for stockholder approval of the compensation of our NEOs as disclosed in this Proxy Statement in accordance with SEC rules. Those disclosures include the information in the compensation tables and narrative disclosures included under “Executive Compensation.” This vote is not intended to address any specific item of compensation, but rather the overall compensation of our NEOs and the policies and practices described in this Proxy Statement.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4D4D4F"/>
        </w:rPr>
        <w:t>Accordingly, stockholders are being asked to vote on the following resolution:</w:t>
      </w:r>
    </w:p>
    <w:p>
      <w:pPr>
        <w:spacing w:after="0" w:line="77" w:lineRule="exact"/>
        <w:rPr>
          <w:sz w:val="20"/>
          <w:szCs w:val="20"/>
          <w:color w:val="auto"/>
        </w:rPr>
      </w:pPr>
    </w:p>
    <w:p>
      <w:pPr>
        <w:jc w:val="both"/>
        <w:ind w:left="1460" w:hanging="1133"/>
        <w:spacing w:after="0" w:line="238" w:lineRule="auto"/>
        <w:tabs>
          <w:tab w:leader="none" w:pos="1440" w:val="left"/>
        </w:tabs>
        <w:rPr>
          <w:sz w:val="20"/>
          <w:szCs w:val="20"/>
          <w:color w:val="auto"/>
        </w:rPr>
      </w:pPr>
      <w:r>
        <w:rPr>
          <w:rFonts w:ascii="Arial" w:cs="Arial" w:eastAsia="Arial" w:hAnsi="Arial"/>
          <w:sz w:val="18"/>
          <w:szCs w:val="18"/>
          <w:color w:val="4D4D4F"/>
        </w:rPr>
        <w:t>R</w:t>
      </w:r>
      <w:r>
        <w:rPr>
          <w:rFonts w:ascii="Arial" w:cs="Arial" w:eastAsia="Arial" w:hAnsi="Arial"/>
          <w:sz w:val="12"/>
          <w:szCs w:val="12"/>
          <w:color w:val="4D4D4F"/>
        </w:rPr>
        <w:t>ESOLVED</w:t>
      </w:r>
      <w:r>
        <w:rPr>
          <w:rFonts w:ascii="Arial" w:cs="Arial" w:eastAsia="Arial" w:hAnsi="Arial"/>
          <w:sz w:val="18"/>
          <w:szCs w:val="18"/>
          <w:color w:val="4D4D4F"/>
        </w:rPr>
        <w:t>:</w:t>
      </w:r>
      <w:r>
        <w:rPr>
          <w:sz w:val="20"/>
          <w:szCs w:val="20"/>
          <w:color w:val="auto"/>
        </w:rPr>
        <w:tab/>
      </w:r>
      <w:r>
        <w:rPr>
          <w:rFonts w:ascii="Arial" w:cs="Arial" w:eastAsia="Arial" w:hAnsi="Arial"/>
          <w:sz w:val="18"/>
          <w:szCs w:val="18"/>
          <w:color w:val="4D4D4F"/>
        </w:rPr>
        <w:t>That the stockholders approve the compensation paid to the “named executive officers” of ACM Research, Inc. with respect to the fiscal year ended December 31, 2020, as disclosed, pursuant to Item 402 of Regulation S-K promulgated by the Securities and Exchange Commission, in the Proxy Statement for the 2021 Annual Meeting of Stockholders, including the compensation tables and narrative discussion set forth under “Executive Compensation” therein.</w:t>
      </w:r>
    </w:p>
    <w:p>
      <w:pPr>
        <w:spacing w:after="0" w:line="17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4D4D4F"/>
        </w:rPr>
        <w:t>This vote is advisory and not binding on us, the board of directors or the compensation committee. The board and the compensation committee value the opinions of our stockholders, however, and to the extent there is any significant vote against the NEO compensation disclosed in this Proxy Statement, we will consider our stockholders concerns and the compensation committee will evaluate whether any actions are necessary or appropriate to address those concerns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079C0"/>
        </w:rPr>
        <w:t>The board of directors recommends a vote</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079C0"/>
        </w:rPr>
        <w:t>FOR</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079C0"/>
        </w:rPr>
        <w:t>the approval of the compensation paid to our named executive oﬃcers with respect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079C0"/>
        </w:rPr>
        <w:t>2020,</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079C0"/>
        </w:rPr>
        <w:t>as disclosed in the compensation tables and narrative discussion set forth under</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079C0"/>
        </w:rPr>
        <w:t>“Executive Compensation” and elsewhere in the Proxy Statement.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7" w:name="page58"/>
    <w:bookmarkEnd w:id="57"/>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3E64"/>
        </w:rPr>
        <w:t>Stockholder Proposals for 2022 Annual Meeting</w:t>
      </w:r>
    </w:p>
    <w:p>
      <w:pPr>
        <w:spacing w:after="0" w:line="309"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4D4D4F"/>
        </w:rPr>
        <w:t>In order for stockholder proposals for the 2022 Annual Meeting of Stockholders to be eligible for inclusion in the proxy statement and form of proxy card for that meeting, we must receive the proposals at our corporate headquarters, 42307 Osgood Road, Suite I, Fremont, California</w:t>
      </w:r>
    </w:p>
    <w:p>
      <w:pPr>
        <w:spacing w:after="0" w:line="1" w:lineRule="exact"/>
        <w:rPr>
          <w:sz w:val="20"/>
          <w:szCs w:val="20"/>
          <w:color w:val="auto"/>
        </w:rPr>
      </w:pPr>
    </w:p>
    <w:p>
      <w:pPr>
        <w:jc w:val="both"/>
        <w:spacing w:after="0"/>
        <w:rPr>
          <w:sz w:val="20"/>
          <w:szCs w:val="20"/>
          <w:color w:val="auto"/>
        </w:rPr>
      </w:pPr>
      <w:r>
        <w:rPr>
          <w:rFonts w:ascii="Arial" w:cs="Arial" w:eastAsia="Arial" w:hAnsi="Arial"/>
          <w:sz w:val="18"/>
          <w:szCs w:val="18"/>
          <w:color w:val="4D4D4F"/>
        </w:rPr>
        <w:t>94539, directed to the attention of our Corporate Secretary, no later than , 202 . In addition, all proposals will need to comply with Rule 14a-8 of the Securities Exchange Act, which sets forth the requirements for the inclusion of stockholder proposals in our sponsored proxy materials.</w:t>
      </w:r>
    </w:p>
    <w:p>
      <w:pPr>
        <w:spacing w:after="0" w:line="36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4D4D4F"/>
        </w:rPr>
        <w:t xml:space="preserve">Our bylaws set forth the procedures you must follow in order to nominate a director for election or present any other proposal at an annual meeting of our stockholders, other than proposals intended to be included in our sponsored proxy materials. In addition to any other applicable requirements, for a stockholder to properly bring business before the 2022 Annual Meeting of Stockholders, the stockholder must give us notice thereof in proper written form, including all required information, at our corporate headquarters, 42307 Osgood Road, Suite I, Fremont, California 94539, directed to the attention of our Corporate Secretary, no later than the close of business on March 4, 2022, nor earlier than the close of business on February 2, 2022. A copy of our bylaws is available at </w:t>
      </w:r>
      <w:r>
        <w:rPr>
          <w:rFonts w:ascii="Arial" w:cs="Arial" w:eastAsia="Arial" w:hAnsi="Arial"/>
          <w:sz w:val="18"/>
          <w:szCs w:val="18"/>
          <w:i w:val="1"/>
          <w:iCs w:val="1"/>
          <w:color w:val="4D4D4F"/>
        </w:rPr>
        <w:t>sec.gov/Archives/edgar/data/1680062/000119312517342650/d407541dex302.htm.</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3E64"/>
        </w:rPr>
        <w:t>Delivery of Documents to Security Holders Sharing an Address</w:t>
      </w:r>
    </w:p>
    <w:p>
      <w:pPr>
        <w:spacing w:after="0" w:line="30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4D4D4F"/>
        </w:rPr>
        <w:t xml:space="preserve">SEC rules permit us to deliver one copy of the proxy materials, or one Notice of Internet Availability, to two or more stockholders who share an address, unless we have received contrary instructions from one or more of the stockholders. This delivery method, which is known as “householding,” can reduce our expenses for printing and mailing. Any stockholder of record at a shared address to which a single copy of the proxy materials or Notice of Internet Availability, was delivered may request a separate copy of the proxy materials, or Notice of Internet Availability, as applicable, by (a) sending a letter to Shareholder Services at ACM Research, Inc., 42307 Osgood Road, Suite I, Fremont, California 94539, to the attention of our Corporate Secretary, or (b) sending us an email at </w:t>
      </w:r>
      <w:r>
        <w:rPr>
          <w:rFonts w:ascii="Arial" w:cs="Arial" w:eastAsia="Arial" w:hAnsi="Arial"/>
          <w:sz w:val="18"/>
          <w:szCs w:val="18"/>
          <w:i w:val="1"/>
          <w:iCs w:val="1"/>
          <w:color w:val="4D4D4F"/>
        </w:rPr>
        <w:t>investor.relations@acmrcsh.com</w:t>
      </w:r>
      <w:r>
        <w:rPr>
          <w:rFonts w:ascii="Arial" w:cs="Arial" w:eastAsia="Arial" w:hAnsi="Arial"/>
          <w:sz w:val="18"/>
          <w:szCs w:val="18"/>
          <w:color w:val="4D4D4F"/>
        </w:rPr>
        <w:t>. Stockholders of record who wish to receive separate copies of these documents in the future may also contact us as stated above. Stockholders of record who share an address and receive two or more copies of the proxy materials or Notice of Internet Availability may contact us as stated above to request delivery of a single copy. A stockholder who holds shares in “street name” and who wishes to obtain copies of proxy materials should follow the instructions on the stockholder’s voting instruction form or should contact the holder of record.</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3E64"/>
        </w:rPr>
        <w:t>Other Matters</w:t>
      </w:r>
    </w:p>
    <w:p>
      <w:pPr>
        <w:spacing w:after="0" w:line="30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4D4D4F"/>
        </w:rPr>
        <w:t>We will pay all expenses of preparing, printing and mailing the Annual Meeting proxy materials, as well as all other expenses of soliciting proxies for the Annual Meeting on behalf of the board of directors.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8" w:name="page59"/>
    <w:bookmarkEnd w:id="58"/>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4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4D4D4F"/>
        </w:rPr>
        <w:t>Appendix A</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3E64"/>
        </w:rPr>
        <w:t>Proposed Amendments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3E64"/>
        </w:rPr>
        <w:t>to Restated Certificate of Incorporation</w:t>
      </w:r>
    </w:p>
    <w:p>
      <w:pPr>
        <w:spacing w:after="0" w:line="215" w:lineRule="exact"/>
        <w:rPr>
          <w:sz w:val="20"/>
          <w:szCs w:val="20"/>
          <w:color w:val="auto"/>
        </w:rPr>
      </w:pPr>
    </w:p>
    <w:p>
      <w:pPr>
        <w:jc w:val="both"/>
        <w:spacing w:after="0" w:line="207" w:lineRule="exact"/>
        <w:rPr>
          <w:sz w:val="20"/>
          <w:szCs w:val="20"/>
          <w:color w:val="auto"/>
        </w:rPr>
      </w:pPr>
      <w:r>
        <w:rPr>
          <w:rFonts w:ascii="Arial" w:cs="Arial" w:eastAsia="Arial" w:hAnsi="Arial"/>
          <w:sz w:val="18"/>
          <w:szCs w:val="18"/>
          <w:color w:val="4D4D4F"/>
        </w:rPr>
        <w:t>Set forth below is the text of the provisions of our Restated Certificate of Incorporation proposed to be amended by Proposal 2 being considered at the Annual Meeting. Changed text is in bold. Proposed additions are indicated by double underlining, and proposed deletions are indicated by strike</w:t>
      </w:r>
      <w:r>
        <w:rPr>
          <w:rFonts w:ascii="MS PGothic" w:cs="MS PGothic" w:eastAsia="MS PGothic" w:hAnsi="MS PGothic"/>
          <w:sz w:val="18"/>
          <w:szCs w:val="18"/>
          <w:color w:val="4D4D4F"/>
        </w:rPr>
        <w:t>‑</w:t>
      </w:r>
      <w:r>
        <w:rPr>
          <w:rFonts w:ascii="Arial" w:cs="Arial" w:eastAsia="Arial" w:hAnsi="Arial"/>
          <w:sz w:val="18"/>
          <w:szCs w:val="18"/>
          <w:color w:val="4D4D4F"/>
        </w:rPr>
        <w:t>throughs. The full text of our Restated Certificate of Incorporation is available at: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4D4D4F"/>
        </w:rPr>
        <w:t>https://www.sec.gov/Archives/edgar/data/1680062/000119312517342650/d407541dex301.htm</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0C0"/>
        </w:rPr>
        <w:t>Proposed Amendment to the First Paragraph of Article III of the Restated Certificate of Incorporation</w:t>
      </w:r>
    </w:p>
    <w:p>
      <w:pPr>
        <w:spacing w:after="0" w:line="198" w:lineRule="exact"/>
        <w:rPr>
          <w:sz w:val="20"/>
          <w:szCs w:val="20"/>
          <w:color w:val="auto"/>
        </w:rPr>
      </w:pPr>
    </w:p>
    <w:p>
      <w:pPr>
        <w:jc w:val="both"/>
        <w:ind w:firstLine="441"/>
        <w:spacing w:after="0" w:line="239" w:lineRule="auto"/>
        <w:rPr>
          <w:sz w:val="20"/>
          <w:szCs w:val="20"/>
          <w:color w:val="auto"/>
        </w:rPr>
      </w:pPr>
      <w:r>
        <w:rPr>
          <w:rFonts w:ascii="Arial" w:cs="Arial" w:eastAsia="Arial" w:hAnsi="Arial"/>
          <w:sz w:val="18"/>
          <w:szCs w:val="18"/>
          <w:color w:val="1F497D"/>
        </w:rPr>
        <w:t xml:space="preserve">The total number of shares of capital stock that the Corporation is authorized to issue is </w:t>
      </w:r>
      <w:r>
        <w:rPr>
          <w:rFonts w:ascii="Arial" w:cs="Arial" w:eastAsia="Arial" w:hAnsi="Arial"/>
          <w:sz w:val="18"/>
          <w:szCs w:val="18"/>
          <w:b w:val="1"/>
          <w:bCs w:val="1"/>
          <w:color w:val="1F497D"/>
          <w:strike w:val="1"/>
        </w:rPr>
        <w:t>62,409,738</w:t>
      </w:r>
      <w:r>
        <w:rPr>
          <w:rFonts w:ascii="Arial" w:cs="Arial" w:eastAsia="Arial" w:hAnsi="Arial"/>
          <w:sz w:val="18"/>
          <w:szCs w:val="18"/>
          <w:b w:val="1"/>
          <w:bCs w:val="1"/>
          <w:u w:val="single" w:color="auto"/>
          <w:color w:val="1F497D"/>
        </w:rPr>
        <w:t>165,307,816</w:t>
      </w:r>
      <w:r>
        <w:rPr>
          <w:rFonts w:ascii="Arial" w:cs="Arial" w:eastAsia="Arial" w:hAnsi="Arial"/>
          <w:sz w:val="18"/>
          <w:szCs w:val="18"/>
          <w:color w:val="1F497D"/>
        </w:rPr>
        <w:t>, each of which shares has a par value of $0.0001. The Corporation is authorized to issue three classes of capital stock, which are designated “</w:t>
      </w:r>
      <w:r>
        <w:rPr>
          <w:rFonts w:ascii="Arial" w:cs="Arial" w:eastAsia="Arial" w:hAnsi="Arial"/>
          <w:sz w:val="18"/>
          <w:szCs w:val="18"/>
          <w:i w:val="1"/>
          <w:iCs w:val="1"/>
          <w:color w:val="1F497D"/>
        </w:rPr>
        <w:t>Class A Common</w:t>
      </w:r>
      <w:r>
        <w:rPr>
          <w:rFonts w:ascii="Arial" w:cs="Arial" w:eastAsia="Arial" w:hAnsi="Arial"/>
          <w:sz w:val="18"/>
          <w:szCs w:val="18"/>
          <w:color w:val="1F497D"/>
        </w:rPr>
        <w:t xml:space="preserve"> </w:t>
      </w:r>
      <w:r>
        <w:rPr>
          <w:rFonts w:ascii="Arial" w:cs="Arial" w:eastAsia="Arial" w:hAnsi="Arial"/>
          <w:sz w:val="18"/>
          <w:szCs w:val="18"/>
          <w:i w:val="1"/>
          <w:iCs w:val="1"/>
          <w:color w:val="1F497D"/>
        </w:rPr>
        <w:t>Stock</w:t>
      </w:r>
      <w:r>
        <w:rPr>
          <w:rFonts w:ascii="Arial" w:cs="Arial" w:eastAsia="Arial" w:hAnsi="Arial"/>
          <w:sz w:val="18"/>
          <w:szCs w:val="18"/>
          <w:color w:val="1F497D"/>
        </w:rPr>
        <w:t>,”</w:t>
      </w:r>
      <w:r>
        <w:rPr>
          <w:rFonts w:ascii="Arial" w:cs="Arial" w:eastAsia="Arial" w:hAnsi="Arial"/>
          <w:sz w:val="18"/>
          <w:szCs w:val="18"/>
          <w:i w:val="1"/>
          <w:iCs w:val="1"/>
          <w:color w:val="1F497D"/>
        </w:rPr>
        <w:t xml:space="preserve"> “Class B Common Stock</w:t>
      </w:r>
      <w:r>
        <w:rPr>
          <w:rFonts w:ascii="Arial" w:cs="Arial" w:eastAsia="Arial" w:hAnsi="Arial"/>
          <w:sz w:val="18"/>
          <w:szCs w:val="18"/>
          <w:color w:val="1F497D"/>
        </w:rPr>
        <w:t>” and “</w:t>
      </w:r>
      <w:r>
        <w:rPr>
          <w:rFonts w:ascii="Arial" w:cs="Arial" w:eastAsia="Arial" w:hAnsi="Arial"/>
          <w:sz w:val="18"/>
          <w:szCs w:val="18"/>
          <w:i w:val="1"/>
          <w:iCs w:val="1"/>
          <w:color w:val="1F497D"/>
        </w:rPr>
        <w:t>Preferred Stock</w:t>
      </w:r>
      <w:r>
        <w:rPr>
          <w:rFonts w:ascii="Arial" w:cs="Arial" w:eastAsia="Arial" w:hAnsi="Arial"/>
          <w:sz w:val="18"/>
          <w:szCs w:val="18"/>
          <w:color w:val="1F497D"/>
        </w:rPr>
        <w:t>.” Of the</w:t>
      </w:r>
      <w:r>
        <w:rPr>
          <w:rFonts w:ascii="Arial" w:cs="Arial" w:eastAsia="Arial" w:hAnsi="Arial"/>
          <w:sz w:val="18"/>
          <w:szCs w:val="18"/>
          <w:i w:val="1"/>
          <w:iCs w:val="1"/>
          <w:color w:val="1F497D"/>
        </w:rPr>
        <w:t xml:space="preserve"> </w:t>
      </w:r>
      <w:r>
        <w:rPr>
          <w:rFonts w:ascii="Arial" w:cs="Arial" w:eastAsia="Arial" w:hAnsi="Arial"/>
          <w:sz w:val="18"/>
          <w:szCs w:val="18"/>
          <w:b w:val="1"/>
          <w:bCs w:val="1"/>
          <w:color w:val="1F497D"/>
          <w:strike w:val="1"/>
        </w:rPr>
        <w:t>62,409,738</w:t>
      </w:r>
      <w:r>
        <w:rPr>
          <w:rFonts w:ascii="Arial" w:cs="Arial" w:eastAsia="Arial" w:hAnsi="Arial"/>
          <w:sz w:val="18"/>
          <w:szCs w:val="18"/>
          <w:b w:val="1"/>
          <w:bCs w:val="1"/>
          <w:u w:val="single" w:color="auto"/>
          <w:color w:val="1F497D"/>
        </w:rPr>
        <w:t>165,307,816</w:t>
      </w:r>
      <w:r>
        <w:rPr>
          <w:rFonts w:ascii="Arial" w:cs="Arial" w:eastAsia="Arial" w:hAnsi="Arial"/>
          <w:sz w:val="18"/>
          <w:szCs w:val="18"/>
          <w:i w:val="1"/>
          <w:iCs w:val="1"/>
          <w:color w:val="1F497D"/>
        </w:rPr>
        <w:t xml:space="preserve"> </w:t>
      </w:r>
      <w:r>
        <w:rPr>
          <w:rFonts w:ascii="Arial" w:cs="Arial" w:eastAsia="Arial" w:hAnsi="Arial"/>
          <w:sz w:val="18"/>
          <w:szCs w:val="18"/>
          <w:color w:val="1F497D"/>
        </w:rPr>
        <w:t>authorized shares of capital stock,</w:t>
      </w:r>
      <w:r>
        <w:rPr>
          <w:rFonts w:ascii="Arial" w:cs="Arial" w:eastAsia="Arial" w:hAnsi="Arial"/>
          <w:sz w:val="18"/>
          <w:szCs w:val="18"/>
          <w:i w:val="1"/>
          <w:iCs w:val="1"/>
          <w:color w:val="1F497D"/>
        </w:rPr>
        <w:t xml:space="preserve"> </w:t>
      </w:r>
      <w:r>
        <w:rPr>
          <w:rFonts w:ascii="Arial" w:cs="Arial" w:eastAsia="Arial" w:hAnsi="Arial"/>
          <w:sz w:val="18"/>
          <w:szCs w:val="18"/>
          <w:b w:val="1"/>
          <w:bCs w:val="1"/>
          <w:color w:val="1F497D"/>
          <w:strike w:val="1"/>
        </w:rPr>
        <w:t>50,000,000</w:t>
      </w:r>
      <w:r>
        <w:rPr>
          <w:rFonts w:ascii="Arial" w:cs="Arial" w:eastAsia="Arial" w:hAnsi="Arial"/>
          <w:sz w:val="18"/>
          <w:szCs w:val="18"/>
          <w:b w:val="1"/>
          <w:bCs w:val="1"/>
          <w:u w:val="single" w:color="auto"/>
          <w:color w:val="1F497D"/>
        </w:rPr>
        <w:t>150,000,000</w:t>
      </w:r>
      <w:r>
        <w:rPr>
          <w:rFonts w:ascii="Arial" w:cs="Arial" w:eastAsia="Arial" w:hAnsi="Arial"/>
          <w:sz w:val="18"/>
          <w:szCs w:val="18"/>
          <w:b w:val="1"/>
          <w:bCs w:val="1"/>
          <w:color w:val="1F497D"/>
        </w:rPr>
        <w:t xml:space="preserve"> </w:t>
      </w:r>
      <w:r>
        <w:rPr>
          <w:rFonts w:ascii="Arial" w:cs="Arial" w:eastAsia="Arial" w:hAnsi="Arial"/>
          <w:sz w:val="18"/>
          <w:szCs w:val="18"/>
          <w:color w:val="1F497D"/>
        </w:rPr>
        <w:t>shares shall be designated as Class A Common Stock (“</w:t>
      </w:r>
      <w:r>
        <w:rPr>
          <w:rFonts w:ascii="Arial" w:cs="Arial" w:eastAsia="Arial" w:hAnsi="Arial"/>
          <w:sz w:val="18"/>
          <w:szCs w:val="18"/>
          <w:i w:val="1"/>
          <w:iCs w:val="1"/>
          <w:color w:val="1F497D"/>
        </w:rPr>
        <w:t>Class A Common Shares</w:t>
      </w:r>
      <w:r>
        <w:rPr>
          <w:rFonts w:ascii="Arial" w:cs="Arial" w:eastAsia="Arial" w:hAnsi="Arial"/>
          <w:sz w:val="18"/>
          <w:szCs w:val="18"/>
          <w:color w:val="1F497D"/>
        </w:rPr>
        <w:t>”),</w:t>
      </w:r>
      <w:r>
        <w:rPr>
          <w:rFonts w:ascii="Arial" w:cs="Arial" w:eastAsia="Arial" w:hAnsi="Arial"/>
          <w:sz w:val="18"/>
          <w:szCs w:val="18"/>
          <w:b w:val="1"/>
          <w:bCs w:val="1"/>
          <w:color w:val="1F497D"/>
        </w:rPr>
        <w:t xml:space="preserve"> </w:t>
      </w:r>
      <w:r>
        <w:rPr>
          <w:rFonts w:ascii="Arial" w:cs="Arial" w:eastAsia="Arial" w:hAnsi="Arial"/>
          <w:sz w:val="18"/>
          <w:szCs w:val="18"/>
          <w:b w:val="1"/>
          <w:bCs w:val="1"/>
          <w:color w:val="1F497D"/>
          <w:strike w:val="1"/>
        </w:rPr>
        <w:t>2,409,738</w:t>
      </w:r>
      <w:r>
        <w:rPr>
          <w:rFonts w:ascii="Arial" w:cs="Arial" w:eastAsia="Arial" w:hAnsi="Arial"/>
          <w:sz w:val="18"/>
          <w:szCs w:val="18"/>
          <w:b w:val="1"/>
          <w:bCs w:val="1"/>
          <w:u w:val="single" w:color="auto"/>
          <w:color w:val="1F497D"/>
        </w:rPr>
        <w:t>5,307,816</w:t>
      </w:r>
      <w:r>
        <w:rPr>
          <w:rFonts w:ascii="Arial" w:cs="Arial" w:eastAsia="Arial" w:hAnsi="Arial"/>
          <w:sz w:val="18"/>
          <w:szCs w:val="18"/>
          <w:b w:val="1"/>
          <w:bCs w:val="1"/>
          <w:color w:val="1F497D"/>
        </w:rPr>
        <w:t xml:space="preserve"> </w:t>
      </w:r>
      <w:r>
        <w:rPr>
          <w:rFonts w:ascii="Arial" w:cs="Arial" w:eastAsia="Arial" w:hAnsi="Arial"/>
          <w:sz w:val="18"/>
          <w:szCs w:val="18"/>
          <w:color w:val="1F497D"/>
        </w:rPr>
        <w:t>shares</w:t>
      </w:r>
      <w:r>
        <w:rPr>
          <w:rFonts w:ascii="Arial" w:cs="Arial" w:eastAsia="Arial" w:hAnsi="Arial"/>
          <w:sz w:val="18"/>
          <w:szCs w:val="18"/>
          <w:b w:val="1"/>
          <w:bCs w:val="1"/>
          <w:color w:val="1F497D"/>
        </w:rPr>
        <w:t xml:space="preserve"> </w:t>
      </w:r>
      <w:r>
        <w:rPr>
          <w:rFonts w:ascii="Arial" w:cs="Arial" w:eastAsia="Arial" w:hAnsi="Arial"/>
          <w:sz w:val="18"/>
          <w:szCs w:val="18"/>
          <w:color w:val="1F497D"/>
        </w:rPr>
        <w:t>shall be designated as Class B Common Stock (“</w:t>
      </w:r>
      <w:r>
        <w:rPr>
          <w:rFonts w:ascii="Arial" w:cs="Arial" w:eastAsia="Arial" w:hAnsi="Arial"/>
          <w:sz w:val="18"/>
          <w:szCs w:val="18"/>
          <w:i w:val="1"/>
          <w:iCs w:val="1"/>
          <w:color w:val="1F497D"/>
        </w:rPr>
        <w:t>Class B Common Shares</w:t>
      </w:r>
      <w:r>
        <w:rPr>
          <w:rFonts w:ascii="Arial" w:cs="Arial" w:eastAsia="Arial" w:hAnsi="Arial"/>
          <w:sz w:val="18"/>
          <w:szCs w:val="18"/>
          <w:color w:val="1F497D"/>
        </w:rPr>
        <w:t>”) and 10,000,000 shares shall be designated as Preferred Stock (“</w:t>
      </w:r>
      <w:r>
        <w:rPr>
          <w:rFonts w:ascii="Arial" w:cs="Arial" w:eastAsia="Arial" w:hAnsi="Arial"/>
          <w:sz w:val="18"/>
          <w:szCs w:val="18"/>
          <w:i w:val="1"/>
          <w:iCs w:val="1"/>
          <w:color w:val="1F497D"/>
        </w:rPr>
        <w:t>Preferred Shares</w:t>
      </w:r>
      <w:r>
        <w:rPr>
          <w:rFonts w:ascii="Arial" w:cs="Arial" w:eastAsia="Arial" w:hAnsi="Arial"/>
          <w:sz w:val="18"/>
          <w:szCs w:val="18"/>
          <w:color w:val="1F497D"/>
        </w:rPr>
        <w:t>”). Class A Common Shares and Class B Common Shares are referred to collectively as “</w:t>
      </w:r>
      <w:r>
        <w:rPr>
          <w:rFonts w:ascii="Arial" w:cs="Arial" w:eastAsia="Arial" w:hAnsi="Arial"/>
          <w:sz w:val="18"/>
          <w:szCs w:val="18"/>
          <w:i w:val="1"/>
          <w:iCs w:val="1"/>
          <w:color w:val="1F497D"/>
        </w:rPr>
        <w:t>Common Shares</w:t>
      </w:r>
      <w:r>
        <w:rPr>
          <w:rFonts w:ascii="Arial" w:cs="Arial" w:eastAsia="Arial" w:hAnsi="Arial"/>
          <w:sz w:val="18"/>
          <w:szCs w:val="18"/>
          <w:color w:val="1F497D"/>
        </w:rPr>
        <w:t xml:space="preserve">”. </w:t>
      </w:r>
      <w:r>
        <w:rPr>
          <w:rFonts w:ascii="Arial" w:cs="Arial" w:eastAsia="Arial" w:hAnsi="Arial"/>
          <w:sz w:val="18"/>
          <w:szCs w:val="18"/>
          <w:b w:val="1"/>
          <w:bCs w:val="1"/>
          <w:u w:val="single" w:color="auto"/>
          <w:color w:val="1F497D"/>
        </w:rPr>
        <w:t>Of the</w:t>
      </w:r>
      <w:r>
        <w:rPr>
          <w:rFonts w:ascii="Arial" w:cs="Arial" w:eastAsia="Arial" w:hAnsi="Arial"/>
          <w:sz w:val="18"/>
          <w:szCs w:val="18"/>
          <w:color w:val="1F497D"/>
        </w:rPr>
        <w:t xml:space="preserve"> </w:t>
      </w:r>
      <w:r>
        <w:rPr>
          <w:rFonts w:ascii="Arial" w:cs="Arial" w:eastAsia="Arial" w:hAnsi="Arial"/>
          <w:sz w:val="18"/>
          <w:szCs w:val="18"/>
          <w:b w:val="1"/>
          <w:bCs w:val="1"/>
          <w:u w:val="single" w:color="auto"/>
          <w:color w:val="1F497D"/>
        </w:rPr>
        <w:t>150,000,000 authorized Class A Common Shares, 60,000,000 shall be reserved for issuance only as dividends on outstanding Class A Common Shares. Of the 5,307,816 authorized Class B Common Shares, 3,538,544 shall be reserved for issuance only as dividends on outstanding Class B Common Shares.</w:t>
      </w:r>
    </w:p>
    <w:p>
      <w:pPr>
        <w:spacing w:after="0" w:line="187"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1F497D"/>
        </w:rPr>
        <w:t>[continued on following page]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9" w:name="page60"/>
    <w:bookmarkEnd w:id="59"/>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0C0"/>
        </w:rPr>
        <w:t>Proposed Amendments to Section A(4)(b)(i) and (c)(ii) of Article III of the Restated Certificate of Incorporation</w:t>
      </w:r>
      <w:r>
        <w:rPr>
          <w:rFonts w:ascii="Arial" w:cs="Arial" w:eastAsia="Arial" w:hAnsi="Arial"/>
          <w:sz w:val="29"/>
          <w:szCs w:val="29"/>
          <w:color w:val="000000"/>
          <w:vertAlign w:val="superscript"/>
        </w:rPr>
        <w:t>*</w:t>
      </w:r>
    </w:p>
    <w:p>
      <w:pPr>
        <w:spacing w:after="0" w:line="94" w:lineRule="exact"/>
        <w:rPr>
          <w:sz w:val="20"/>
          <w:szCs w:val="20"/>
          <w:color w:val="auto"/>
        </w:rPr>
      </w:pPr>
    </w:p>
    <w:p>
      <w:pPr>
        <w:ind w:left="1240" w:hanging="377"/>
        <w:spacing w:after="0"/>
        <w:tabs>
          <w:tab w:leader="none" w:pos="1240" w:val="left"/>
        </w:tabs>
        <w:numPr>
          <w:ilvl w:val="0"/>
          <w:numId w:val="73"/>
        </w:numPr>
        <w:rPr>
          <w:rFonts w:ascii="Arial" w:cs="Arial" w:eastAsia="Arial" w:hAnsi="Arial"/>
          <w:sz w:val="18"/>
          <w:szCs w:val="18"/>
          <w:color w:val="4D4D4F"/>
        </w:rPr>
      </w:pPr>
      <w:r>
        <w:rPr>
          <w:rFonts w:ascii="Arial" w:cs="Arial" w:eastAsia="Arial" w:hAnsi="Arial"/>
          <w:sz w:val="18"/>
          <w:szCs w:val="18"/>
          <w:u w:val="single" w:color="auto"/>
          <w:color w:val="4D4D4F"/>
        </w:rPr>
        <w:t>Automatic Conversion.</w:t>
      </w:r>
    </w:p>
    <w:p>
      <w:pPr>
        <w:spacing w:after="0" w:line="103" w:lineRule="exact"/>
        <w:rPr>
          <w:rFonts w:ascii="Arial" w:cs="Arial" w:eastAsia="Arial" w:hAnsi="Arial"/>
          <w:sz w:val="18"/>
          <w:szCs w:val="18"/>
          <w:color w:val="4D4D4F"/>
        </w:rPr>
      </w:pPr>
    </w:p>
    <w:p>
      <w:pPr>
        <w:jc w:val="both"/>
        <w:ind w:left="880" w:firstLine="424"/>
        <w:spacing w:after="0"/>
        <w:tabs>
          <w:tab w:leader="none" w:pos="1906" w:val="left"/>
        </w:tabs>
        <w:numPr>
          <w:ilvl w:val="1"/>
          <w:numId w:val="73"/>
        </w:numPr>
        <w:rPr>
          <w:rFonts w:ascii="Arial" w:cs="Arial" w:eastAsia="Arial" w:hAnsi="Arial"/>
          <w:sz w:val="18"/>
          <w:szCs w:val="18"/>
          <w:color w:val="4D4D4F"/>
        </w:rPr>
      </w:pPr>
      <w:r>
        <w:rPr>
          <w:rFonts w:ascii="Arial" w:cs="Arial" w:eastAsia="Arial" w:hAnsi="Arial"/>
          <w:sz w:val="18"/>
          <w:szCs w:val="18"/>
          <w:color w:val="4D4D4F"/>
        </w:rPr>
        <w:t>A Class B Common Share shall be immediately and automatically converted into one fully paid and nonassessable Class A Common Share, upon any of the following (each a “</w:t>
      </w:r>
      <w:r>
        <w:rPr>
          <w:rFonts w:ascii="Arial" w:cs="Arial" w:eastAsia="Arial" w:hAnsi="Arial"/>
          <w:sz w:val="18"/>
          <w:szCs w:val="18"/>
          <w:i w:val="1"/>
          <w:iCs w:val="1"/>
          <w:color w:val="4D4D4F"/>
        </w:rPr>
        <w:t>Common Conversion Event</w:t>
      </w:r>
      <w:r>
        <w:rPr>
          <w:rFonts w:ascii="Arial" w:cs="Arial" w:eastAsia="Arial" w:hAnsi="Arial"/>
          <w:sz w:val="18"/>
          <w:szCs w:val="18"/>
          <w:color w:val="4D4D4F"/>
        </w:rPr>
        <w:t>” with respect to such Class B Common Share):</w:t>
      </w:r>
    </w:p>
    <w:p>
      <w:pPr>
        <w:spacing w:after="0" w:line="94" w:lineRule="exact"/>
        <w:rPr>
          <w:rFonts w:ascii="Arial" w:cs="Arial" w:eastAsia="Arial" w:hAnsi="Arial"/>
          <w:sz w:val="18"/>
          <w:szCs w:val="18"/>
          <w:color w:val="4D4D4F"/>
        </w:rPr>
      </w:pPr>
    </w:p>
    <w:p>
      <w:pPr>
        <w:ind w:left="2140" w:hanging="418"/>
        <w:spacing w:after="0"/>
        <w:tabs>
          <w:tab w:leader="none" w:pos="2140" w:val="left"/>
        </w:tabs>
        <w:numPr>
          <w:ilvl w:val="2"/>
          <w:numId w:val="73"/>
        </w:numPr>
        <w:rPr>
          <w:rFonts w:ascii="Arial" w:cs="Arial" w:eastAsia="Arial" w:hAnsi="Arial"/>
          <w:sz w:val="18"/>
          <w:szCs w:val="18"/>
          <w:color w:val="4D4D4F"/>
        </w:rPr>
      </w:pPr>
      <w:r>
        <w:rPr>
          <w:rFonts w:ascii="Arial" w:cs="Arial" w:eastAsia="Arial" w:hAnsi="Arial"/>
          <w:sz w:val="18"/>
          <w:szCs w:val="18"/>
          <w:color w:val="4D4D4F"/>
        </w:rPr>
        <w:t>the occurrence of a Transfer, other than a Permitted Transfer, of such Class B Common Share; or</w:t>
      </w:r>
    </w:p>
    <w:p>
      <w:pPr>
        <w:spacing w:after="0" w:line="103" w:lineRule="exact"/>
        <w:rPr>
          <w:rFonts w:ascii="Arial" w:cs="Arial" w:eastAsia="Arial" w:hAnsi="Arial"/>
          <w:sz w:val="18"/>
          <w:szCs w:val="18"/>
          <w:color w:val="4D4D4F"/>
        </w:rPr>
      </w:pPr>
    </w:p>
    <w:p>
      <w:pPr>
        <w:jc w:val="both"/>
        <w:ind w:left="2140" w:hanging="418"/>
        <w:spacing w:after="0"/>
        <w:tabs>
          <w:tab w:leader="none" w:pos="2140" w:val="left"/>
        </w:tabs>
        <w:numPr>
          <w:ilvl w:val="2"/>
          <w:numId w:val="73"/>
        </w:numPr>
        <w:rPr>
          <w:rFonts w:ascii="Arial" w:cs="Arial" w:eastAsia="Arial" w:hAnsi="Arial"/>
          <w:sz w:val="18"/>
          <w:szCs w:val="18"/>
          <w:color w:val="4D4D4F"/>
        </w:rPr>
      </w:pPr>
      <w:r>
        <w:rPr>
          <w:rFonts w:ascii="Arial" w:cs="Arial" w:eastAsia="Arial" w:hAnsi="Arial"/>
          <w:sz w:val="18"/>
          <w:szCs w:val="18"/>
          <w:color w:val="4D4D4F"/>
        </w:rPr>
        <w:t>the receipt by the Corporation of the affirmative vote at a duly noticed stockholders meeting of the holders of a majority of the Class B Common Shares then outstanding in favor of the conversion of all of the Class B Common Shares</w:t>
      </w:r>
      <w:r>
        <w:rPr>
          <w:rFonts w:ascii="Arial" w:cs="Arial" w:eastAsia="Arial" w:hAnsi="Arial"/>
          <w:sz w:val="18"/>
          <w:szCs w:val="18"/>
          <w:b w:val="1"/>
          <w:bCs w:val="1"/>
          <w:u w:val="single" w:color="auto"/>
          <w:color w:val="1F497D"/>
        </w:rPr>
        <w:t>.</w:t>
      </w:r>
      <w:r>
        <w:rPr>
          <w:rFonts w:ascii="Arial" w:cs="Arial" w:eastAsia="Arial" w:hAnsi="Arial"/>
          <w:sz w:val="18"/>
          <w:szCs w:val="18"/>
          <w:b w:val="1"/>
          <w:bCs w:val="1"/>
          <w:color w:val="1F497D"/>
          <w:strike w:val="1"/>
        </w:rPr>
        <w:t>; or</w:t>
      </w:r>
    </w:p>
    <w:p>
      <w:pPr>
        <w:spacing w:after="0" w:line="72" w:lineRule="exact"/>
        <w:rPr>
          <w:rFonts w:ascii="Arial" w:cs="Arial" w:eastAsia="Arial" w:hAnsi="Arial"/>
          <w:sz w:val="18"/>
          <w:szCs w:val="18"/>
          <w:color w:val="4D4D4F"/>
        </w:rPr>
      </w:pPr>
    </w:p>
    <w:p>
      <w:pPr>
        <w:jc w:val="both"/>
        <w:ind w:left="2140" w:hanging="418"/>
        <w:spacing w:after="0"/>
        <w:tabs>
          <w:tab w:leader="none" w:pos="2140" w:val="left"/>
        </w:tabs>
        <w:numPr>
          <w:ilvl w:val="2"/>
          <w:numId w:val="73"/>
        </w:numPr>
        <w:rPr>
          <w:rFonts w:ascii="Arial" w:cs="Arial" w:eastAsia="Arial" w:hAnsi="Arial"/>
          <w:sz w:val="18"/>
          <w:szCs w:val="18"/>
          <w:b w:val="1"/>
          <w:bCs w:val="1"/>
          <w:color w:val="1F497D"/>
          <w:strike w:val="1"/>
        </w:rPr>
      </w:pPr>
      <w:r>
        <w:rPr>
          <w:rFonts w:ascii="Arial" w:cs="Arial" w:eastAsia="Arial" w:hAnsi="Arial"/>
          <w:sz w:val="18"/>
          <w:szCs w:val="18"/>
          <w:b w:val="1"/>
          <w:bCs w:val="1"/>
          <w:color w:val="1F497D"/>
          <w:strike w:val="1"/>
        </w:rPr>
        <w:t>at 11:59 p.m. (Eastern standard time) on the first December 31 that occurs more than five years after the date of filing of this Restated Certificate of Incorporation with the Secretary of State of the State of Delaware (the “Filing Date”) if the October Market Cap with respect to the month of October immediately preceding such December 31 exceeds $1,000,000,000.00, provided that this clause (C) shall be of no further effect, and no Common Conversion Event shall ever occur pursuant to this clause (C), as of any December 31 occurring less than five years after the Filing Date if the October Market Cap for the month of October immediately preceding such December 31 exceeds $1,000,000,000.00.</w:t>
      </w:r>
    </w:p>
    <w:p>
      <w:pPr>
        <w:spacing w:after="0" w:line="99" w:lineRule="exact"/>
        <w:rPr>
          <w:sz w:val="20"/>
          <w:szCs w:val="20"/>
          <w:color w:val="auto"/>
        </w:rPr>
      </w:pPr>
    </w:p>
    <w:p>
      <w:pPr>
        <w:jc w:val="both"/>
        <w:ind w:left="880"/>
        <w:spacing w:after="0" w:line="238" w:lineRule="auto"/>
        <w:rPr>
          <w:sz w:val="20"/>
          <w:szCs w:val="20"/>
          <w:color w:val="auto"/>
        </w:rPr>
      </w:pPr>
      <w:r>
        <w:rPr>
          <w:rFonts w:ascii="Arial" w:cs="Arial" w:eastAsia="Arial" w:hAnsi="Arial"/>
          <w:sz w:val="18"/>
          <w:szCs w:val="18"/>
          <w:color w:val="4D4D4F"/>
        </w:rPr>
        <w:t xml:space="preserve">For purposes of clarity, a Common Conversion Event pursuant to the preceding clause (A) shall apply only with respect to the share or shares being Transferred (other than in a Permitted Transfer) and not with respect to any other outstanding Class B Common Shares and a Common Conversion Event pursuant to the preceding clause (B) </w:t>
      </w:r>
      <w:r>
        <w:rPr>
          <w:rFonts w:ascii="Arial" w:cs="Arial" w:eastAsia="Arial" w:hAnsi="Arial"/>
          <w:sz w:val="18"/>
          <w:szCs w:val="18"/>
          <w:b w:val="1"/>
          <w:bCs w:val="1"/>
          <w:color w:val="1F497D"/>
          <w:strike w:val="1"/>
        </w:rPr>
        <w:t>or (C)</w:t>
      </w:r>
      <w:r>
        <w:rPr>
          <w:rFonts w:ascii="Arial" w:cs="Arial" w:eastAsia="Arial" w:hAnsi="Arial"/>
          <w:sz w:val="18"/>
          <w:szCs w:val="18"/>
          <w:color w:val="4D4D4F"/>
        </w:rPr>
        <w:t xml:space="preserve"> shall apply to all outstanding Class B Common Shares.</w:t>
      </w:r>
    </w:p>
    <w:p>
      <w:pPr>
        <w:spacing w:after="0" w:line="97" w:lineRule="exact"/>
        <w:rPr>
          <w:sz w:val="20"/>
          <w:szCs w:val="20"/>
          <w:color w:val="auto"/>
        </w:rPr>
      </w:pPr>
    </w:p>
    <w:p>
      <w:pPr>
        <w:jc w:val="center"/>
        <w:spacing w:after="0"/>
        <w:tabs>
          <w:tab w:leader="none" w:pos="260" w:val="left"/>
          <w:tab w:leader="none" w:pos="300" w:val="left"/>
        </w:tabs>
        <w:rPr>
          <w:sz w:val="20"/>
          <w:szCs w:val="20"/>
          <w:color w:val="auto"/>
        </w:rPr>
      </w:pPr>
      <w:r>
        <w:rPr>
          <w:rFonts w:ascii="Arial" w:cs="Arial" w:eastAsia="Arial" w:hAnsi="Arial"/>
          <w:sz w:val="18"/>
          <w:szCs w:val="18"/>
          <w:color w:val="4D4D4F"/>
        </w:rPr>
        <w:t>*</w:t>
        <w:tab/>
        <w:t>*</w:t>
      </w:r>
      <w:r>
        <w:rPr>
          <w:sz w:val="20"/>
          <w:szCs w:val="20"/>
          <w:color w:val="auto"/>
        </w:rPr>
        <w:tab/>
      </w:r>
      <w:r>
        <w:rPr>
          <w:rFonts w:ascii="Arial" w:cs="Arial" w:eastAsia="Arial" w:hAnsi="Arial"/>
          <w:sz w:val="15"/>
          <w:szCs w:val="15"/>
          <w:color w:val="4D4D4F"/>
        </w:rPr>
        <w:t>*</w:t>
      </w:r>
    </w:p>
    <w:p>
      <w:pPr>
        <w:spacing w:after="0" w:line="104" w:lineRule="exact"/>
        <w:rPr>
          <w:sz w:val="20"/>
          <w:szCs w:val="20"/>
          <w:color w:val="auto"/>
        </w:rPr>
      </w:pPr>
    </w:p>
    <w:p>
      <w:pPr>
        <w:ind w:left="1240" w:hanging="377"/>
        <w:spacing w:after="0"/>
        <w:tabs>
          <w:tab w:leader="none" w:pos="1240" w:val="left"/>
        </w:tabs>
        <w:numPr>
          <w:ilvl w:val="0"/>
          <w:numId w:val="74"/>
        </w:numPr>
        <w:rPr>
          <w:rFonts w:ascii="Arial" w:cs="Arial" w:eastAsia="Arial" w:hAnsi="Arial"/>
          <w:sz w:val="18"/>
          <w:szCs w:val="18"/>
          <w:color w:val="4D4D4F"/>
        </w:rPr>
      </w:pPr>
      <w:r>
        <w:rPr>
          <w:rFonts w:ascii="Arial" w:cs="Arial" w:eastAsia="Arial" w:hAnsi="Arial"/>
          <w:sz w:val="18"/>
          <w:szCs w:val="18"/>
          <w:u w:val="single" w:color="auto"/>
          <w:color w:val="4D4D4F"/>
        </w:rPr>
        <w:t>Special Definitions.</w:t>
      </w:r>
    </w:p>
    <w:p>
      <w:pPr>
        <w:spacing w:after="0" w:line="103" w:lineRule="exact"/>
        <w:rPr>
          <w:rFonts w:ascii="Arial" w:cs="Arial" w:eastAsia="Arial" w:hAnsi="Arial"/>
          <w:sz w:val="18"/>
          <w:szCs w:val="18"/>
          <w:color w:val="4D4D4F"/>
        </w:rPr>
      </w:pPr>
    </w:p>
    <w:p>
      <w:pPr>
        <w:ind w:left="1300"/>
        <w:spacing w:after="0"/>
        <w:rPr>
          <w:rFonts w:ascii="Arial" w:cs="Arial" w:eastAsia="Arial" w:hAnsi="Arial"/>
          <w:sz w:val="18"/>
          <w:szCs w:val="18"/>
          <w:color w:val="4D4D4F"/>
        </w:rPr>
      </w:pPr>
      <w:r>
        <w:rPr>
          <w:rFonts w:ascii="Arial" w:cs="Arial" w:eastAsia="Arial" w:hAnsi="Arial"/>
          <w:sz w:val="18"/>
          <w:szCs w:val="18"/>
          <w:color w:val="1F497D"/>
        </w:rPr>
        <w:t>*   *   *</w:t>
      </w:r>
    </w:p>
    <w:p>
      <w:pPr>
        <w:spacing w:after="0" w:line="82" w:lineRule="exact"/>
        <w:rPr>
          <w:sz w:val="20"/>
          <w:szCs w:val="20"/>
          <w:color w:val="auto"/>
        </w:rPr>
      </w:pPr>
    </w:p>
    <w:p>
      <w:pPr>
        <w:jc w:val="both"/>
        <w:ind w:left="880" w:firstLine="424"/>
        <w:spacing w:after="0" w:line="253" w:lineRule="auto"/>
        <w:tabs>
          <w:tab w:leader="none" w:pos="1825" w:val="left"/>
        </w:tabs>
        <w:numPr>
          <w:ilvl w:val="1"/>
          <w:numId w:val="75"/>
        </w:numPr>
        <w:rPr>
          <w:rFonts w:ascii="Arial" w:cs="Arial" w:eastAsia="Arial" w:hAnsi="Arial"/>
          <w:sz w:val="18"/>
          <w:szCs w:val="18"/>
          <w:color w:val="1F497D"/>
        </w:rPr>
      </w:pPr>
      <w:r>
        <w:rPr>
          <w:rFonts w:ascii="Arial" w:cs="Arial" w:eastAsia="Arial" w:hAnsi="Arial"/>
          <w:sz w:val="18"/>
          <w:szCs w:val="18"/>
          <w:b w:val="1"/>
          <w:bCs w:val="1"/>
          <w:color w:val="1F497D"/>
        </w:rPr>
        <w:t>[</w:t>
      </w:r>
      <w:r>
        <w:rPr>
          <w:rFonts w:ascii="Arial" w:cs="Arial" w:eastAsia="Arial" w:hAnsi="Arial"/>
          <w:sz w:val="18"/>
          <w:szCs w:val="18"/>
          <w:b w:val="1"/>
          <w:bCs w:val="1"/>
          <w:u w:val="single" w:color="auto"/>
          <w:color w:val="1F497D"/>
        </w:rPr>
        <w:t>THIS SECTION INTENTIONALLY LEFT BLANK]</w:t>
      </w:r>
      <w:r>
        <w:rPr>
          <w:rFonts w:ascii="Arial" w:cs="Arial" w:eastAsia="Arial" w:hAnsi="Arial"/>
          <w:sz w:val="18"/>
          <w:szCs w:val="18"/>
          <w:b w:val="1"/>
          <w:bCs w:val="1"/>
          <w:color w:val="1F497D"/>
          <w:strike w:val="1"/>
        </w:rPr>
        <w:t>“October Market Cap” shall mean, with respect to any October</w:t>
      </w:r>
      <w:r>
        <w:rPr>
          <w:rFonts w:ascii="Arial" w:cs="Arial" w:eastAsia="Arial" w:hAnsi="Arial"/>
          <w:sz w:val="18"/>
          <w:szCs w:val="18"/>
          <w:b w:val="1"/>
          <w:bCs w:val="1"/>
          <w:color w:val="1F497D"/>
        </w:rPr>
        <w:t xml:space="preserve"> </w:t>
      </w:r>
      <w:r>
        <w:rPr>
          <w:rFonts w:ascii="Arial" w:cs="Arial" w:eastAsia="Arial" w:hAnsi="Arial"/>
          <w:sz w:val="18"/>
          <w:szCs w:val="18"/>
          <w:b w:val="1"/>
          <w:bCs w:val="1"/>
          <w:color w:val="1F497D"/>
          <w:strike w:val="1"/>
        </w:rPr>
        <w:t>throughout which Class A Common Stock is traded on a securities exchange registered with the Securities and Exchange Commission, the product of:</w:t>
      </w:r>
    </w:p>
    <w:p>
      <w:pPr>
        <w:spacing w:after="0" w:line="60" w:lineRule="exact"/>
        <w:rPr>
          <w:rFonts w:ascii="Arial" w:cs="Arial" w:eastAsia="Arial" w:hAnsi="Arial"/>
          <w:sz w:val="18"/>
          <w:szCs w:val="18"/>
          <w:color w:val="1F497D"/>
        </w:rPr>
      </w:pPr>
    </w:p>
    <w:p>
      <w:pPr>
        <w:jc w:val="both"/>
        <w:ind w:left="2140" w:hanging="418"/>
        <w:spacing w:after="0"/>
        <w:tabs>
          <w:tab w:leader="none" w:pos="2140" w:val="left"/>
        </w:tabs>
        <w:numPr>
          <w:ilvl w:val="2"/>
          <w:numId w:val="75"/>
        </w:numPr>
        <w:rPr>
          <w:rFonts w:ascii="Arial" w:cs="Arial" w:eastAsia="Arial" w:hAnsi="Arial"/>
          <w:sz w:val="18"/>
          <w:szCs w:val="18"/>
          <w:b w:val="1"/>
          <w:bCs w:val="1"/>
          <w:color w:val="1F497D"/>
          <w:strike w:val="1"/>
        </w:rPr>
      </w:pPr>
      <w:r>
        <w:rPr>
          <w:rFonts w:ascii="Arial" w:cs="Arial" w:eastAsia="Arial" w:hAnsi="Arial"/>
          <w:sz w:val="18"/>
          <w:szCs w:val="18"/>
          <w:b w:val="1"/>
          <w:bCs w:val="1"/>
          <w:color w:val="1F497D"/>
          <w:strike w:val="1"/>
        </w:rPr>
        <w:t>the average of the VWAPs for each of the days in such month of October on which Class A Common Stock is traded on a securities exchange registered with the Securities and Exchange Commission, where “VWAP” means, for any such trading day, the daily volume weighted average price for the regular trading day session (the total dollar amount traded during regular trading hours on such day divided by trading volume during such trading hours) of the Class A Common Stock on The NASDAQ Global Market (or such other exchange or market as is then the principal trading exchange or market for the Class A Common Stock). as reported by Bloomberg L.P. (or, if not reported on Bloomberg, L.P., on such reporting service as shall be approved by the Board), multiplied by</w:t>
      </w:r>
    </w:p>
    <w:p>
      <w:pPr>
        <w:spacing w:after="0" w:line="153" w:lineRule="exact"/>
        <w:rPr>
          <w:rFonts w:ascii="Arial" w:cs="Arial" w:eastAsia="Arial" w:hAnsi="Arial"/>
          <w:sz w:val="18"/>
          <w:szCs w:val="18"/>
          <w:b w:val="1"/>
          <w:bCs w:val="1"/>
          <w:color w:val="1F497D"/>
          <w:strike w:val="1"/>
        </w:rPr>
      </w:pPr>
    </w:p>
    <w:p>
      <w:pPr>
        <w:ind w:left="2140" w:hanging="418"/>
        <w:spacing w:after="0" w:line="271" w:lineRule="auto"/>
        <w:tabs>
          <w:tab w:leader="none" w:pos="2140" w:val="left"/>
        </w:tabs>
        <w:numPr>
          <w:ilvl w:val="2"/>
          <w:numId w:val="75"/>
        </w:numPr>
        <w:rPr>
          <w:rFonts w:ascii="Arial" w:cs="Arial" w:eastAsia="Arial" w:hAnsi="Arial"/>
          <w:sz w:val="18"/>
          <w:szCs w:val="18"/>
          <w:b w:val="1"/>
          <w:bCs w:val="1"/>
          <w:color w:val="1F497D"/>
          <w:strike w:val="1"/>
        </w:rPr>
      </w:pPr>
      <w:r>
        <w:rPr>
          <w:rFonts w:ascii="Arial" w:cs="Arial" w:eastAsia="Arial" w:hAnsi="Arial"/>
          <w:sz w:val="18"/>
          <w:szCs w:val="18"/>
          <w:b w:val="1"/>
          <w:bCs w:val="1"/>
          <w:color w:val="1F497D"/>
          <w:strike w:val="1"/>
        </w:rPr>
        <w:t>the number of Common Shares outstanding as of 11:59 p.m. (Eastern daylight saving time) on the last trading day of such month of October.</w:t>
      </w:r>
    </w:p>
    <w:p>
      <w:pPr>
        <w:spacing w:after="0" w:line="200" w:lineRule="exact"/>
        <w:rPr>
          <w:rFonts w:ascii="Arial" w:cs="Arial" w:eastAsia="Arial" w:hAnsi="Arial"/>
          <w:sz w:val="18"/>
          <w:szCs w:val="18"/>
          <w:b w:val="1"/>
          <w:bCs w:val="1"/>
          <w:color w:val="1F497D"/>
          <w:strike w:val="1"/>
        </w:rPr>
      </w:pPr>
    </w:p>
    <w:p>
      <w:pPr>
        <w:spacing w:after="0" w:line="200" w:lineRule="exact"/>
        <w:rPr>
          <w:rFonts w:ascii="Arial" w:cs="Arial" w:eastAsia="Arial" w:hAnsi="Arial"/>
          <w:sz w:val="18"/>
          <w:szCs w:val="18"/>
          <w:b w:val="1"/>
          <w:bCs w:val="1"/>
          <w:color w:val="1F497D"/>
          <w:strike w:val="1"/>
        </w:rPr>
      </w:pPr>
    </w:p>
    <w:p>
      <w:pPr>
        <w:spacing w:after="0" w:line="221" w:lineRule="exact"/>
        <w:rPr>
          <w:rFonts w:ascii="Arial" w:cs="Arial" w:eastAsia="Arial" w:hAnsi="Arial"/>
          <w:sz w:val="18"/>
          <w:szCs w:val="18"/>
          <w:b w:val="1"/>
          <w:bCs w:val="1"/>
          <w:color w:val="1F497D"/>
          <w:strike w:val="1"/>
        </w:rPr>
      </w:pPr>
    </w:p>
    <w:p>
      <w:pPr>
        <w:ind w:left="500" w:hanging="486"/>
        <w:spacing w:after="0" w:line="258" w:lineRule="auto"/>
        <w:rPr>
          <w:rFonts w:ascii="Arial" w:cs="Arial" w:eastAsia="Arial" w:hAnsi="Arial"/>
          <w:sz w:val="18"/>
          <w:szCs w:val="18"/>
          <w:b w:val="1"/>
          <w:bCs w:val="1"/>
          <w:color w:val="1F497D"/>
          <w:strike w:val="1"/>
        </w:rPr>
      </w:pPr>
      <w:r>
        <w:rPr>
          <w:rFonts w:ascii="Arial" w:cs="Arial" w:eastAsia="Arial" w:hAnsi="Arial"/>
          <w:sz w:val="26"/>
          <w:szCs w:val="26"/>
          <w:color w:val="000000"/>
          <w:vertAlign w:val="superscript"/>
        </w:rPr>
        <w:t>*</w:t>
      </w:r>
      <w:r>
        <w:rPr>
          <w:rFonts w:ascii="Arial" w:cs="Arial" w:eastAsia="Arial" w:hAnsi="Arial"/>
          <w:sz w:val="14"/>
          <w:szCs w:val="14"/>
          <w:color w:val="4D4D4F"/>
        </w:rPr>
        <w:t>These amendments are non-substantive, in that they would delete text that, under the existing terms of the Restated Certificate of Incorporation, is no longer in effect. These amendments are being proposed in order to simplify and clarify the continuing terms of the Restated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-287020</wp:posOffset>
            </wp:positionV>
            <wp:extent cx="16459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645920" cy="8890"/>
                    </a:xfrm>
                    <a:prstGeom prst="rect">
                      <a:avLst/>
                    </a:prstGeom>
                    <a:noFill/>
                  </pic:spPr>
                </pic:pic>
              </a:graphicData>
            </a:graphic>
          </wp:anchor>
        </w:drawing>
        <w:drawing>
          <wp:anchor simplePos="0" relativeHeight="251657728" behindDoc="1" locked="0" layoutInCell="0" allowOverlap="1">
            <wp:simplePos x="0" y="0"/>
            <wp:positionH relativeFrom="column">
              <wp:posOffset>1196340</wp:posOffset>
            </wp:positionH>
            <wp:positionV relativeFrom="paragraph">
              <wp:posOffset>-2370455</wp:posOffset>
            </wp:positionV>
            <wp:extent cx="252031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520315" cy="8890"/>
                    </a:xfrm>
                    <a:prstGeom prst="rect">
                      <a:avLst/>
                    </a:prstGeom>
                    <a:noFill/>
                  </pic:spPr>
                </pic:pic>
              </a:graphicData>
            </a:graphic>
          </wp:anchor>
        </w:drawing>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0" w:name="page61"/>
    <w:bookmarkEnd w:id="60"/>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4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4D4D4F"/>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977265" cy="6083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977265" cy="60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3E64"/>
        </w:rPr>
        <w:t>ACM RESEARCH,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3E64"/>
        </w:rPr>
        <w:t>2021 Annual Meeting of Stockholders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3E64"/>
        </w:rPr>
        <w:t>Rules of Conduct and Procedures</w:t>
      </w:r>
    </w:p>
    <w:p>
      <w:pPr>
        <w:spacing w:after="0" w:line="183" w:lineRule="exact"/>
        <w:rPr>
          <w:sz w:val="20"/>
          <w:szCs w:val="20"/>
          <w:color w:val="auto"/>
        </w:rPr>
      </w:pPr>
    </w:p>
    <w:p>
      <w:pPr>
        <w:spacing w:after="0" w:line="246" w:lineRule="auto"/>
        <w:rPr>
          <w:sz w:val="20"/>
          <w:szCs w:val="20"/>
          <w:color w:val="auto"/>
        </w:rPr>
      </w:pPr>
      <w:r>
        <w:rPr>
          <w:rFonts w:ascii="Arial" w:cs="Arial" w:eastAsia="Arial" w:hAnsi="Arial"/>
          <w:sz w:val="18"/>
          <w:szCs w:val="18"/>
          <w:color w:val="4D4D4F"/>
        </w:rPr>
        <w:t>Welcome to the 2021 Annual Meeting of Stockholders (the “Annual Meeting”) of ACM Research, Inc. (the “Company”). In the interest of providing a fair and informative Annual Meeting, participants are required to honor the following Rules of Conduct and Procedures:</w:t>
      </w:r>
    </w:p>
    <w:p>
      <w:pPr>
        <w:spacing w:after="0" w:line="156" w:lineRule="exact"/>
        <w:rPr>
          <w:sz w:val="20"/>
          <w:szCs w:val="20"/>
          <w:color w:val="auto"/>
        </w:rPr>
      </w:pPr>
    </w:p>
    <w:p>
      <w:pPr>
        <w:ind w:left="340" w:hanging="332"/>
        <w:spacing w:after="0" w:line="246" w:lineRule="auto"/>
        <w:tabs>
          <w:tab w:leader="none" w:pos="340" w:val="left"/>
        </w:tabs>
        <w:numPr>
          <w:ilvl w:val="0"/>
          <w:numId w:val="76"/>
        </w:numPr>
        <w:rPr>
          <w:rFonts w:ascii="Arial" w:cs="Arial" w:eastAsia="Arial" w:hAnsi="Arial"/>
          <w:sz w:val="18"/>
          <w:szCs w:val="18"/>
          <w:color w:val="4D4D4F"/>
        </w:rPr>
      </w:pPr>
      <w:r>
        <w:rPr>
          <w:rFonts w:ascii="Arial" w:cs="Arial" w:eastAsia="Arial" w:hAnsi="Arial"/>
          <w:sz w:val="18"/>
          <w:szCs w:val="18"/>
          <w:color w:val="4D4D4F"/>
        </w:rPr>
        <w:t>The Company’s bylaws describe requirements for meetings of our stockholders, and the Annual Meeting will be conducted consistent with those requirements.</w:t>
      </w:r>
    </w:p>
    <w:p>
      <w:pPr>
        <w:spacing w:after="0" w:line="169" w:lineRule="exact"/>
        <w:rPr>
          <w:rFonts w:ascii="Arial" w:cs="Arial" w:eastAsia="Arial" w:hAnsi="Arial"/>
          <w:sz w:val="18"/>
          <w:szCs w:val="18"/>
          <w:color w:val="4D4D4F"/>
        </w:rPr>
      </w:pPr>
    </w:p>
    <w:p>
      <w:pPr>
        <w:jc w:val="both"/>
        <w:ind w:left="340" w:hanging="332"/>
        <w:spacing w:after="0" w:line="237" w:lineRule="auto"/>
        <w:tabs>
          <w:tab w:leader="none" w:pos="340" w:val="left"/>
        </w:tabs>
        <w:numPr>
          <w:ilvl w:val="0"/>
          <w:numId w:val="76"/>
        </w:numPr>
        <w:rPr>
          <w:rFonts w:ascii="Arial" w:cs="Arial" w:eastAsia="Arial" w:hAnsi="Arial"/>
          <w:sz w:val="18"/>
          <w:szCs w:val="18"/>
          <w:color w:val="4D4D4F"/>
        </w:rPr>
      </w:pPr>
      <w:r>
        <w:rPr>
          <w:rFonts w:ascii="Arial" w:cs="Arial" w:eastAsia="Arial" w:hAnsi="Arial"/>
          <w:sz w:val="18"/>
          <w:szCs w:val="18"/>
          <w:color w:val="4D4D4F"/>
        </w:rPr>
        <w:t>The Chair of the Company’s Board of Directors will serve as the chair of the Annual Meeting (the “Chair”) and will have the authority and discretion necessary to preside over the Annual Meeting, including following adjournment of the formal business of the Annual Meeting. In the event of disorder, technical malfunction or any other issue that disrupts the Annual Meeting, the Chair may adjourn, recess or expedite the Annual Meeting or take such other action that he determines is appropriate in light of the circumstances. In the event of any question of conduct or procedures that is not addressed expressly and clearly by these Rules of Conduct and Procedure, the Chair is authorized to address the question in such manner as he determines, in his reasonable judgment, to be in the best interest of conducting a fair and informative Annual Meeting consistent with the purposes of the Annual Meeting.</w:t>
      </w:r>
    </w:p>
    <w:p>
      <w:pPr>
        <w:spacing w:after="0" w:line="162" w:lineRule="exact"/>
        <w:rPr>
          <w:rFonts w:ascii="Arial" w:cs="Arial" w:eastAsia="Arial" w:hAnsi="Arial"/>
          <w:sz w:val="18"/>
          <w:szCs w:val="18"/>
          <w:color w:val="4D4D4F"/>
        </w:rPr>
      </w:pPr>
    </w:p>
    <w:p>
      <w:pPr>
        <w:ind w:left="340" w:hanging="332"/>
        <w:spacing w:after="0" w:line="246" w:lineRule="auto"/>
        <w:tabs>
          <w:tab w:leader="none" w:pos="340" w:val="left"/>
        </w:tabs>
        <w:numPr>
          <w:ilvl w:val="0"/>
          <w:numId w:val="76"/>
        </w:numPr>
        <w:rPr>
          <w:rFonts w:ascii="Arial" w:cs="Arial" w:eastAsia="Arial" w:hAnsi="Arial"/>
          <w:sz w:val="18"/>
          <w:szCs w:val="18"/>
          <w:color w:val="4D4D4F"/>
        </w:rPr>
      </w:pPr>
      <w:r>
        <w:rPr>
          <w:rFonts w:ascii="Arial" w:cs="Arial" w:eastAsia="Arial" w:hAnsi="Arial"/>
          <w:sz w:val="18"/>
          <w:szCs w:val="18"/>
          <w:color w:val="4D4D4F"/>
        </w:rPr>
        <w:t>The Annual Meeting is a virtual-only meeting. The live audio webcast of the Annual Meeting will be available for listening by the general public, but participation in the Annual Meeting, including voting shares and submitting questions, will be limited to stockholders.</w:t>
      </w:r>
    </w:p>
    <w:p>
      <w:pPr>
        <w:spacing w:after="0" w:line="156" w:lineRule="exact"/>
        <w:rPr>
          <w:rFonts w:ascii="Arial" w:cs="Arial" w:eastAsia="Arial" w:hAnsi="Arial"/>
          <w:sz w:val="18"/>
          <w:szCs w:val="18"/>
          <w:color w:val="4D4D4F"/>
        </w:rPr>
      </w:pPr>
    </w:p>
    <w:p>
      <w:pPr>
        <w:ind w:left="340" w:hanging="332"/>
        <w:spacing w:after="0" w:line="246" w:lineRule="auto"/>
        <w:tabs>
          <w:tab w:leader="none" w:pos="340" w:val="left"/>
        </w:tabs>
        <w:numPr>
          <w:ilvl w:val="0"/>
          <w:numId w:val="76"/>
        </w:numPr>
        <w:rPr>
          <w:rFonts w:ascii="Arial" w:cs="Arial" w:eastAsia="Arial" w:hAnsi="Arial"/>
          <w:sz w:val="18"/>
          <w:szCs w:val="18"/>
          <w:color w:val="4D4D4F"/>
        </w:rPr>
      </w:pPr>
      <w:r>
        <w:rPr>
          <w:rFonts w:ascii="Arial" w:cs="Arial" w:eastAsia="Arial" w:hAnsi="Arial"/>
          <w:sz w:val="18"/>
          <w:szCs w:val="18"/>
          <w:color w:val="4D4D4F"/>
        </w:rPr>
        <w:t xml:space="preserve">Participants may access a live webcast of the Annual Meeting, and stockholders may submit questions and vote their shares, at </w:t>
      </w:r>
      <w:r>
        <w:rPr>
          <w:rFonts w:ascii="Arial" w:cs="Arial" w:eastAsia="Arial" w:hAnsi="Arial"/>
          <w:sz w:val="18"/>
          <w:szCs w:val="18"/>
          <w:i w:val="1"/>
          <w:iCs w:val="1"/>
          <w:color w:val="4D4D4F"/>
        </w:rPr>
        <w:t>virtualshareholdermeeting.com/ACMR2021</w:t>
      </w:r>
      <w:r>
        <w:rPr>
          <w:rFonts w:ascii="Arial" w:cs="Arial" w:eastAsia="Arial" w:hAnsi="Arial"/>
          <w:sz w:val="18"/>
          <w:szCs w:val="18"/>
          <w:color w:val="4D4D4F"/>
        </w:rPr>
        <w:t>.</w:t>
      </w:r>
    </w:p>
    <w:p>
      <w:pPr>
        <w:spacing w:after="0" w:line="169" w:lineRule="exact"/>
        <w:rPr>
          <w:rFonts w:ascii="Arial" w:cs="Arial" w:eastAsia="Arial" w:hAnsi="Arial"/>
          <w:sz w:val="18"/>
          <w:szCs w:val="18"/>
          <w:color w:val="4D4D4F"/>
        </w:rPr>
      </w:pPr>
    </w:p>
    <w:p>
      <w:pPr>
        <w:jc w:val="both"/>
        <w:ind w:left="340" w:hanging="332"/>
        <w:spacing w:after="0" w:line="238" w:lineRule="auto"/>
        <w:tabs>
          <w:tab w:leader="none" w:pos="340" w:val="left"/>
        </w:tabs>
        <w:numPr>
          <w:ilvl w:val="0"/>
          <w:numId w:val="76"/>
        </w:numPr>
        <w:rPr>
          <w:rFonts w:ascii="Arial" w:cs="Arial" w:eastAsia="Arial" w:hAnsi="Arial"/>
          <w:sz w:val="18"/>
          <w:szCs w:val="18"/>
          <w:color w:val="4D4D4F"/>
        </w:rPr>
      </w:pPr>
      <w:r>
        <w:rPr>
          <w:rFonts w:ascii="Arial" w:cs="Arial" w:eastAsia="Arial" w:hAnsi="Arial"/>
          <w:sz w:val="18"/>
          <w:szCs w:val="18"/>
          <w:color w:val="4D4D4F"/>
        </w:rPr>
        <w:t>Each stockholder of record as of 5 p.m., Eastern time, on April 8, 2021 may log into the webcast by entering the 16-digit control number included on the Notice of Internet Availability of Proxy Materials or proxy card received from the Company. If you have voted your shares prior to the start of the Annual Meeting, your vote has been received by the Company’s inspector of elections and there is no need to vote those shares during the Annual Meeting, unless you wish to revoke or change your vote.</w:t>
      </w:r>
    </w:p>
    <w:p>
      <w:pPr>
        <w:spacing w:after="0" w:line="164" w:lineRule="exact"/>
        <w:rPr>
          <w:rFonts w:ascii="Arial" w:cs="Arial" w:eastAsia="Arial" w:hAnsi="Arial"/>
          <w:sz w:val="18"/>
          <w:szCs w:val="18"/>
          <w:color w:val="4D4D4F"/>
        </w:rPr>
      </w:pPr>
    </w:p>
    <w:p>
      <w:pPr>
        <w:jc w:val="both"/>
        <w:ind w:left="340" w:hanging="332"/>
        <w:spacing w:after="0"/>
        <w:tabs>
          <w:tab w:leader="none" w:pos="340" w:val="left"/>
        </w:tabs>
        <w:numPr>
          <w:ilvl w:val="0"/>
          <w:numId w:val="76"/>
        </w:numPr>
        <w:rPr>
          <w:rFonts w:ascii="Arial" w:cs="Arial" w:eastAsia="Arial" w:hAnsi="Arial"/>
          <w:sz w:val="18"/>
          <w:szCs w:val="18"/>
          <w:color w:val="4D4D4F"/>
        </w:rPr>
      </w:pPr>
      <w:r>
        <w:rPr>
          <w:rFonts w:ascii="Arial" w:cs="Arial" w:eastAsia="Arial" w:hAnsi="Arial"/>
          <w:sz w:val="18"/>
          <w:szCs w:val="18"/>
          <w:color w:val="4D4D4F"/>
        </w:rPr>
        <w:t>The Meeting will begin at 7:00 a.m., Pacific time, on June 2, 2021. The only business to be conducted at the Annual Meeting will consist of the consideration of, and voting on, the four proposals set forth in the Proxy Statement for the Annual Meeting. These proposals will be considered sequentially at the Annual Meeting, in the order they are enumerated and set forth in the Proxy Statement.</w:t>
      </w:r>
    </w:p>
    <w:p>
      <w:pPr>
        <w:spacing w:after="0" w:line="162" w:lineRule="exact"/>
        <w:rPr>
          <w:rFonts w:ascii="Arial" w:cs="Arial" w:eastAsia="Arial" w:hAnsi="Arial"/>
          <w:sz w:val="18"/>
          <w:szCs w:val="18"/>
          <w:color w:val="4D4D4F"/>
        </w:rPr>
      </w:pPr>
    </w:p>
    <w:p>
      <w:pPr>
        <w:jc w:val="both"/>
        <w:ind w:left="340" w:hanging="332"/>
        <w:spacing w:after="0" w:line="237" w:lineRule="auto"/>
        <w:tabs>
          <w:tab w:leader="none" w:pos="340" w:val="left"/>
        </w:tabs>
        <w:numPr>
          <w:ilvl w:val="0"/>
          <w:numId w:val="76"/>
        </w:numPr>
        <w:rPr>
          <w:rFonts w:ascii="Arial" w:cs="Arial" w:eastAsia="Arial" w:hAnsi="Arial"/>
          <w:sz w:val="18"/>
          <w:szCs w:val="18"/>
          <w:color w:val="4D4D4F"/>
        </w:rPr>
      </w:pPr>
      <w:r>
        <w:rPr>
          <w:rFonts w:ascii="Arial" w:cs="Arial" w:eastAsia="Arial" w:hAnsi="Arial"/>
          <w:sz w:val="18"/>
          <w:szCs w:val="18"/>
          <w:color w:val="4D4D4F"/>
        </w:rPr>
        <w:t>If a stockholder has a question about one of the agenda matters that is to be voted on at the Annual Meeting as set forth in the Company’s 2021 Proxy Statement, the question may be submitted in the field provided in the web portal at or before the time the matters are presented for consideration at the Annual Meeting. We will answer questions on any matters set forth in the Company’s 2021 Proxy Statement to be voted on by the stockholders at the Annual Meeting before voting is closed. During this period, the Company will not permit discussions or questions that are not relevant or pertinent to the agenda matter then being discussed, as determined by the Chair in his reasonable judgment.</w:t>
      </w:r>
    </w:p>
    <w:p>
      <w:pPr>
        <w:spacing w:after="0" w:line="177" w:lineRule="exact"/>
        <w:rPr>
          <w:rFonts w:ascii="Arial" w:cs="Arial" w:eastAsia="Arial" w:hAnsi="Arial"/>
          <w:sz w:val="18"/>
          <w:szCs w:val="18"/>
          <w:color w:val="4D4D4F"/>
        </w:rPr>
      </w:pPr>
    </w:p>
    <w:p>
      <w:pPr>
        <w:jc w:val="both"/>
        <w:ind w:left="340" w:hanging="332"/>
        <w:spacing w:after="0"/>
        <w:tabs>
          <w:tab w:leader="none" w:pos="340" w:val="left"/>
        </w:tabs>
        <w:numPr>
          <w:ilvl w:val="0"/>
          <w:numId w:val="76"/>
        </w:numPr>
        <w:rPr>
          <w:rFonts w:ascii="Arial" w:cs="Arial" w:eastAsia="Arial" w:hAnsi="Arial"/>
          <w:sz w:val="18"/>
          <w:szCs w:val="18"/>
          <w:color w:val="4D4D4F"/>
        </w:rPr>
      </w:pPr>
      <w:r>
        <w:rPr>
          <w:rFonts w:ascii="Arial" w:cs="Arial" w:eastAsia="Arial" w:hAnsi="Arial"/>
          <w:sz w:val="18"/>
          <w:szCs w:val="18"/>
          <w:color w:val="4D4D4F"/>
        </w:rPr>
        <w:t>Following adjournment of the formal business of the Annual Meeting, the Company’s management will give a presentation about the Company’s business. At the conclusion of this presentation, the Company will address appropriate general questions from stockholders regarding the Company. The following rules will apply to this process: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1" w:name="page62"/>
    <w:bookmarkEnd w:id="61"/>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71" w:lineRule="exact"/>
        <w:rPr>
          <w:sz w:val="20"/>
          <w:szCs w:val="20"/>
          <w:color w:val="auto"/>
        </w:rPr>
      </w:pPr>
    </w:p>
    <w:p>
      <w:pPr>
        <w:jc w:val="both"/>
        <w:ind w:left="660" w:hanging="328"/>
        <w:spacing w:after="0" w:line="238" w:lineRule="auto"/>
        <w:tabs>
          <w:tab w:leader="none" w:pos="660" w:val="left"/>
        </w:tabs>
        <w:numPr>
          <w:ilvl w:val="1"/>
          <w:numId w:val="77"/>
        </w:numPr>
        <w:rPr>
          <w:rFonts w:ascii="Arial" w:cs="Arial" w:eastAsia="Arial" w:hAnsi="Arial"/>
          <w:sz w:val="18"/>
          <w:szCs w:val="18"/>
          <w:color w:val="4D4D4F"/>
        </w:rPr>
      </w:pPr>
      <w:r>
        <w:rPr>
          <w:rFonts w:ascii="Arial" w:cs="Arial" w:eastAsia="Arial" w:hAnsi="Arial"/>
          <w:sz w:val="18"/>
          <w:szCs w:val="18"/>
          <w:color w:val="4D4D4F"/>
        </w:rPr>
        <w:t>To ensure that as many stockholders as possible are able to ask questions, each stockholder will be permitted to submit no more than two questions. Questions must be succinct and cover a single topic. All questions will be presented as submitted, uncensored and unedited, except that we may omit certain personal details for data protection issues and we may edit profanity or other inappropriate language.</w:t>
      </w:r>
    </w:p>
    <w:p>
      <w:pPr>
        <w:spacing w:after="0" w:line="164" w:lineRule="exact"/>
        <w:rPr>
          <w:rFonts w:ascii="Arial" w:cs="Arial" w:eastAsia="Arial" w:hAnsi="Arial"/>
          <w:sz w:val="18"/>
          <w:szCs w:val="18"/>
          <w:color w:val="4D4D4F"/>
        </w:rPr>
      </w:pPr>
    </w:p>
    <w:p>
      <w:pPr>
        <w:ind w:left="660" w:hanging="328"/>
        <w:spacing w:after="0"/>
        <w:tabs>
          <w:tab w:leader="none" w:pos="660" w:val="left"/>
        </w:tabs>
        <w:numPr>
          <w:ilvl w:val="1"/>
          <w:numId w:val="77"/>
        </w:numPr>
        <w:rPr>
          <w:rFonts w:ascii="Arial" w:cs="Arial" w:eastAsia="Arial" w:hAnsi="Arial"/>
          <w:sz w:val="18"/>
          <w:szCs w:val="18"/>
          <w:color w:val="4D4D4F"/>
        </w:rPr>
      </w:pPr>
      <w:r>
        <w:rPr>
          <w:rFonts w:ascii="Arial" w:cs="Arial" w:eastAsia="Arial" w:hAnsi="Arial"/>
          <w:sz w:val="18"/>
          <w:szCs w:val="18"/>
          <w:color w:val="4D4D4F"/>
        </w:rPr>
        <w:t>We will answer questions in the order received, except that:</w:t>
      </w:r>
    </w:p>
    <w:p>
      <w:pPr>
        <w:spacing w:after="0" w:line="184" w:lineRule="exact"/>
        <w:rPr>
          <w:rFonts w:ascii="Arial" w:cs="Arial" w:eastAsia="Arial" w:hAnsi="Arial"/>
          <w:sz w:val="18"/>
          <w:szCs w:val="18"/>
          <w:color w:val="4D4D4F"/>
        </w:rPr>
      </w:pPr>
    </w:p>
    <w:p>
      <w:pPr>
        <w:ind w:left="980" w:hanging="162"/>
        <w:spacing w:after="0" w:line="246" w:lineRule="auto"/>
        <w:tabs>
          <w:tab w:leader="none" w:pos="980" w:val="left"/>
        </w:tabs>
        <w:numPr>
          <w:ilvl w:val="2"/>
          <w:numId w:val="77"/>
        </w:numPr>
        <w:rPr>
          <w:rFonts w:ascii="Arial" w:cs="Arial" w:eastAsia="Arial" w:hAnsi="Arial"/>
          <w:sz w:val="18"/>
          <w:szCs w:val="18"/>
          <w:color w:val="4D4D4F"/>
        </w:rPr>
      </w:pPr>
      <w:r>
        <w:rPr>
          <w:rFonts w:ascii="Arial" w:cs="Arial" w:eastAsia="Arial" w:hAnsi="Arial"/>
          <w:sz w:val="18"/>
          <w:szCs w:val="18"/>
          <w:color w:val="4D4D4F"/>
        </w:rPr>
        <w:t>Questions from multiple stockholders related to the same topic or that are otherwise related may be grouped and answered together.</w:t>
      </w:r>
    </w:p>
    <w:p>
      <w:pPr>
        <w:spacing w:after="0" w:line="156" w:lineRule="exact"/>
        <w:rPr>
          <w:rFonts w:ascii="Arial" w:cs="Arial" w:eastAsia="Arial" w:hAnsi="Arial"/>
          <w:sz w:val="18"/>
          <w:szCs w:val="18"/>
          <w:color w:val="4D4D4F"/>
        </w:rPr>
      </w:pPr>
    </w:p>
    <w:p>
      <w:pPr>
        <w:ind w:left="1300" w:hanging="482"/>
        <w:spacing w:after="0" w:line="246" w:lineRule="auto"/>
        <w:tabs>
          <w:tab w:leader="none" w:pos="1300" w:val="left"/>
        </w:tabs>
        <w:numPr>
          <w:ilvl w:val="2"/>
          <w:numId w:val="77"/>
        </w:numPr>
        <w:rPr>
          <w:rFonts w:ascii="Arial" w:cs="Arial" w:eastAsia="Arial" w:hAnsi="Arial"/>
          <w:sz w:val="18"/>
          <w:szCs w:val="18"/>
          <w:color w:val="4D4D4F"/>
        </w:rPr>
      </w:pPr>
      <w:r>
        <w:rPr>
          <w:rFonts w:ascii="Arial" w:cs="Arial" w:eastAsia="Arial" w:hAnsi="Arial"/>
          <w:sz w:val="18"/>
          <w:szCs w:val="18"/>
          <w:color w:val="4D4D4F"/>
        </w:rPr>
        <w:t>Any second question from a stockholder will be deferred until such time as all appropriate first questions from stockholders have been addressed.</w:t>
      </w:r>
    </w:p>
    <w:p>
      <w:pPr>
        <w:spacing w:after="0" w:line="156" w:lineRule="exact"/>
        <w:rPr>
          <w:rFonts w:ascii="Arial" w:cs="Arial" w:eastAsia="Arial" w:hAnsi="Arial"/>
          <w:sz w:val="18"/>
          <w:szCs w:val="18"/>
          <w:color w:val="4D4D4F"/>
        </w:rPr>
      </w:pPr>
    </w:p>
    <w:p>
      <w:pPr>
        <w:jc w:val="both"/>
        <w:ind w:left="1300" w:hanging="482"/>
        <w:spacing w:after="0" w:line="238" w:lineRule="auto"/>
        <w:tabs>
          <w:tab w:leader="none" w:pos="1300" w:val="left"/>
        </w:tabs>
        <w:numPr>
          <w:ilvl w:val="2"/>
          <w:numId w:val="77"/>
        </w:numPr>
        <w:rPr>
          <w:rFonts w:ascii="Arial" w:cs="Arial" w:eastAsia="Arial" w:hAnsi="Arial"/>
          <w:sz w:val="18"/>
          <w:szCs w:val="18"/>
          <w:color w:val="4D4D4F"/>
        </w:rPr>
      </w:pPr>
      <w:r>
        <w:rPr>
          <w:rFonts w:ascii="Arial" w:cs="Arial" w:eastAsia="Arial" w:hAnsi="Arial"/>
          <w:sz w:val="18"/>
          <w:szCs w:val="18"/>
          <w:color w:val="4D4D4F"/>
        </w:rPr>
        <w:t>If more questions are presented than time permits to be answered, the list of questions to be considered will be shortened by removing from the list: first, any question determined by the Chair to be substantially duplicative of another question that has been discussed; second, any question presented by a stockholder whose first question has been discussed; and, third, the last submitted questions (ordered by time received).</w:t>
      </w:r>
    </w:p>
    <w:p>
      <w:pPr>
        <w:spacing w:after="0" w:line="177" w:lineRule="exact"/>
        <w:rPr>
          <w:rFonts w:ascii="Arial" w:cs="Arial" w:eastAsia="Arial" w:hAnsi="Arial"/>
          <w:sz w:val="18"/>
          <w:szCs w:val="18"/>
          <w:color w:val="4D4D4F"/>
        </w:rPr>
      </w:pPr>
    </w:p>
    <w:p>
      <w:pPr>
        <w:ind w:left="660" w:hanging="328"/>
        <w:spacing w:after="0" w:line="246" w:lineRule="auto"/>
        <w:tabs>
          <w:tab w:leader="none" w:pos="660" w:val="left"/>
        </w:tabs>
        <w:numPr>
          <w:ilvl w:val="1"/>
          <w:numId w:val="77"/>
        </w:numPr>
        <w:rPr>
          <w:rFonts w:ascii="Arial" w:cs="Arial" w:eastAsia="Arial" w:hAnsi="Arial"/>
          <w:sz w:val="18"/>
          <w:szCs w:val="18"/>
          <w:color w:val="4D4D4F"/>
        </w:rPr>
      </w:pPr>
      <w:r>
        <w:rPr>
          <w:rFonts w:ascii="Arial" w:cs="Arial" w:eastAsia="Arial" w:hAnsi="Arial"/>
          <w:sz w:val="18"/>
          <w:szCs w:val="18"/>
          <w:color w:val="4D4D4F"/>
        </w:rPr>
        <w:t>The views, questions and constructive comments of all stockholders are valued and welcomed. The purpose of the Annual Meeting must be observed, however, and the Company will not permit questions that:</w:t>
      </w:r>
    </w:p>
    <w:p>
      <w:pPr>
        <w:spacing w:after="0" w:line="156" w:lineRule="exact"/>
        <w:rPr>
          <w:rFonts w:ascii="Arial" w:cs="Arial" w:eastAsia="Arial" w:hAnsi="Arial"/>
          <w:sz w:val="18"/>
          <w:szCs w:val="18"/>
          <w:color w:val="4D4D4F"/>
        </w:rPr>
      </w:pPr>
    </w:p>
    <w:p>
      <w:pPr>
        <w:ind w:left="980" w:hanging="162"/>
        <w:spacing w:after="0"/>
        <w:tabs>
          <w:tab w:leader="none" w:pos="980" w:val="left"/>
        </w:tabs>
        <w:numPr>
          <w:ilvl w:val="2"/>
          <w:numId w:val="77"/>
        </w:numPr>
        <w:rPr>
          <w:rFonts w:ascii="Arial" w:cs="Arial" w:eastAsia="Arial" w:hAnsi="Arial"/>
          <w:sz w:val="18"/>
          <w:szCs w:val="18"/>
          <w:color w:val="4D4D4F"/>
        </w:rPr>
      </w:pPr>
      <w:r>
        <w:rPr>
          <w:rFonts w:ascii="Arial" w:cs="Arial" w:eastAsia="Arial" w:hAnsi="Arial"/>
          <w:sz w:val="18"/>
          <w:szCs w:val="18"/>
          <w:color w:val="4D4D4F"/>
        </w:rPr>
        <w:t>are not relevant or pertinent to the business of the Company;</w:t>
      </w:r>
    </w:p>
    <w:p>
      <w:pPr>
        <w:spacing w:after="0" w:line="171" w:lineRule="exact"/>
        <w:rPr>
          <w:rFonts w:ascii="Arial" w:cs="Arial" w:eastAsia="Arial" w:hAnsi="Arial"/>
          <w:sz w:val="18"/>
          <w:szCs w:val="18"/>
          <w:color w:val="4D4D4F"/>
        </w:rPr>
      </w:pPr>
    </w:p>
    <w:p>
      <w:pPr>
        <w:ind w:left="1300" w:hanging="482"/>
        <w:spacing w:after="0"/>
        <w:tabs>
          <w:tab w:leader="none" w:pos="1300" w:val="left"/>
        </w:tabs>
        <w:numPr>
          <w:ilvl w:val="2"/>
          <w:numId w:val="77"/>
        </w:numPr>
        <w:rPr>
          <w:rFonts w:ascii="Arial" w:cs="Arial" w:eastAsia="Arial" w:hAnsi="Arial"/>
          <w:sz w:val="18"/>
          <w:szCs w:val="18"/>
          <w:color w:val="4D4D4F"/>
        </w:rPr>
      </w:pPr>
      <w:r>
        <w:rPr>
          <w:rFonts w:ascii="Arial" w:cs="Arial" w:eastAsia="Arial" w:hAnsi="Arial"/>
          <w:sz w:val="18"/>
          <w:szCs w:val="18"/>
          <w:color w:val="4D4D4F"/>
        </w:rPr>
        <w:t>are related to material non-public information of the Company;</w:t>
      </w:r>
    </w:p>
    <w:p>
      <w:pPr>
        <w:spacing w:after="0" w:line="184" w:lineRule="exact"/>
        <w:rPr>
          <w:rFonts w:ascii="Arial" w:cs="Arial" w:eastAsia="Arial" w:hAnsi="Arial"/>
          <w:sz w:val="18"/>
          <w:szCs w:val="18"/>
          <w:color w:val="4D4D4F"/>
        </w:rPr>
      </w:pPr>
    </w:p>
    <w:p>
      <w:pPr>
        <w:ind w:left="1300" w:hanging="482"/>
        <w:spacing w:after="0"/>
        <w:tabs>
          <w:tab w:leader="none" w:pos="1300" w:val="left"/>
        </w:tabs>
        <w:numPr>
          <w:ilvl w:val="2"/>
          <w:numId w:val="77"/>
        </w:numPr>
        <w:rPr>
          <w:rFonts w:ascii="Arial" w:cs="Arial" w:eastAsia="Arial" w:hAnsi="Arial"/>
          <w:sz w:val="18"/>
          <w:szCs w:val="18"/>
          <w:color w:val="4D4D4F"/>
        </w:rPr>
      </w:pPr>
      <w:r>
        <w:rPr>
          <w:rFonts w:ascii="Arial" w:cs="Arial" w:eastAsia="Arial" w:hAnsi="Arial"/>
          <w:sz w:val="18"/>
          <w:szCs w:val="18"/>
          <w:color w:val="4D4D4F"/>
        </w:rPr>
        <w:t>are related to pending or threatened litigation or investigations;</w:t>
      </w:r>
    </w:p>
    <w:p>
      <w:pPr>
        <w:spacing w:after="0" w:line="171" w:lineRule="exact"/>
        <w:rPr>
          <w:rFonts w:ascii="Arial" w:cs="Arial" w:eastAsia="Arial" w:hAnsi="Arial"/>
          <w:sz w:val="18"/>
          <w:szCs w:val="18"/>
          <w:color w:val="4D4D4F"/>
        </w:rPr>
      </w:pPr>
    </w:p>
    <w:p>
      <w:pPr>
        <w:ind w:left="1300" w:hanging="482"/>
        <w:spacing w:after="0"/>
        <w:tabs>
          <w:tab w:leader="none" w:pos="1300" w:val="left"/>
        </w:tabs>
        <w:numPr>
          <w:ilvl w:val="2"/>
          <w:numId w:val="77"/>
        </w:numPr>
        <w:rPr>
          <w:rFonts w:ascii="Arial" w:cs="Arial" w:eastAsia="Arial" w:hAnsi="Arial"/>
          <w:sz w:val="18"/>
          <w:szCs w:val="18"/>
          <w:color w:val="4D4D4F"/>
        </w:rPr>
      </w:pPr>
      <w:r>
        <w:rPr>
          <w:rFonts w:ascii="Arial" w:cs="Arial" w:eastAsia="Arial" w:hAnsi="Arial"/>
          <w:sz w:val="18"/>
          <w:szCs w:val="18"/>
          <w:color w:val="4D4D4F"/>
        </w:rPr>
        <w:t>are in furtherance of a stockholder’s personal or business interests;</w:t>
      </w:r>
    </w:p>
    <w:p>
      <w:pPr>
        <w:spacing w:after="0" w:line="171" w:lineRule="exact"/>
        <w:rPr>
          <w:rFonts w:ascii="Arial" w:cs="Arial" w:eastAsia="Arial" w:hAnsi="Arial"/>
          <w:sz w:val="18"/>
          <w:szCs w:val="18"/>
          <w:color w:val="4D4D4F"/>
        </w:rPr>
      </w:pPr>
    </w:p>
    <w:p>
      <w:pPr>
        <w:ind w:left="1300" w:hanging="482"/>
        <w:spacing w:after="0"/>
        <w:tabs>
          <w:tab w:leader="none" w:pos="1300" w:val="left"/>
        </w:tabs>
        <w:numPr>
          <w:ilvl w:val="2"/>
          <w:numId w:val="77"/>
        </w:numPr>
        <w:rPr>
          <w:rFonts w:ascii="Arial" w:cs="Arial" w:eastAsia="Arial" w:hAnsi="Arial"/>
          <w:sz w:val="18"/>
          <w:szCs w:val="18"/>
          <w:color w:val="4D4D4F"/>
        </w:rPr>
      </w:pPr>
      <w:r>
        <w:rPr>
          <w:rFonts w:ascii="Arial" w:cs="Arial" w:eastAsia="Arial" w:hAnsi="Arial"/>
          <w:sz w:val="18"/>
          <w:szCs w:val="18"/>
          <w:color w:val="4D4D4F"/>
        </w:rPr>
        <w:t>are repetitious of statements made by another stockholder;</w:t>
      </w:r>
    </w:p>
    <w:p>
      <w:pPr>
        <w:spacing w:after="0" w:line="184" w:lineRule="exact"/>
        <w:rPr>
          <w:rFonts w:ascii="Arial" w:cs="Arial" w:eastAsia="Arial" w:hAnsi="Arial"/>
          <w:sz w:val="18"/>
          <w:szCs w:val="18"/>
          <w:color w:val="4D4D4F"/>
        </w:rPr>
      </w:pPr>
    </w:p>
    <w:p>
      <w:pPr>
        <w:ind w:left="1300" w:hanging="482"/>
        <w:spacing w:after="0"/>
        <w:tabs>
          <w:tab w:leader="none" w:pos="1300" w:val="left"/>
        </w:tabs>
        <w:numPr>
          <w:ilvl w:val="2"/>
          <w:numId w:val="77"/>
        </w:numPr>
        <w:rPr>
          <w:rFonts w:ascii="Arial" w:cs="Arial" w:eastAsia="Arial" w:hAnsi="Arial"/>
          <w:sz w:val="18"/>
          <w:szCs w:val="18"/>
          <w:color w:val="4D4D4F"/>
        </w:rPr>
      </w:pPr>
      <w:r>
        <w:rPr>
          <w:rFonts w:ascii="Arial" w:cs="Arial" w:eastAsia="Arial" w:hAnsi="Arial"/>
          <w:sz w:val="18"/>
          <w:szCs w:val="18"/>
          <w:color w:val="4D4D4F"/>
        </w:rPr>
        <w:t>are related to personal grievances;</w:t>
      </w:r>
    </w:p>
    <w:p>
      <w:pPr>
        <w:spacing w:after="0" w:line="171" w:lineRule="exact"/>
        <w:rPr>
          <w:rFonts w:ascii="Arial" w:cs="Arial" w:eastAsia="Arial" w:hAnsi="Arial"/>
          <w:sz w:val="18"/>
          <w:szCs w:val="18"/>
          <w:color w:val="4D4D4F"/>
        </w:rPr>
      </w:pPr>
    </w:p>
    <w:p>
      <w:pPr>
        <w:ind w:left="1300" w:hanging="482"/>
        <w:spacing w:after="0"/>
        <w:tabs>
          <w:tab w:leader="none" w:pos="1300" w:val="left"/>
        </w:tabs>
        <w:numPr>
          <w:ilvl w:val="2"/>
          <w:numId w:val="77"/>
        </w:numPr>
        <w:rPr>
          <w:rFonts w:ascii="Arial" w:cs="Arial" w:eastAsia="Arial" w:hAnsi="Arial"/>
          <w:sz w:val="18"/>
          <w:szCs w:val="18"/>
          <w:color w:val="4D4D4F"/>
        </w:rPr>
      </w:pPr>
      <w:r>
        <w:rPr>
          <w:rFonts w:ascii="Arial" w:cs="Arial" w:eastAsia="Arial" w:hAnsi="Arial"/>
          <w:sz w:val="18"/>
          <w:szCs w:val="18"/>
          <w:color w:val="4D4D4F"/>
        </w:rPr>
        <w:t>include derogatory references to individuals or are otherwise in bad taste; or</w:t>
      </w:r>
    </w:p>
    <w:p>
      <w:pPr>
        <w:spacing w:after="0" w:line="171" w:lineRule="exact"/>
        <w:rPr>
          <w:rFonts w:ascii="Arial" w:cs="Arial" w:eastAsia="Arial" w:hAnsi="Arial"/>
          <w:sz w:val="18"/>
          <w:szCs w:val="18"/>
          <w:color w:val="4D4D4F"/>
        </w:rPr>
      </w:pPr>
    </w:p>
    <w:p>
      <w:pPr>
        <w:ind w:left="1300" w:hanging="482"/>
        <w:spacing w:after="0" w:line="246" w:lineRule="auto"/>
        <w:tabs>
          <w:tab w:leader="none" w:pos="1300" w:val="left"/>
        </w:tabs>
        <w:numPr>
          <w:ilvl w:val="2"/>
          <w:numId w:val="77"/>
        </w:numPr>
        <w:rPr>
          <w:rFonts w:ascii="Arial" w:cs="Arial" w:eastAsia="Arial" w:hAnsi="Arial"/>
          <w:sz w:val="18"/>
          <w:szCs w:val="18"/>
          <w:color w:val="4D4D4F"/>
        </w:rPr>
      </w:pPr>
      <w:r>
        <w:rPr>
          <w:rFonts w:ascii="Arial" w:cs="Arial" w:eastAsia="Arial" w:hAnsi="Arial"/>
          <w:sz w:val="18"/>
          <w:szCs w:val="18"/>
          <w:color w:val="4D4D4F"/>
        </w:rPr>
        <w:t>are out of order or not otherwise suitable for the conduct of the Annual Meeting as determined by the Chair in his reasonable judgment.</w:t>
      </w:r>
    </w:p>
    <w:p>
      <w:pPr>
        <w:spacing w:after="0" w:line="169" w:lineRule="exact"/>
        <w:rPr>
          <w:rFonts w:ascii="Arial" w:cs="Arial" w:eastAsia="Arial" w:hAnsi="Arial"/>
          <w:sz w:val="18"/>
          <w:szCs w:val="18"/>
          <w:color w:val="4D4D4F"/>
        </w:rPr>
      </w:pPr>
    </w:p>
    <w:p>
      <w:pPr>
        <w:jc w:val="both"/>
        <w:ind w:left="340" w:hanging="332"/>
        <w:spacing w:after="0"/>
        <w:tabs>
          <w:tab w:leader="none" w:pos="340" w:val="left"/>
        </w:tabs>
        <w:numPr>
          <w:ilvl w:val="0"/>
          <w:numId w:val="78"/>
        </w:numPr>
        <w:rPr>
          <w:rFonts w:ascii="Arial" w:cs="Arial" w:eastAsia="Arial" w:hAnsi="Arial"/>
          <w:sz w:val="18"/>
          <w:szCs w:val="18"/>
          <w:color w:val="4D4D4F"/>
        </w:rPr>
      </w:pPr>
      <w:r>
        <w:rPr>
          <w:rFonts w:ascii="Arial" w:cs="Arial" w:eastAsia="Arial" w:hAnsi="Arial"/>
          <w:sz w:val="18"/>
          <w:szCs w:val="18"/>
          <w:color w:val="4D4D4F"/>
        </w:rPr>
        <w:t>If there are any matters of individual concern to a stockholder and not of general concern to all stockholders, or if a question posed was not otherwise answered, such matters may be raised separately after the Annual Meeting by contacting Investor Relations at investor.relations@acmrcsh.com.</w:t>
      </w:r>
    </w:p>
    <w:p>
      <w:pPr>
        <w:spacing w:after="0" w:line="162" w:lineRule="exact"/>
        <w:rPr>
          <w:rFonts w:ascii="Arial" w:cs="Arial" w:eastAsia="Arial" w:hAnsi="Arial"/>
          <w:sz w:val="18"/>
          <w:szCs w:val="18"/>
          <w:color w:val="4D4D4F"/>
        </w:rPr>
      </w:pPr>
    </w:p>
    <w:p>
      <w:pPr>
        <w:jc w:val="both"/>
        <w:ind w:left="340" w:hanging="332"/>
        <w:spacing w:after="0" w:line="238" w:lineRule="auto"/>
        <w:tabs>
          <w:tab w:leader="none" w:pos="340" w:val="left"/>
        </w:tabs>
        <w:numPr>
          <w:ilvl w:val="0"/>
          <w:numId w:val="78"/>
        </w:numPr>
        <w:rPr>
          <w:rFonts w:ascii="Arial" w:cs="Arial" w:eastAsia="Arial" w:hAnsi="Arial"/>
          <w:sz w:val="18"/>
          <w:szCs w:val="18"/>
          <w:color w:val="4D4D4F"/>
        </w:rPr>
      </w:pPr>
      <w:r>
        <w:rPr>
          <w:rFonts w:ascii="Arial" w:cs="Arial" w:eastAsia="Arial" w:hAnsi="Arial"/>
          <w:sz w:val="18"/>
          <w:szCs w:val="18"/>
          <w:color w:val="4D4D4F"/>
        </w:rPr>
        <w:t>Recording of the Annual Meeting is prohibited without the prior written permission of the Company. A webcast playback of the Annual Meeting will be available at http://ir.acmrcsh.com/presentations within approximately 24 hours after the completion of the Annual Meeting and will remain publicly available until our next annual meeting of stockholders in 2022. The webcast playback will include each stockholder question addressed during the Annual Meeting.</w:t>
      </w:r>
    </w:p>
    <w:p>
      <w:pPr>
        <w:spacing w:after="0" w:line="164" w:lineRule="exact"/>
        <w:rPr>
          <w:rFonts w:ascii="Arial" w:cs="Arial" w:eastAsia="Arial" w:hAnsi="Arial"/>
          <w:sz w:val="18"/>
          <w:szCs w:val="18"/>
          <w:color w:val="4D4D4F"/>
        </w:rPr>
      </w:pPr>
    </w:p>
    <w:p>
      <w:pPr>
        <w:ind w:left="340" w:hanging="332"/>
        <w:spacing w:after="0"/>
        <w:tabs>
          <w:tab w:leader="none" w:pos="340" w:val="left"/>
        </w:tabs>
        <w:numPr>
          <w:ilvl w:val="0"/>
          <w:numId w:val="78"/>
        </w:numPr>
        <w:rPr>
          <w:rFonts w:ascii="Arial" w:cs="Arial" w:eastAsia="Arial" w:hAnsi="Arial"/>
          <w:sz w:val="18"/>
          <w:szCs w:val="18"/>
          <w:color w:val="4D4D4F"/>
        </w:rPr>
      </w:pPr>
      <w:r>
        <w:rPr>
          <w:rFonts w:ascii="Arial" w:cs="Arial" w:eastAsia="Arial" w:hAnsi="Arial"/>
          <w:sz w:val="18"/>
          <w:szCs w:val="18"/>
          <w:color w:val="4D4D4F"/>
        </w:rPr>
        <w:t>A violation of any of the above conduct requirements will be cause for dismissal from the Annual Meeting.</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4D4D4F"/>
        </w:rPr>
        <w:t>THANK YOU FOR YOUR COOPERATION AND FOR JOINING THE ANNUAL MEETING.</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4D4D4F"/>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407035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2" w:name="page63"/>
    <w:bookmarkEnd w:id="62"/>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90525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9052560"/>
                    </a:xfrm>
                    <a:prstGeom prst="rect">
                      <a:avLst/>
                    </a:prstGeom>
                    <a:noFill/>
                  </pic:spPr>
                </pic:pic>
              </a:graphicData>
            </a:graphic>
          </wp:anchor>
        </w:drawing>
      </w:r>
    </w:p>
    <w:p>
      <w:pPr>
        <w:sectPr>
          <w:pgSz w:w="11900" w:h="16838" w:orient="portrait"/>
          <w:cols w:equalWidth="0" w:num="1">
            <w:col w:w="10139"/>
          </w:cols>
          <w:pgMar w:left="320" w:top="130" w:right="1440" w:bottom="1440" w:gutter="0" w:footer="0" w:header="0"/>
        </w:sectPr>
      </w:pPr>
    </w:p>
    <w:bookmarkStart w:id="63" w:name="page64"/>
    <w:bookmarkEnd w:id="63"/>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87356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735695"/>
                    </a:xfrm>
                    <a:prstGeom prst="rect">
                      <a:avLst/>
                    </a:prstGeom>
                    <a:noFill/>
                  </pic:spPr>
                </pic:pic>
              </a:graphicData>
            </a:graphic>
          </wp:anchor>
        </w:drawing>
      </w:r>
    </w:p>
    <w:sectPr>
      <w:pgSz w:w="11900" w:h="16838" w:orient="portrait"/>
      <w:cols w:equalWidth="0" w:num="1">
        <w:col w:w="10139"/>
      </w:cols>
      <w:pgMar w:left="320" w:top="13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EAD36B"/>
    <w:multiLevelType w:val="hybridMultilevel"/>
    <w:lvl w:ilvl="0">
      <w:lvlJc w:val="left"/>
      <w:lvlText w:val="☒"/>
      <w:numFmt w:val="bullet"/>
      <w:start w:val="1"/>
    </w:lvl>
  </w:abstractNum>
  <w:abstractNum w:abstractNumId="1">
    <w:nsid w:val="2D517796"/>
    <w:multiLevelType w:val="hybridMultilevel"/>
    <w:lvl w:ilvl="0">
      <w:lvlJc w:val="left"/>
      <w:lvlText w:val="☐"/>
      <w:numFmt w:val="bullet"/>
      <w:start w:val="1"/>
    </w:lvl>
  </w:abstractNum>
  <w:abstractNum w:abstractNumId="2">
    <w:nsid w:val="580BD78F"/>
    <w:multiLevelType w:val="hybridMultilevel"/>
    <w:lvl w:ilvl="0">
      <w:lvlJc w:val="left"/>
      <w:lvlText w:val="☒"/>
      <w:numFmt w:val="bullet"/>
      <w:start w:val="1"/>
    </w:lvl>
  </w:abstractNum>
  <w:abstractNum w:abstractNumId="3">
    <w:nsid w:val="153EA438"/>
    <w:multiLevelType w:val="hybridMultilevel"/>
    <w:lvl w:ilvl="0">
      <w:lvlJc w:val="left"/>
      <w:lvlText w:val="☐"/>
      <w:numFmt w:val="bullet"/>
      <w:start w:val="1"/>
    </w:lvl>
    <w:lvl w:ilvl="1">
      <w:lvlJc w:val="left"/>
      <w:lvlText w:val="(%2)"/>
      <w:numFmt w:val="decimal"/>
      <w:start w:val="1"/>
    </w:lvl>
  </w:abstractNum>
  <w:abstractNum w:abstractNumId="4">
    <w:nsid w:val="3855585C"/>
    <w:multiLevelType w:val="hybridMultilevel"/>
    <w:lvl w:ilvl="0">
      <w:lvlJc w:val="left"/>
      <w:lvlText w:val="•"/>
      <w:numFmt w:val="bullet"/>
      <w:start w:val="1"/>
    </w:lvl>
  </w:abstractNum>
  <w:abstractNum w:abstractNumId="5">
    <w:nsid w:val="70A64E2A"/>
    <w:multiLevelType w:val="hybridMultilevel"/>
    <w:lvl w:ilvl="0">
      <w:lvlJc w:val="left"/>
      <w:lvlText w:val="*"/>
      <w:numFmt w:val="bullet"/>
      <w:start w:val="1"/>
    </w:lvl>
  </w:abstractNum>
  <w:abstractNum w:abstractNumId="6">
    <w:nsid w:val="6A2342EC"/>
    <w:multiLevelType w:val="hybridMultilevel"/>
    <w:lvl w:ilvl="0">
      <w:lvlJc w:val="left"/>
      <w:lvlText w:val="•"/>
      <w:numFmt w:val="bullet"/>
      <w:start w:val="1"/>
    </w:lvl>
  </w:abstractNum>
  <w:abstractNum w:abstractNumId="7">
    <w:nsid w:val="2A487CB0"/>
    <w:multiLevelType w:val="hybridMultilevel"/>
    <w:lvl w:ilvl="0">
      <w:lvlJc w:val="left"/>
      <w:lvlText w:val="(%1)"/>
      <w:numFmt w:val="decimal"/>
      <w:start w:val="1"/>
    </w:lvl>
  </w:abstractNum>
  <w:abstractNum w:abstractNumId="8">
    <w:nsid w:val="1D4ED43B"/>
    <w:multiLevelType w:val="hybridMultilevel"/>
    <w:lvl w:ilvl="0">
      <w:lvlJc w:val="left"/>
      <w:lvlText w:val="%1:"/>
      <w:numFmt w:val="upperLetter"/>
      <w:start w:val="1"/>
    </w:lvl>
  </w:abstractNum>
  <w:abstractNum w:abstractNumId="9">
    <w:nsid w:val="725A06FB"/>
    <w:multiLevelType w:val="hybridMultilevel"/>
    <w:lvl w:ilvl="0">
      <w:lvlJc w:val="left"/>
      <w:lvlText w:val="%1:"/>
      <w:numFmt w:val="upperLetter"/>
      <w:start w:val="1"/>
    </w:lvl>
  </w:abstractNum>
  <w:abstractNum w:abstractNumId="10">
    <w:nsid w:val="2CD89A32"/>
    <w:multiLevelType w:val="hybridMultilevel"/>
    <w:lvl w:ilvl="0">
      <w:lvlJc w:val="left"/>
      <w:lvlText w:val="%1:"/>
      <w:numFmt w:val="upperLetter"/>
      <w:start w:val="1"/>
    </w:lvl>
    <w:lvl w:ilvl="1">
      <w:lvlJc w:val="left"/>
      <w:lvlText w:val="•"/>
      <w:numFmt w:val="bullet"/>
      <w:start w:val="1"/>
    </w:lvl>
  </w:abstractNum>
  <w:abstractNum w:abstractNumId="11">
    <w:nsid w:val="57E4CCAF"/>
    <w:multiLevelType w:val="hybridMultilevel"/>
    <w:lvl w:ilvl="0">
      <w:lvlJc w:val="left"/>
      <w:lvlText w:val="%1:"/>
      <w:numFmt w:val="upperLetter"/>
      <w:start w:val="1"/>
    </w:lvl>
  </w:abstractNum>
  <w:abstractNum w:abstractNumId="12">
    <w:nsid w:val="7A6D8D3C"/>
    <w:multiLevelType w:val="hybridMultilevel"/>
    <w:lvl w:ilvl="0">
      <w:lvlJc w:val="left"/>
      <w:lvlText w:val="%1:"/>
      <w:numFmt w:val="upperLetter"/>
      <w:start w:val="1"/>
    </w:lvl>
  </w:abstractNum>
  <w:abstractNum w:abstractNumId="13">
    <w:nsid w:val="4B588F54"/>
    <w:multiLevelType w:val="hybridMultilevel"/>
    <w:lvl w:ilvl="0">
      <w:lvlJc w:val="left"/>
      <w:lvlText w:val="%1:"/>
      <w:numFmt w:val="upperLetter"/>
      <w:start w:val="1"/>
    </w:lvl>
  </w:abstractNum>
  <w:abstractNum w:abstractNumId="14">
    <w:nsid w:val="542289EC"/>
    <w:multiLevelType w:val="hybridMultilevel"/>
    <w:lvl w:ilvl="0">
      <w:lvlJc w:val="left"/>
      <w:lvlText w:val="%1:"/>
      <w:numFmt w:val="upperLetter"/>
      <w:start w:val="1"/>
    </w:lvl>
  </w:abstractNum>
  <w:abstractNum w:abstractNumId="15">
    <w:nsid w:val="6DE91B18"/>
    <w:multiLevelType w:val="hybridMultilevel"/>
    <w:lvl w:ilvl="0">
      <w:lvlJc w:val="left"/>
      <w:lvlText w:val="%1:"/>
      <w:numFmt w:val="upperLetter"/>
      <w:start w:val="1"/>
    </w:lvl>
  </w:abstractNum>
  <w:abstractNum w:abstractNumId="16">
    <w:nsid w:val="38437FDB"/>
    <w:multiLevelType w:val="hybridMultilevel"/>
    <w:lvl w:ilvl="0">
      <w:lvlJc w:val="left"/>
      <w:lvlText w:val="%1:"/>
      <w:numFmt w:val="upperLetter"/>
      <w:start w:val="1"/>
    </w:lvl>
    <w:lvl w:ilvl="1">
      <w:lvlJc w:val="left"/>
      <w:lvlText w:val="•"/>
      <w:numFmt w:val="bullet"/>
      <w:start w:val="1"/>
    </w:lvl>
  </w:abstractNum>
  <w:abstractNum w:abstractNumId="17">
    <w:nsid w:val="7644A45C"/>
    <w:multiLevelType w:val="hybridMultilevel"/>
    <w:lvl w:ilvl="0">
      <w:lvlJc w:val="left"/>
      <w:lvlText w:val="%1:"/>
      <w:numFmt w:val="upperLetter"/>
      <w:start w:val="1"/>
    </w:lvl>
    <w:lvl w:ilvl="1">
      <w:lvlJc w:val="left"/>
      <w:lvlText w:val="•"/>
      <w:numFmt w:val="bullet"/>
      <w:start w:val="1"/>
    </w:lvl>
  </w:abstractNum>
  <w:abstractNum w:abstractNumId="18">
    <w:nsid w:val="32FFF902"/>
    <w:multiLevelType w:val="hybridMultilevel"/>
    <w:lvl w:ilvl="0">
      <w:lvlJc w:val="left"/>
      <w:lvlText w:val="•"/>
      <w:numFmt w:val="bullet"/>
      <w:start w:val="1"/>
    </w:lvl>
  </w:abstractNum>
  <w:abstractNum w:abstractNumId="19">
    <w:nsid w:val="684A481A"/>
    <w:multiLevelType w:val="hybridMultilevel"/>
    <w:lvl w:ilvl="0">
      <w:lvlJc w:val="left"/>
      <w:lvlText w:val="%1:"/>
      <w:numFmt w:val="upperLetter"/>
      <w:start w:val="1"/>
    </w:lvl>
  </w:abstractNum>
  <w:abstractNum w:abstractNumId="20">
    <w:nsid w:val="579478FE"/>
    <w:multiLevelType w:val="hybridMultilevel"/>
    <w:lvl w:ilvl="0">
      <w:lvlJc w:val="left"/>
      <w:lvlText w:val="%1:"/>
      <w:numFmt w:val="upperLetter"/>
      <w:start w:val="1"/>
    </w:lvl>
  </w:abstractNum>
  <w:abstractNum w:abstractNumId="21">
    <w:nsid w:val="749ABB43"/>
    <w:multiLevelType w:val="hybridMultilevel"/>
    <w:lvl w:ilvl="0">
      <w:lvlJc w:val="left"/>
      <w:lvlText w:val="%1:"/>
      <w:numFmt w:val="upperLetter"/>
      <w:start w:val="1"/>
    </w:lvl>
  </w:abstractNum>
  <w:abstractNum w:abstractNumId="22">
    <w:nsid w:val="3DC240FB"/>
    <w:multiLevelType w:val="hybridMultilevel"/>
    <w:lvl w:ilvl="0">
      <w:lvlJc w:val="left"/>
      <w:lvlText w:val="%1:"/>
      <w:numFmt w:val="upperLetter"/>
      <w:start w:val="1"/>
    </w:lvl>
  </w:abstractNum>
  <w:abstractNum w:abstractNumId="23">
    <w:nsid w:val="1BA026FA"/>
    <w:multiLevelType w:val="hybridMultilevel"/>
    <w:lvl w:ilvl="0">
      <w:lvlJc w:val="left"/>
      <w:lvlText w:val="%1:"/>
      <w:numFmt w:val="upperLetter"/>
      <w:start w:val="1"/>
    </w:lvl>
    <w:lvl w:ilvl="1">
      <w:lvlJc w:val="left"/>
      <w:lvlText w:val="•"/>
      <w:numFmt w:val="bullet"/>
      <w:start w:val="1"/>
    </w:lvl>
  </w:abstractNum>
  <w:abstractNum w:abstractNumId="24">
    <w:nsid w:val="79A1DEAA"/>
    <w:multiLevelType w:val="hybridMultilevel"/>
    <w:lvl w:ilvl="0">
      <w:lvlJc w:val="left"/>
      <w:lvlText w:val="%1:"/>
      <w:numFmt w:val="upperLetter"/>
      <w:start w:val="1"/>
    </w:lvl>
  </w:abstractNum>
  <w:abstractNum w:abstractNumId="25">
    <w:nsid w:val="75C6C33A"/>
    <w:multiLevelType w:val="hybridMultilevel"/>
    <w:lvl w:ilvl="0">
      <w:lvlJc w:val="left"/>
      <w:lvlText w:val="%1:"/>
      <w:numFmt w:val="upperLetter"/>
      <w:start w:val="17"/>
    </w:lvl>
  </w:abstractNum>
  <w:abstractNum w:abstractNumId="26">
    <w:nsid w:val="12E685FB"/>
    <w:multiLevelType w:val="hybridMultilevel"/>
    <w:lvl w:ilvl="0">
      <w:lvlJc w:val="left"/>
      <w:lvlText w:val="%1:"/>
      <w:numFmt w:val="upperLetter"/>
      <w:start w:val="1"/>
    </w:lvl>
  </w:abstractNum>
  <w:abstractNum w:abstractNumId="27">
    <w:nsid w:val="70C6A529"/>
    <w:multiLevelType w:val="hybridMultilevel"/>
    <w:lvl w:ilvl="0">
      <w:lvlJc w:val="left"/>
      <w:lvlText w:val="%1:"/>
      <w:numFmt w:val="upperLetter"/>
      <w:start w:val="1"/>
    </w:lvl>
  </w:abstractNum>
  <w:abstractNum w:abstractNumId="28">
    <w:nsid w:val="520EEDD1"/>
    <w:multiLevelType w:val="hybridMultilevel"/>
    <w:lvl w:ilvl="0">
      <w:lvlJc w:val="left"/>
      <w:lvlText w:val="•"/>
      <w:numFmt w:val="bullet"/>
      <w:start w:val="1"/>
    </w:lvl>
  </w:abstractNum>
  <w:abstractNum w:abstractNumId="29">
    <w:nsid w:val="374A3FE6"/>
    <w:multiLevelType w:val="hybridMultilevel"/>
    <w:lvl w:ilvl="0">
      <w:lvlJc w:val="left"/>
      <w:lvlText w:val="•"/>
      <w:numFmt w:val="bullet"/>
      <w:start w:val="1"/>
    </w:lvl>
  </w:abstractNum>
  <w:abstractNum w:abstractNumId="30">
    <w:nsid w:val="4F4EF005"/>
    <w:multiLevelType w:val="hybridMultilevel"/>
    <w:lvl w:ilvl="0">
      <w:lvlJc w:val="left"/>
      <w:lvlText w:val="•"/>
      <w:numFmt w:val="bullet"/>
      <w:start w:val="1"/>
    </w:lvl>
  </w:abstractNum>
  <w:abstractNum w:abstractNumId="31">
    <w:nsid w:val="23F9C13C"/>
    <w:multiLevelType w:val="hybridMultilevel"/>
    <w:lvl w:ilvl="0">
      <w:lvlJc w:val="left"/>
      <w:lvlText w:val="•"/>
      <w:numFmt w:val="bullet"/>
      <w:start w:val="1"/>
    </w:lvl>
  </w:abstractNum>
  <w:abstractNum w:abstractNumId="32">
    <w:nsid w:val="649BB77C"/>
    <w:multiLevelType w:val="hybridMultilevel"/>
    <w:lvl w:ilvl="0">
      <w:lvlJc w:val="left"/>
      <w:lvlText w:val="(%1)"/>
      <w:numFmt w:val="decimal"/>
      <w:start w:val="1"/>
    </w:lvl>
  </w:abstractNum>
  <w:abstractNum w:abstractNumId="33">
    <w:nsid w:val="275AC794"/>
    <w:multiLevelType w:val="hybridMultilevel"/>
    <w:lvl w:ilvl="0">
      <w:lvlJc w:val="left"/>
      <w:lvlText w:val="•"/>
      <w:numFmt w:val="bullet"/>
      <w:start w:val="1"/>
    </w:lvl>
  </w:abstractNum>
  <w:abstractNum w:abstractNumId="34">
    <w:nsid w:val="39386575"/>
    <w:multiLevelType w:val="hybridMultilevel"/>
    <w:lvl w:ilvl="0">
      <w:lvlJc w:val="left"/>
      <w:lvlText w:val="•"/>
      <w:numFmt w:val="bullet"/>
      <w:start w:val="1"/>
    </w:lvl>
  </w:abstractNum>
  <w:abstractNum w:abstractNumId="35">
    <w:nsid w:val="1CF10FD8"/>
    <w:multiLevelType w:val="hybridMultilevel"/>
    <w:lvl w:ilvl="0">
      <w:lvlJc w:val="left"/>
      <w:lvlText w:val="•"/>
      <w:numFmt w:val="bullet"/>
      <w:start w:val="1"/>
    </w:lvl>
  </w:abstractNum>
  <w:abstractNum w:abstractNumId="36">
    <w:nsid w:val="180115BE"/>
    <w:multiLevelType w:val="hybridMultilevel"/>
    <w:lvl w:ilvl="0">
      <w:lvlJc w:val="left"/>
      <w:lvlText w:val="•"/>
      <w:numFmt w:val="bullet"/>
      <w:start w:val="1"/>
    </w:lvl>
  </w:abstractNum>
  <w:abstractNum w:abstractNumId="37">
    <w:nsid w:val="235BA861"/>
    <w:multiLevelType w:val="hybridMultilevel"/>
    <w:lvl w:ilvl="0">
      <w:lvlJc w:val="left"/>
      <w:lvlText w:val="•"/>
      <w:numFmt w:val="bullet"/>
      <w:start w:val="1"/>
    </w:lvl>
  </w:abstractNum>
  <w:abstractNum w:abstractNumId="38">
    <w:nsid w:val="47398C89"/>
    <w:multiLevelType w:val="hybridMultilevel"/>
    <w:lvl w:ilvl="0">
      <w:lvlJc w:val="left"/>
      <w:lvlText w:val="•"/>
      <w:numFmt w:val="bullet"/>
      <w:start w:val="1"/>
    </w:lvl>
  </w:abstractNum>
  <w:abstractNum w:abstractNumId="39">
    <w:nsid w:val="354FE9F9"/>
    <w:multiLevelType w:val="hybridMultilevel"/>
    <w:lvl w:ilvl="0">
      <w:lvlJc w:val="left"/>
      <w:lvlText w:val="•"/>
      <w:numFmt w:val="bullet"/>
      <w:start w:val="1"/>
    </w:lvl>
    <w:lvl w:ilvl="1">
      <w:lvlJc w:val="left"/>
      <w:lvlText w:val="○"/>
      <w:numFmt w:val="bullet"/>
      <w:start w:val="1"/>
    </w:lvl>
  </w:abstractNum>
  <w:abstractNum w:abstractNumId="40">
    <w:nsid w:val="15B5AF5C"/>
    <w:multiLevelType w:val="hybridMultilevel"/>
    <w:lvl w:ilvl="0">
      <w:lvlJc w:val="left"/>
      <w:lvlText w:val="•"/>
      <w:numFmt w:val="bullet"/>
      <w:start w:val="1"/>
    </w:lvl>
  </w:abstractNum>
  <w:abstractNum w:abstractNumId="41">
    <w:nsid w:val="741226BB"/>
    <w:multiLevelType w:val="hybridMultilevel"/>
    <w:lvl w:ilvl="0">
      <w:lvlJc w:val="left"/>
      <w:lvlText w:val="•"/>
      <w:numFmt w:val="bullet"/>
      <w:start w:val="1"/>
    </w:lvl>
  </w:abstractNum>
  <w:abstractNum w:abstractNumId="42">
    <w:nsid w:val="D34B6A8"/>
    <w:multiLevelType w:val="hybridMultilevel"/>
    <w:lvl w:ilvl="0">
      <w:lvlJc w:val="left"/>
      <w:lvlText w:val="•"/>
      <w:numFmt w:val="bullet"/>
      <w:start w:val="1"/>
    </w:lvl>
  </w:abstractNum>
  <w:abstractNum w:abstractNumId="43">
    <w:nsid w:val="10233C99"/>
    <w:multiLevelType w:val="hybridMultilevel"/>
    <w:lvl w:ilvl="0">
      <w:lvlJc w:val="left"/>
      <w:lvlText w:val="•"/>
      <w:numFmt w:val="bullet"/>
      <w:start w:val="1"/>
    </w:lvl>
  </w:abstractNum>
  <w:abstractNum w:abstractNumId="44">
    <w:nsid w:val="3F6AB60F"/>
    <w:multiLevelType w:val="hybridMultilevel"/>
    <w:lvl w:ilvl="0">
      <w:lvlJc w:val="left"/>
      <w:lvlText w:val="•"/>
      <w:numFmt w:val="bullet"/>
      <w:start w:val="1"/>
    </w:lvl>
  </w:abstractNum>
  <w:abstractNum w:abstractNumId="45">
    <w:nsid w:val="61574095"/>
    <w:multiLevelType w:val="hybridMultilevel"/>
    <w:lvl w:ilvl="0">
      <w:lvlJc w:val="left"/>
      <w:lvlText w:val="•"/>
      <w:numFmt w:val="bullet"/>
      <w:start w:val="1"/>
    </w:lvl>
    <w:lvl w:ilvl="1">
      <w:lvlJc w:val="left"/>
      <w:lvlText w:val="○"/>
      <w:numFmt w:val="bullet"/>
      <w:start w:val="1"/>
    </w:lvl>
  </w:abstractNum>
  <w:abstractNum w:abstractNumId="46">
    <w:nsid w:val="7E0C57B1"/>
    <w:multiLevelType w:val="hybridMultilevel"/>
    <w:lvl w:ilvl="0">
      <w:lvlJc w:val="left"/>
      <w:lvlText w:val="•"/>
      <w:numFmt w:val="bullet"/>
      <w:start w:val="1"/>
    </w:lvl>
  </w:abstractNum>
  <w:abstractNum w:abstractNumId="47">
    <w:nsid w:val="77AE35EB"/>
    <w:multiLevelType w:val="hybridMultilevel"/>
    <w:lvl w:ilvl="0">
      <w:lvlJc w:val="left"/>
      <w:lvlText w:val="•"/>
      <w:numFmt w:val="bullet"/>
      <w:start w:val="1"/>
    </w:lvl>
  </w:abstractNum>
  <w:abstractNum w:abstractNumId="48">
    <w:nsid w:val="579BE4F1"/>
    <w:multiLevelType w:val="hybridMultilevel"/>
    <w:lvl w:ilvl="0">
      <w:lvlJc w:val="left"/>
      <w:lvlText w:val="•"/>
      <w:numFmt w:val="bullet"/>
      <w:start w:val="1"/>
    </w:lvl>
  </w:abstractNum>
  <w:abstractNum w:abstractNumId="49">
    <w:nsid w:val="310C50B3"/>
    <w:multiLevelType w:val="hybridMultilevel"/>
    <w:lvl w:ilvl="0">
      <w:lvlJc w:val="left"/>
      <w:lvlText w:val="•"/>
      <w:numFmt w:val="bullet"/>
      <w:start w:val="1"/>
    </w:lvl>
  </w:abstractNum>
  <w:abstractNum w:abstractNumId="50">
    <w:nsid w:val="5FF87E05"/>
    <w:multiLevelType w:val="hybridMultilevel"/>
    <w:lvl w:ilvl="0">
      <w:lvlJc w:val="left"/>
      <w:lvlText w:val="•"/>
      <w:numFmt w:val="bullet"/>
      <w:start w:val="1"/>
    </w:lvl>
  </w:abstractNum>
  <w:abstractNum w:abstractNumId="51">
    <w:nsid w:val="2F305DEF"/>
    <w:multiLevelType w:val="hybridMultilevel"/>
    <w:lvl w:ilvl="0">
      <w:lvlJc w:val="left"/>
      <w:lvlText w:val="*"/>
      <w:numFmt w:val="bullet"/>
      <w:start w:val="1"/>
    </w:lvl>
  </w:abstractNum>
  <w:abstractNum w:abstractNumId="52">
    <w:nsid w:val="25A70BF7"/>
    <w:multiLevelType w:val="hybridMultilevel"/>
    <w:lvl w:ilvl="0">
      <w:lvlJc w:val="left"/>
      <w:lvlText w:val="(%1)"/>
      <w:numFmt w:val="decimal"/>
      <w:start w:val="1"/>
    </w:lvl>
  </w:abstractNum>
  <w:abstractNum w:abstractNumId="53">
    <w:nsid w:val="1DBABF00"/>
    <w:multiLevelType w:val="hybridMultilevel"/>
    <w:lvl w:ilvl="0">
      <w:lvlJc w:val="left"/>
      <w:lvlText w:val="(%1)"/>
      <w:numFmt w:val="decimal"/>
      <w:start w:val="7"/>
    </w:lvl>
  </w:abstractNum>
  <w:abstractNum w:abstractNumId="54">
    <w:nsid w:val="4AD084E9"/>
    <w:multiLevelType w:val="hybridMultilevel"/>
    <w:lvl w:ilvl="0">
      <w:lvlJc w:val="left"/>
      <w:lvlText w:val="(%1)"/>
      <w:numFmt w:val="decimal"/>
      <w:start w:val="1"/>
    </w:lvl>
  </w:abstractNum>
  <w:abstractNum w:abstractNumId="55">
    <w:nsid w:val="1F48EAA1"/>
    <w:multiLevelType w:val="hybridMultilevel"/>
    <w:lvl w:ilvl="0">
      <w:lvlJc w:val="left"/>
      <w:lvlText w:val="•"/>
      <w:numFmt w:val="bullet"/>
      <w:start w:val="1"/>
    </w:lvl>
  </w:abstractNum>
  <w:abstractNum w:abstractNumId="56">
    <w:nsid w:val="1381823A"/>
    <w:multiLevelType w:val="hybridMultilevel"/>
    <w:lvl w:ilvl="0">
      <w:lvlJc w:val="left"/>
      <w:lvlText w:val="(%1)"/>
      <w:numFmt w:val="decimal"/>
      <w:start w:val="1"/>
    </w:lvl>
  </w:abstractNum>
  <w:abstractNum w:abstractNumId="57">
    <w:nsid w:val="5DB70AE5"/>
    <w:multiLevelType w:val="hybridMultilevel"/>
    <w:lvl w:ilvl="0">
      <w:lvlJc w:val="left"/>
      <w:lvlText w:val="(%1)"/>
      <w:numFmt w:val="decimal"/>
      <w:start w:val="1"/>
    </w:lvl>
  </w:abstractNum>
  <w:abstractNum w:abstractNumId="58">
    <w:nsid w:val="100F8FCA"/>
    <w:multiLevelType w:val="hybridMultilevel"/>
    <w:lvl w:ilvl="0">
      <w:lvlJc w:val="left"/>
      <w:lvlText w:val="(%1)"/>
      <w:numFmt w:val="decimal"/>
      <w:start w:val="1"/>
    </w:lvl>
  </w:abstractNum>
  <w:abstractNum w:abstractNumId="59">
    <w:nsid w:val="6590700B"/>
    <w:multiLevelType w:val="hybridMultilevel"/>
    <w:lvl w:ilvl="0">
      <w:lvlJc w:val="left"/>
      <w:lvlText w:val="(%1)"/>
      <w:numFmt w:val="decimal"/>
      <w:start w:val="1"/>
    </w:lvl>
  </w:abstractNum>
  <w:abstractNum w:abstractNumId="60">
    <w:nsid w:val="15014ACB"/>
    <w:multiLevelType w:val="hybridMultilevel"/>
    <w:lvl w:ilvl="0">
      <w:lvlJc w:val="left"/>
      <w:lvlText w:val="•"/>
      <w:numFmt w:val="bullet"/>
      <w:start w:val="1"/>
    </w:lvl>
  </w:abstractNum>
  <w:abstractNum w:abstractNumId="61">
    <w:nsid w:val="5F5E7FD0"/>
    <w:multiLevelType w:val="hybridMultilevel"/>
    <w:lvl w:ilvl="0">
      <w:lvlJc w:val="left"/>
      <w:lvlText w:val="%1."/>
      <w:numFmt w:val="decimal"/>
      <w:start w:val="1"/>
    </w:lvl>
  </w:abstractNum>
  <w:abstractNum w:abstractNumId="62">
    <w:nsid w:val="98A3148"/>
    <w:multiLevelType w:val="hybridMultilevel"/>
    <w:lvl w:ilvl="0">
      <w:lvlJc w:val="left"/>
      <w:lvlText w:val="•"/>
      <w:numFmt w:val="bullet"/>
      <w:start w:val="1"/>
    </w:lvl>
  </w:abstractNum>
  <w:abstractNum w:abstractNumId="63">
    <w:nsid w:val="799D0247"/>
    <w:multiLevelType w:val="hybridMultilevel"/>
    <w:lvl w:ilvl="0">
      <w:lvlJc w:val="left"/>
      <w:lvlText w:val="•"/>
      <w:numFmt w:val="bullet"/>
      <w:start w:val="1"/>
    </w:lvl>
  </w:abstractNum>
  <w:abstractNum w:abstractNumId="64">
    <w:nsid w:val="6B94764"/>
    <w:multiLevelType w:val="hybridMultilevel"/>
    <w:lvl w:ilvl="0">
      <w:lvlJc w:val="left"/>
      <w:lvlText w:val="•"/>
      <w:numFmt w:val="bullet"/>
      <w:start w:val="1"/>
    </w:lvl>
  </w:abstractNum>
  <w:abstractNum w:abstractNumId="65">
    <w:nsid w:val="42C296BD"/>
    <w:multiLevelType w:val="hybridMultilevel"/>
    <w:lvl w:ilvl="0">
      <w:lvlJc w:val="left"/>
      <w:lvlText w:val="•"/>
      <w:numFmt w:val="bullet"/>
      <w:start w:val="1"/>
    </w:lvl>
  </w:abstractNum>
  <w:abstractNum w:abstractNumId="66">
    <w:nsid w:val="168E121F"/>
    <w:multiLevelType w:val="hybridMultilevel"/>
    <w:lvl w:ilvl="0">
      <w:lvlJc w:val="left"/>
      <w:lvlText w:val="•"/>
      <w:numFmt w:val="bullet"/>
      <w:start w:val="1"/>
    </w:lvl>
  </w:abstractNum>
  <w:abstractNum w:abstractNumId="67">
    <w:nsid w:val="1EBA5D23"/>
    <w:multiLevelType w:val="hybridMultilevel"/>
    <w:lvl w:ilvl="0">
      <w:lvlJc w:val="left"/>
      <w:lvlText w:val="•"/>
      <w:numFmt w:val="bullet"/>
      <w:start w:val="1"/>
    </w:lvl>
  </w:abstractNum>
  <w:abstractNum w:abstractNumId="68">
    <w:nsid w:val="661E3F1E"/>
    <w:multiLevelType w:val="hybridMultilevel"/>
    <w:lvl w:ilvl="0">
      <w:lvlJc w:val="left"/>
      <w:lvlText w:val="•"/>
      <w:numFmt w:val="bullet"/>
      <w:start w:val="1"/>
    </w:lvl>
  </w:abstractNum>
  <w:abstractNum w:abstractNumId="69">
    <w:nsid w:val="5DC79EA8"/>
    <w:multiLevelType w:val="hybridMultilevel"/>
    <w:lvl w:ilvl="0">
      <w:lvlJc w:val="left"/>
      <w:lvlText w:val="(%1)"/>
      <w:numFmt w:val="lowerRoman"/>
      <w:start w:val="1"/>
    </w:lvl>
  </w:abstractNum>
  <w:abstractNum w:abstractNumId="70">
    <w:nsid w:val="540A471C"/>
    <w:multiLevelType w:val="hybridMultilevel"/>
    <w:lvl w:ilvl="0">
      <w:lvlJc w:val="left"/>
      <w:lvlText w:val="•"/>
      <w:numFmt w:val="bullet"/>
      <w:start w:val="1"/>
    </w:lvl>
  </w:abstractNum>
  <w:abstractNum w:abstractNumId="71">
    <w:nsid w:val="7BD3EE7B"/>
    <w:multiLevelType w:val="hybridMultilevel"/>
    <w:lvl w:ilvl="0">
      <w:lvlJc w:val="left"/>
      <w:lvlText w:val="(%1)"/>
      <w:numFmt w:val="decimal"/>
      <w:start w:val="1"/>
    </w:lvl>
  </w:abstractNum>
  <w:abstractNum w:abstractNumId="72">
    <w:nsid w:val="51D9C564"/>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73">
    <w:nsid w:val="613EFDC5"/>
    <w:multiLevelType w:val="hybridMultilevel"/>
    <w:lvl w:ilvl="0">
      <w:lvlJc w:val="left"/>
      <w:lvlText w:val="(%1)"/>
      <w:numFmt w:val="lowerLetter"/>
      <w:start w:val="3"/>
    </w:lvl>
    <w:lvl w:ilvl="1">
      <w:lvlJc w:val="left"/>
      <w:lvlText w:val="*"/>
      <w:numFmt w:val="bullet"/>
      <w:start w:val="1"/>
    </w:lvl>
  </w:abstractNum>
  <w:abstractNum w:abstractNumId="74">
    <w:nsid w:val="BF72B14"/>
    <w:multiLevelType w:val="hybridMultilevel"/>
    <w:lvl w:ilvl="0">
      <w:lvlJc w:val="left"/>
      <w:lvlText w:val="*"/>
      <w:numFmt w:val="bullet"/>
      <w:start w:val="1"/>
    </w:lvl>
    <w:lvl w:ilvl="1">
      <w:lvlJc w:val="left"/>
      <w:lvlText w:val="(%2)"/>
      <w:numFmt w:val="lowerRoman"/>
      <w:start w:val="2"/>
    </w:lvl>
    <w:lvl w:ilvl="2">
      <w:lvlJc w:val="left"/>
      <w:lvlText w:val="(%3)"/>
      <w:numFmt w:val="upperLetter"/>
      <w:start w:val="1"/>
    </w:lvl>
  </w:abstractNum>
  <w:abstractNum w:abstractNumId="75">
    <w:nsid w:val="11447B73"/>
    <w:multiLevelType w:val="hybridMultilevel"/>
    <w:lvl w:ilvl="0">
      <w:lvlJc w:val="left"/>
      <w:lvlText w:val="%1."/>
      <w:numFmt w:val="decimal"/>
      <w:start w:val="1"/>
    </w:lvl>
  </w:abstractNum>
  <w:abstractNum w:abstractNumId="76">
    <w:nsid w:val="42963E5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77">
    <w:nsid w:val="A0382C5"/>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2021-04-13T16:28:47Z</dcterms:created>
  <dcterms:modified xsi:type="dcterms:W3CDTF">2021-04-13T16:28:47Z</dcterms:modified>
</cp:coreProperties>
</file>