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46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464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Fufa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01/31/2018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33,334</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0.75</w:t>
            </w: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106,668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01/31/2018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(2)</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22,915</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129,583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0"/>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33,334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right="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0.75</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01/31/2018</w:t>
            </w:r>
          </w:p>
        </w:tc>
        <w:tc>
          <w:tcPr>
            <w:tcW w:w="11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33,334</w:t>
            </w: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05/01/2021</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98"/>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110"/>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7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0"/>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22,915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right="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01/31/2018</w:t>
            </w:r>
          </w:p>
        </w:tc>
        <w:tc>
          <w:tcPr>
            <w:tcW w:w="11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22,915</w:t>
            </w: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05/01/2025</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10,419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110"/>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31, 2018, the reporting person exercised previously issued stock options to purchase 33,334 shares of Class A Common Stock of the Issuer.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31, 2018, the reporting person exercised previously issued stock options to purchase 22,915 shares of Class A Common Stock of the Issuer.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was fully vested and exercisable.</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8,333 shares on May 1, 2016 and the remaining 25,001 shares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Marketing of ACM Research (Shanghai), Inc., a subsidiary of the Issuer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05/17/2018</w:t>
            </w: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Arial" w:cs="Arial" w:eastAsia="Arial" w:hAnsi="Arial"/>
                <w:sz w:val="17"/>
                <w:szCs w:val="17"/>
                <w:color w:val="0000FF"/>
                <w:w w:val="93"/>
              </w:rPr>
              <w:t>in-Fact for Fufa Chen</w:t>
            </w:r>
          </w:p>
        </w:tc>
        <w:tc>
          <w:tcPr>
            <w:tcW w:w="7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376"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2019-12-08T15:14:52Z</dcterms:created>
  <dcterms:modified xsi:type="dcterms:W3CDTF">2019-12-08T15:14:52Z</dcterms:modified>
</cp:coreProperties>
</file>