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8384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38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3760" w:space="14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774,018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766,756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45,837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620,001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-2063750</wp:posOffset>
            </wp:positionV>
            <wp:extent cx="28575" cy="1398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-367665</wp:posOffset>
            </wp:positionV>
            <wp:extent cx="28575" cy="3727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7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9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November 14, 2024, the reporting person exercised, by net exercise, a previously issued stock option to purchase 270,000 shares of Class A Common Stock of the Issuer. The reporting person paid the exercise price on a cashless basis, resulting in the Issuer withholding 7,262 shares of Class A Common Stock for payment of the exercise price, based on the closing price of the Issuer's Class A Common Stock on</w:t>
      </w:r>
    </w:p>
    <w:p>
      <w:pPr>
        <w:sectPr>
          <w:pgSz w:w="11900" w:h="1694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November 13, 2024 of $18.59, and issuing to the reporting person the remaining 262,738 shares of Class A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option is fully vested and exercisable.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McKechnie,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-3175</wp:posOffset>
            </wp:positionV>
            <wp:extent cx="13296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-17780</wp:posOffset>
            </wp:positionV>
            <wp:extent cx="11258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434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20"/>
            <w:col w:w="1199"/>
          </w:cols>
          <w:pgMar w:left="500" w:top="127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2024-11-18T15:34:25Z</dcterms:created>
  <dcterms:modified xsi:type="dcterms:W3CDTF">2024-11-18T15:34:25Z</dcterms:modified>
</cp:coreProperties>
</file>