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13, 2023</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(State or Other</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i w:val="1"/>
          <w:iCs w:val="1"/>
          <w:color w:val="auto"/>
        </w:rPr>
        <w:t>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i w:val="1"/>
          <w:iCs w:val="1"/>
          <w:color w:val="auto"/>
        </w:rPr>
        <w:t>(Commission</w:t>
      </w:r>
    </w:p>
    <w:p>
      <w:pPr>
        <w:spacing w:after="0" w:line="9"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i w:val="1"/>
          <w:i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i w:val="1"/>
          <w:iCs w:val="1"/>
          <w:color w:val="auto"/>
        </w:rPr>
        <w:t>Identification No.)</w:t>
      </w:r>
    </w:p>
    <w:p>
      <w:pPr>
        <w:spacing w:after="0" w:line="200" w:lineRule="exact"/>
        <w:rPr>
          <w:sz w:val="24"/>
          <w:szCs w:val="24"/>
          <w:color w:val="auto"/>
        </w:rPr>
      </w:pPr>
    </w:p>
    <w:p>
      <w:pPr>
        <w:sectPr>
          <w:pgSz w:w="11900" w:h="16838" w:orient="portrait"/>
          <w:cols w:equalWidth="0" w:num="3">
            <w:col w:w="4380" w:space="720"/>
            <w:col w:w="2880" w:space="720"/>
            <w:col w:w="254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ACMR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w:t>
      </w:r>
    </w:p>
    <w:p>
      <w:pPr>
        <w:spacing w:after="0" w:line="22" w:lineRule="exact"/>
        <w:rPr>
          <w:sz w:val="24"/>
          <w:szCs w:val="24"/>
          <w:color w:val="auto"/>
        </w:rPr>
      </w:pPr>
    </w:p>
    <w:p>
      <w:pPr>
        <w:spacing w:after="0" w:line="207" w:lineRule="exact"/>
        <w:tabs>
          <w:tab w:leader="none" w:pos="5020" w:val="left"/>
        </w:tabs>
        <w:rPr>
          <w:sz w:val="20"/>
          <w:szCs w:val="20"/>
          <w:color w:val="auto"/>
        </w:rPr>
      </w:pPr>
      <w:r>
        <w:rPr>
          <w:rFonts w:ascii="Times New Roman" w:cs="Times New Roman" w:eastAsia="Times New Roman" w:hAnsi="Times New Roman"/>
          <w:sz w:val="18"/>
          <w:szCs w:val="18"/>
          <w:color w:val="auto"/>
        </w:rPr>
        <w:t>Securities Exchange Act of 1934:</w:t>
      </w:r>
      <w:r>
        <w:rPr>
          <w:sz w:val="20"/>
          <w:szCs w:val="20"/>
          <w:color w:val="auto"/>
        </w:rPr>
        <w:tab/>
      </w: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of our operating subsidiary ACM Research (Shanghai), Inc. (“ACM Shanghai”) are listed on the Sci-Tech innovation board (the “STAR Market”) of the Shanghai Stock Exchange (the “SSE”). In accordance with the SSE’s rules governing the STAR Market, ACM Shanghai filed with the SSE a Record of November 2023 Investor Relations Activity (the “Record”). The SSE posted the Record to the SSE’s website on November 13, 2023. A copy of the Record is attached as Exhibit 99.1 hereto.</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14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1080" w:right="20" w:hanging="843"/>
        <w:spacing w:after="0" w:line="282" w:lineRule="auto"/>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color w:val="auto"/>
        </w:rPr>
        <w:t>Record of November 2023 Investor Relations Activity filed by ACM Research (Shanghai), Inc. with the Shanghai Stock Exchange on November 13, 2023</w:t>
      </w:r>
    </w:p>
    <w:p>
      <w:pPr>
        <w:spacing w:after="0" w:line="162" w:lineRule="exact"/>
        <w:rPr>
          <w:sz w:val="20"/>
          <w:szCs w:val="20"/>
          <w:color w:val="auto"/>
        </w:rPr>
      </w:pPr>
    </w:p>
    <w:p>
      <w:pPr>
        <w:ind w:right="4860" w:firstLine="298"/>
        <w:spacing w:after="0" w:line="578" w:lineRule="auto"/>
        <w:tabs>
          <w:tab w:leader="none" w:pos="1066"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XBRL document) * Unofficial English translation of original document prepared in Mandarin Chinese.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8, 2023</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8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w w:val="98"/>
              </w:rPr>
              <w:t>Exhibit 99.1</w:t>
            </w:r>
          </w:p>
        </w:tc>
        <w:tc>
          <w:tcPr>
            <w:tcW w:w="0" w:type="dxa"/>
            <w:vAlign w:val="bottom"/>
          </w:tcPr>
          <w:p>
            <w:pPr>
              <w:spacing w:after="0"/>
              <w:rPr>
                <w:sz w:val="1"/>
                <w:szCs w:val="1"/>
                <w:color w:val="auto"/>
              </w:rPr>
            </w:pPr>
          </w:p>
        </w:tc>
      </w:tr>
      <w:tr>
        <w:trPr>
          <w:trHeight w:val="432"/>
        </w:trPr>
        <w:tc>
          <w:tcPr>
            <w:tcW w:w="1960" w:type="dxa"/>
            <w:vAlign w:val="bottom"/>
          </w:tcPr>
          <w:p>
            <w:pPr>
              <w:spacing w:after="0"/>
              <w:rPr>
                <w:sz w:val="24"/>
                <w:szCs w:val="24"/>
                <w:color w:val="auto"/>
              </w:rPr>
            </w:pPr>
          </w:p>
        </w:tc>
        <w:tc>
          <w:tcPr>
            <w:tcW w:w="4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Stock Code: 688082</w:t>
            </w:r>
          </w:p>
        </w:tc>
        <w:tc>
          <w:tcPr>
            <w:tcW w:w="780" w:type="dxa"/>
            <w:vAlign w:val="bottom"/>
          </w:tcPr>
          <w:p>
            <w:pPr>
              <w:spacing w:after="0"/>
              <w:rPr>
                <w:sz w:val="24"/>
                <w:szCs w:val="24"/>
                <w:color w:val="auto"/>
              </w:rPr>
            </w:pPr>
          </w:p>
        </w:tc>
        <w:tc>
          <w:tcPr>
            <w:tcW w:w="37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Short Name: ACMSH</w:t>
            </w:r>
          </w:p>
        </w:tc>
        <w:tc>
          <w:tcPr>
            <w:tcW w:w="0" w:type="dxa"/>
            <w:vAlign w:val="bottom"/>
          </w:tcPr>
          <w:p>
            <w:pPr>
              <w:spacing w:after="0"/>
              <w:rPr>
                <w:sz w:val="1"/>
                <w:szCs w:val="1"/>
                <w:color w:val="auto"/>
              </w:rPr>
            </w:pPr>
          </w:p>
        </w:tc>
      </w:tr>
      <w:tr>
        <w:trPr>
          <w:trHeight w:val="432"/>
        </w:trPr>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80" w:type="dxa"/>
            <w:vAlign w:val="bottom"/>
            <w:gridSpan w:val="5"/>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ACM Research (Shanghai), Inc.</w:t>
            </w:r>
          </w:p>
        </w:tc>
        <w:tc>
          <w:tcPr>
            <w:tcW w:w="0" w:type="dxa"/>
            <w:vAlign w:val="bottom"/>
          </w:tcPr>
          <w:p>
            <w:pPr>
              <w:spacing w:after="0"/>
              <w:rPr>
                <w:sz w:val="1"/>
                <w:szCs w:val="1"/>
                <w:color w:val="auto"/>
              </w:rPr>
            </w:pPr>
          </w:p>
        </w:tc>
      </w:tr>
      <w:tr>
        <w:trPr>
          <w:trHeight w:val="432"/>
        </w:trPr>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80" w:type="dxa"/>
            <w:vAlign w:val="bottom"/>
            <w:gridSpan w:val="5"/>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Record of Investor Relations Activities</w:t>
            </w:r>
          </w:p>
        </w:tc>
        <w:tc>
          <w:tcPr>
            <w:tcW w:w="0" w:type="dxa"/>
            <w:vAlign w:val="bottom"/>
          </w:tcPr>
          <w:p>
            <w:pPr>
              <w:spacing w:after="0"/>
              <w:rPr>
                <w:sz w:val="1"/>
                <w:szCs w:val="1"/>
                <w:color w:val="auto"/>
              </w:rPr>
            </w:pPr>
          </w:p>
        </w:tc>
      </w:tr>
      <w:tr>
        <w:trPr>
          <w:trHeight w:val="432"/>
        </w:trPr>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4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8"/>
              </w:rPr>
              <w:t>No.: 2023-04</w:t>
            </w: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9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ind w:left="140"/>
              <w:spacing w:after="0" w:line="162" w:lineRule="exact"/>
              <w:rPr>
                <w:sz w:val="20"/>
                <w:szCs w:val="20"/>
                <w:color w:val="auto"/>
              </w:rPr>
            </w:pPr>
            <w:r>
              <w:rPr>
                <w:rFonts w:ascii="Times New Roman" w:cs="Times New Roman" w:eastAsia="Times New Roman" w:hAnsi="Times New Roman"/>
                <w:sz w:val="18"/>
                <w:szCs w:val="18"/>
                <w:b w:val="1"/>
                <w:bCs w:val="1"/>
                <w:color w:val="auto"/>
              </w:rPr>
              <w:t>Categories of investor</w:t>
            </w:r>
          </w:p>
        </w:tc>
        <w:tc>
          <w:tcPr>
            <w:tcW w:w="320" w:type="dxa"/>
            <w:vAlign w:val="bottom"/>
            <w:tcBorders>
              <w:right w:val="single" w:sz="8" w:color="auto"/>
            </w:tcBorders>
          </w:tcPr>
          <w:p>
            <w:pPr>
              <w:spacing w:after="0"/>
              <w:rPr>
                <w:sz w:val="14"/>
                <w:szCs w:val="14"/>
                <w:color w:val="auto"/>
              </w:rPr>
            </w:pPr>
          </w:p>
        </w:tc>
        <w:tc>
          <w:tcPr>
            <w:tcW w:w="4440" w:type="dxa"/>
            <w:vAlign w:val="bottom"/>
          </w:tcPr>
          <w:p>
            <w:pPr>
              <w:ind w:left="120"/>
              <w:spacing w:after="0" w:line="162"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Specific object survey</w:t>
            </w:r>
          </w:p>
        </w:tc>
        <w:tc>
          <w:tcPr>
            <w:tcW w:w="4520" w:type="dxa"/>
            <w:vAlign w:val="bottom"/>
            <w:tcBorders>
              <w:right w:val="single" w:sz="8" w:color="auto"/>
            </w:tcBorders>
            <w:gridSpan w:val="3"/>
          </w:tcPr>
          <w:p>
            <w:pPr>
              <w:ind w:left="40"/>
              <w:spacing w:after="0" w:line="162"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Analyst meeting</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relations activities</w:t>
            </w:r>
          </w:p>
        </w:tc>
        <w:tc>
          <w:tcPr>
            <w:tcW w:w="320" w:type="dxa"/>
            <w:vAlign w:val="bottom"/>
            <w:tcBorders>
              <w:right w:val="single" w:sz="8" w:color="auto"/>
            </w:tcBorders>
          </w:tcPr>
          <w:p>
            <w:pPr>
              <w:spacing w:after="0"/>
              <w:rPr>
                <w:sz w:val="18"/>
                <w:szCs w:val="18"/>
                <w:color w:val="auto"/>
              </w:rPr>
            </w:pPr>
          </w:p>
        </w:tc>
        <w:tc>
          <w:tcPr>
            <w:tcW w:w="444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Media interview</w:t>
            </w:r>
          </w:p>
        </w:tc>
        <w:tc>
          <w:tcPr>
            <w:tcW w:w="4520" w:type="dxa"/>
            <w:vAlign w:val="bottom"/>
            <w:tcBorders>
              <w:right w:val="single" w:sz="8" w:color="auto"/>
            </w:tcBorders>
            <w:gridSpan w:val="3"/>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Performance briefing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444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Press conference</w:t>
            </w:r>
          </w:p>
        </w:tc>
        <w:tc>
          <w:tcPr>
            <w:tcW w:w="4520" w:type="dxa"/>
            <w:vAlign w:val="bottom"/>
            <w:tcBorders>
              <w:right w:val="single" w:sz="8" w:color="auto"/>
            </w:tcBorders>
            <w:gridSpan w:val="3"/>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Roadshow</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60" w:type="dxa"/>
            <w:vAlign w:val="bottom"/>
            <w:tcBorders>
              <w:left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444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Site visit</w:t>
            </w:r>
          </w:p>
        </w:tc>
        <w:tc>
          <w:tcPr>
            <w:tcW w:w="4520" w:type="dxa"/>
            <w:vAlign w:val="bottom"/>
            <w:tcBorders>
              <w:right w:val="single" w:sz="8" w:color="auto"/>
            </w:tcBorders>
            <w:gridSpan w:val="3"/>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Others (open conference call)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96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80" w:type="dxa"/>
            <w:vAlign w:val="bottom"/>
            <w:tcBorders>
              <w:top w:val="single" w:sz="8" w:color="auto"/>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9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320" w:type="dxa"/>
            <w:vAlign w:val="bottom"/>
            <w:tcBorders>
              <w:bottom w:val="single" w:sz="8" w:color="auto"/>
              <w:right w:val="single" w:sz="8" w:color="auto"/>
            </w:tcBorders>
          </w:tcPr>
          <w:p>
            <w:pPr>
              <w:spacing w:after="0"/>
              <w:rPr>
                <w:sz w:val="19"/>
                <w:szCs w:val="19"/>
                <w:color w:val="auto"/>
              </w:rPr>
            </w:pPr>
          </w:p>
        </w:tc>
        <w:tc>
          <w:tcPr>
            <w:tcW w:w="4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November 10, 2023</w:t>
            </w:r>
          </w:p>
        </w:tc>
        <w:tc>
          <w:tcPr>
            <w:tcW w:w="7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Venue</w:t>
            </w:r>
          </w:p>
        </w:tc>
        <w:tc>
          <w:tcPr>
            <w:tcW w:w="320" w:type="dxa"/>
            <w:vAlign w:val="bottom"/>
            <w:tcBorders>
              <w:bottom w:val="single" w:sz="8" w:color="auto"/>
              <w:right w:val="single" w:sz="8" w:color="auto"/>
            </w:tcBorders>
          </w:tcPr>
          <w:p>
            <w:pPr>
              <w:spacing w:after="0"/>
              <w:rPr>
                <w:sz w:val="19"/>
                <w:szCs w:val="19"/>
                <w:color w:val="auto"/>
              </w:rPr>
            </w:pPr>
          </w:p>
        </w:tc>
        <w:tc>
          <w:tcPr>
            <w:tcW w:w="4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Conference call</w:t>
            </w:r>
          </w:p>
        </w:tc>
        <w:tc>
          <w:tcPr>
            <w:tcW w:w="7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960" w:type="dxa"/>
            <w:vAlign w:val="bottom"/>
            <w:tcBorders>
              <w:left w:val="single" w:sz="8" w:color="auto"/>
            </w:tcBorders>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Participants of the</w:t>
            </w:r>
          </w:p>
        </w:tc>
        <w:tc>
          <w:tcPr>
            <w:tcW w:w="320" w:type="dxa"/>
            <w:vAlign w:val="bottom"/>
            <w:tcBorders>
              <w:right w:val="single" w:sz="8" w:color="auto"/>
            </w:tcBorders>
          </w:tcPr>
          <w:p>
            <w:pPr>
              <w:spacing w:after="0"/>
              <w:rPr>
                <w:sz w:val="16"/>
                <w:szCs w:val="16"/>
                <w:color w:val="auto"/>
              </w:rPr>
            </w:pPr>
          </w:p>
        </w:tc>
        <w:tc>
          <w:tcPr>
            <w:tcW w:w="44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Chairman: HUI WANG</w:t>
            </w:r>
          </w:p>
        </w:tc>
        <w:tc>
          <w:tcPr>
            <w:tcW w:w="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9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listed company</w:t>
            </w:r>
          </w:p>
        </w:tc>
        <w:tc>
          <w:tcPr>
            <w:tcW w:w="320" w:type="dxa"/>
            <w:vAlign w:val="bottom"/>
            <w:tcBorders>
              <w:right w:val="single" w:sz="8" w:color="auto"/>
            </w:tcBorders>
          </w:tcPr>
          <w:p>
            <w:pPr>
              <w:spacing w:after="0"/>
              <w:rPr>
                <w:sz w:val="19"/>
                <w:szCs w:val="19"/>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Manager: JIAN WANG</w:t>
            </w: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Person in Charge of Financial Matters: LISA YI LU FENG</w:t>
            </w:r>
          </w:p>
        </w:tc>
        <w:tc>
          <w:tcPr>
            <w:tcW w:w="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6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4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Board Secretary: MINGZHU LUO</w:t>
            </w: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60" w:type="dxa"/>
            <w:vAlign w:val="bottom"/>
            <w:tcBorders>
              <w:lef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8960" w:type="dxa"/>
            <w:vAlign w:val="bottom"/>
            <w:tcBorders>
              <w:right w:val="single" w:sz="8" w:color="auto"/>
            </w:tcBorders>
            <w:gridSpan w:val="4"/>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I. Company Introduction: </w:t>
            </w:r>
            <w:r>
              <w:rPr>
                <w:rFonts w:ascii="Times New Roman" w:cs="Times New Roman" w:eastAsia="Times New Roman" w:hAnsi="Times New Roman"/>
                <w:sz w:val="18"/>
                <w:szCs w:val="18"/>
                <w:color w:val="auto"/>
              </w:rPr>
              <w:t>Leaders of ACM Research (Shanghai), Inc. (the “Company”) gave a brief introduction to 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Company’s performance and financial situation for the third quarter of 2023 and answered questions of concern from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investors.</w:t>
            </w:r>
          </w:p>
        </w:tc>
        <w:tc>
          <w:tcPr>
            <w:tcW w:w="7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6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II. Q&amp;A</w:t>
            </w: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96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8960" w:type="dxa"/>
            <w:vAlign w:val="bottom"/>
            <w:tcBorders>
              <w:right w:val="single" w:sz="8" w:color="auto"/>
            </w:tcBorders>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1. The Company disclosed that the backlog orders are showing good growth. What are the proportions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orders from large and small customers? Specifically, what is the distribution of orders in logic, storage, packaging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Summary of investor</w:t>
            </w:r>
          </w:p>
        </w:tc>
        <w:tc>
          <w:tcPr>
            <w:tcW w:w="320" w:type="dxa"/>
            <w:vAlign w:val="bottom"/>
            <w:tcBorders>
              <w:right w:val="single" w:sz="8" w:color="auto"/>
            </w:tcBorders>
          </w:tcPr>
          <w:p>
            <w:pPr>
              <w:spacing w:after="0"/>
              <w:rPr>
                <w:sz w:val="18"/>
                <w:szCs w:val="18"/>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and compound semiconductors?</w:t>
            </w:r>
          </w:p>
        </w:tc>
        <w:tc>
          <w:tcPr>
            <w:tcW w:w="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relations activities</w:t>
            </w:r>
          </w:p>
        </w:tc>
        <w:tc>
          <w:tcPr>
            <w:tcW w:w="320" w:type="dxa"/>
            <w:vAlign w:val="bottom"/>
            <w:tcBorders>
              <w:right w:val="single" w:sz="8" w:color="auto"/>
            </w:tcBorders>
          </w:tcPr>
          <w:p>
            <w:pPr>
              <w:spacing w:after="0"/>
              <w:rPr>
                <w:sz w:val="20"/>
                <w:szCs w:val="20"/>
                <w:color w:val="auto"/>
              </w:rPr>
            </w:pPr>
          </w:p>
        </w:tc>
        <w:tc>
          <w:tcPr>
            <w:tcW w:w="8960" w:type="dxa"/>
            <w:vAlign w:val="bottom"/>
            <w:tcBorders>
              <w:right w:val="single" w:sz="8" w:color="auto"/>
            </w:tcBorders>
            <w:gridSpan w:val="4"/>
            <w:vMerge w:val="restart"/>
          </w:tcPr>
          <w:p>
            <w:pPr>
              <w:ind w:left="540"/>
              <w:spacing w:after="0"/>
              <w:rPr>
                <w:sz w:val="20"/>
                <w:szCs w:val="20"/>
                <w:color w:val="auto"/>
              </w:rPr>
            </w:pPr>
            <w:r>
              <w:rPr>
                <w:rFonts w:ascii="Times New Roman" w:cs="Times New Roman" w:eastAsia="Times New Roman" w:hAnsi="Times New Roman"/>
                <w:sz w:val="18"/>
                <w:szCs w:val="18"/>
                <w:color w:val="auto"/>
              </w:rPr>
              <w:t>A: Most of our backlog orders come from large customers. The increase in backlog orders disclosed in September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60" w:type="dxa"/>
            <w:vAlign w:val="bottom"/>
            <w:tcBorders>
              <w:lef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8960" w:type="dxa"/>
            <w:vAlign w:val="bottom"/>
            <w:tcBorders>
              <w:right w:val="single" w:sz="8" w:color="auto"/>
            </w:tcBorders>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is mainly due to batch orders from leading enterprises in China. Our backlog orders essentially cover the fields of logic,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storage, packaging and compound semiconductors, with logic accounting for a relatively large proportion, storage 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certain proportion, and advanced packaging orders coming from some leading companies in China. Overall, although we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believe recent demand for the advanced packaging sector has been depressed, leading domestic packaging enterprises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are beginning to show signs of recovery, resulting in growth in our orders, with advanced packaging sales still on par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with last year’s level. In the future, we remain optimistic about the advanced packaging field and intend to continue 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6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4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contribute technologies and products to this area.</w:t>
            </w: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40"/>
          </w:cols>
          <w:pgMar w:left="320" w:top="266"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bookmarkStart w:id="4" w:name="page5"/>
    <w:bookmarkEnd w:id="4"/>
    <w:p>
      <w:pPr>
        <w:ind w:left="1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88900</wp:posOffset>
            </wp:positionV>
            <wp:extent cx="7129780" cy="2777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9780" cy="2777490"/>
                    </a:xfrm>
                    <a:prstGeom prst="rect">
                      <a:avLst/>
                    </a:prstGeom>
                    <a:noFill/>
                  </pic:spPr>
                </pic:pic>
              </a:graphicData>
            </a:graphic>
          </wp:anchor>
        </w:drawing>
        <w:t>2. What is the current progress of the Company’s PECVD equipment?</w:t>
      </w:r>
    </w:p>
    <w:p>
      <w:pPr>
        <w:spacing w:after="0" w:line="229" w:lineRule="exact"/>
        <w:rPr>
          <w:sz w:val="20"/>
          <w:szCs w:val="20"/>
          <w:color w:val="auto"/>
        </w:rPr>
      </w:pPr>
    </w:p>
    <w:p>
      <w:pPr>
        <w:jc w:val="both"/>
        <w:ind w:left="1140" w:firstLine="434"/>
        <w:spacing w:after="0" w:line="256" w:lineRule="auto"/>
        <w:tabs>
          <w:tab w:leader="none" w:pos="184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PECVD equipment team is actively cooperating with our customers and we believe they have made considerable progress in both hardware and software improvements. For the PECVD equipment, we have created our patented IP on the route towards differentiated technologies, which also brings more technical parameters and performance mapping. Once we overcome the difficulties to complete the verification and development, we expect our differentiated technologies will create significant output. In the future, we expect our PECVD equipment will be promoted in the global market.</w:t>
      </w:r>
    </w:p>
    <w:p>
      <w:pPr>
        <w:spacing w:after="0" w:line="183" w:lineRule="exact"/>
        <w:rPr>
          <w:sz w:val="20"/>
          <w:szCs w:val="20"/>
          <w:color w:val="auto"/>
        </w:rPr>
      </w:pPr>
    </w:p>
    <w:p>
      <w:pPr>
        <w:jc w:val="both"/>
        <w:ind w:left="1140" w:right="20" w:firstLine="436"/>
        <w:spacing w:after="0" w:line="268" w:lineRule="auto"/>
        <w:tabs>
          <w:tab w:leader="none" w:pos="175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third quarter saw a significant increase in the Company’s comprehensive gross margin. How about the trend of gross margins for various products, including cleaning equipment, in addition to the upward proportions of electroplating and furnace tube products?</w:t>
      </w:r>
    </w:p>
    <w:p>
      <w:pPr>
        <w:spacing w:after="0" w:line="175" w:lineRule="exact"/>
        <w:rPr>
          <w:sz w:val="20"/>
          <w:szCs w:val="20"/>
          <w:color w:val="auto"/>
        </w:rPr>
      </w:pPr>
    </w:p>
    <w:p>
      <w:pPr>
        <w:jc w:val="both"/>
        <w:ind w:left="1140" w:firstLine="434"/>
        <w:spacing w:after="0" w:line="255" w:lineRule="auto"/>
        <w:tabs>
          <w:tab w:leader="none" w:pos="18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disclosed the gross margin level by individual product. Generally speaking, electroplating and high-end cleaning equipment have higher gross margins, while some equipment for advanced packaging and mature processes has relatively lower gross margins. At the same time, gross margin levels vary by customer and application. In addition, the batching effect is expected to directly lead to a decline in production costs, which is expected to a certain extent to also push up the gross margin level for our products. In the future, considering the competitive characteristic of the whole market as well as the balanced development of marketization, our gross margin target remains within the range of 40% to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259715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1440" w:top="144" w:right="439" w:bottom="1440" w:gutter="0" w:footer="0" w:header="0"/>
        </w:sectPr>
      </w:pPr>
    </w:p>
    <w:bookmarkStart w:id="5" w:name="page6"/>
    <w:bookmarkEnd w:id="5"/>
    <w:p>
      <w:pPr>
        <w:ind w:left="1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88900</wp:posOffset>
            </wp:positionV>
            <wp:extent cx="7129780" cy="2640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9780" cy="2640330"/>
                    </a:xfrm>
                    <a:prstGeom prst="rect">
                      <a:avLst/>
                    </a:prstGeom>
                    <a:noFill/>
                  </pic:spPr>
                </pic:pic>
              </a:graphicData>
            </a:graphic>
          </wp:anchor>
        </w:drawing>
        <w:t>4. How about the current development and the future outlook for the Company’s electroplating products?</w:t>
      </w:r>
    </w:p>
    <w:p>
      <w:pPr>
        <w:spacing w:after="0" w:line="229" w:lineRule="exact"/>
        <w:rPr>
          <w:sz w:val="20"/>
          <w:szCs w:val="20"/>
          <w:color w:val="auto"/>
        </w:rPr>
      </w:pPr>
    </w:p>
    <w:p>
      <w:pPr>
        <w:jc w:val="both"/>
        <w:ind w:left="1140" w:right="20" w:firstLine="434"/>
        <w:spacing w:after="0" w:line="254"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a comparatively full line of electroplating equipment, covering all kinds of electroplating equipment sold in the current international market, including Damascene plating, TSV plating, advanced packaging plating, and third-generation semiconductor plating equipment, the processes of which have also been verified. Our breakthroughs in electroplating have led to repeat orders, which is reflected in our revenue. We expect that next year, our electroplating products will still maintain a high growth. The electroplating market is rapidly expanding, mainly due to the construction of the front-end process plants and the demand for electroplating in 3D packaging. As such, we have a good view about the prospects of the electroplating market. In the future, we expect our electroplating equipment will also be marketed internationally, and in turn benefit from the growth of the global market.</w:t>
      </w:r>
    </w:p>
    <w:p>
      <w:pPr>
        <w:spacing w:after="0" w:line="18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5. What about the customer development for advanced packaging field at home and abroad?</w:t>
      </w:r>
    </w:p>
    <w:p>
      <w:pPr>
        <w:spacing w:after="0" w:line="229" w:lineRule="exact"/>
        <w:rPr>
          <w:sz w:val="20"/>
          <w:szCs w:val="20"/>
          <w:color w:val="auto"/>
        </w:rPr>
      </w:pPr>
    </w:p>
    <w:p>
      <w:pPr>
        <w:jc w:val="both"/>
        <w:ind w:left="1140" w:firstLine="434"/>
        <w:spacing w:after="0" w:line="256" w:lineRule="auto"/>
        <w:tabs>
          <w:tab w:leader="none" w:pos="18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Domestically, almost all packaging enterprises in China have introduced our packaging equipment, including copper plating equipment and coater/developer Track tool. Meanwhile, with our efforts in promoting our packaging equipment to the international market, various companies including those of the U.S. have also used our wet process products in their production lines in China. In the future, we plan to focus on the field of advanced packaging, leveraging our comprehensive advanced packaging wet process equipment and our global sales team’s efforts to expand the market share of our advanced packaging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259080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1440" w:top="144" w:right="439" w:bottom="1440" w:gutter="0" w:footer="0" w:header="0"/>
        </w:sectPr>
      </w:pPr>
    </w:p>
    <w:bookmarkStart w:id="6" w:name="page7"/>
    <w:bookmarkEnd w:id="6"/>
    <w:p>
      <w:pPr>
        <w:ind w:left="1160" w:firstLine="430"/>
        <w:spacing w:after="0" w:line="286" w:lineRule="auto"/>
        <w:tabs>
          <w:tab w:leader="none" w:pos="181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503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03170"/>
                    </a:xfrm>
                    <a:prstGeom prst="rect">
                      <a:avLst/>
                    </a:prstGeom>
                    <a:noFill/>
                  </pic:spPr>
                </pic:pic>
              </a:graphicData>
            </a:graphic>
          </wp:anchor>
        </w:drawing>
        <w:t>What is the current progress of the Company’s Track equipment for ArF and KrF? How about the advanced indicators?</w:t>
      </w:r>
    </w:p>
    <w:p>
      <w:pPr>
        <w:spacing w:after="0" w:line="159" w:lineRule="exact"/>
        <w:rPr>
          <w:sz w:val="20"/>
          <w:szCs w:val="20"/>
          <w:color w:val="auto"/>
        </w:rPr>
      </w:pPr>
    </w:p>
    <w:p>
      <w:pPr>
        <w:jc w:val="both"/>
        <w:ind w:left="1160" w:firstLine="428"/>
        <w:spacing w:after="0" w:line="256" w:lineRule="auto"/>
        <w:tabs>
          <w:tab w:leader="none" w:pos="18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our Track equipment has made good progress and is expected to dock with the lithographic tools at the end of this year. As an important feature, the equipment adopts an advanced architecture design, enabling high efficiency and output. Our equipment has a capacity of 300-330 pieces, which in the future can, with our architecture, also meet the capacity requirements of 400-450 pieces. Meanwhile, after more than ten years of development, we also excel in the stability of electronic control and software. Moving forward, we hope that with our products, we can break the current monopolistic market situation and become the second supplier of Track equipment worldwide.</w:t>
      </w:r>
    </w:p>
    <w:p>
      <w:pPr>
        <w:spacing w:after="0" w:line="183" w:lineRule="exact"/>
        <w:rPr>
          <w:sz w:val="20"/>
          <w:szCs w:val="20"/>
          <w:color w:val="auto"/>
        </w:rPr>
      </w:pPr>
    </w:p>
    <w:p>
      <w:pPr>
        <w:ind w:left="1160" w:right="20" w:firstLine="430"/>
        <w:spacing w:after="0" w:line="286" w:lineRule="auto"/>
        <w:tabs>
          <w:tab w:leader="none" w:pos="178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Company’s outlook for the demand from or expansion to non-mainstream customers such as second- and third-tier factories next year?</w:t>
      </w:r>
    </w:p>
    <w:p>
      <w:pPr>
        <w:spacing w:after="0" w:line="159" w:lineRule="exact"/>
        <w:rPr>
          <w:sz w:val="20"/>
          <w:szCs w:val="20"/>
          <w:color w:val="auto"/>
        </w:rPr>
      </w:pPr>
    </w:p>
    <w:p>
      <w:pPr>
        <w:jc w:val="both"/>
        <w:ind w:left="1160" w:firstLine="428"/>
        <w:spacing w:after="0" w:line="258" w:lineRule="auto"/>
        <w:tabs>
          <w:tab w:leader="none" w:pos="18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some of the non-mainstream customers will continue to expand next year. In the future, we believe increased demand for electric vehicles and other application terminals will drive significant growth in demand for semiconductors such as power devices. We believe this will also lead to demand for upstream equipment including, among others, cleaning, electroplating and furnace tube equipment. We are thus still bullish on the growth of non-mainstream customers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256540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0"/>
          </w:cols>
          <w:pgMar w:left="1440" w:top="144" w:right="459" w:bottom="1440" w:gutter="0" w:footer="0" w:header="0"/>
        </w:sectPr>
      </w:pPr>
    </w:p>
    <w:bookmarkStart w:id="7" w:name="page8"/>
    <w:bookmarkEnd w:id="7"/>
    <w:p>
      <w:pPr>
        <w:jc w:val="both"/>
        <w:ind w:left="1160" w:firstLine="430"/>
        <w:spacing w:after="0" w:line="268" w:lineRule="auto"/>
        <w:tabs>
          <w:tab w:leader="none" w:pos="1817"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326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326130"/>
                    </a:xfrm>
                    <a:prstGeom prst="rect">
                      <a:avLst/>
                    </a:prstGeom>
                    <a:noFill/>
                  </pic:spPr>
                </pic:pic>
              </a:graphicData>
            </a:graphic>
          </wp:anchor>
        </w:drawing>
        <w:t>What do you think about the trend of advanced process capacity expansion in China? What is the development of the Company’s advanced process equipment? Is there a big difference between the value of the Company’s advanced process and mature process?</w:t>
      </w:r>
    </w:p>
    <w:p>
      <w:pPr>
        <w:spacing w:after="0" w:line="175" w:lineRule="exact"/>
        <w:rPr>
          <w:sz w:val="20"/>
          <w:szCs w:val="20"/>
          <w:color w:val="auto"/>
        </w:rPr>
      </w:pPr>
    </w:p>
    <w:p>
      <w:pPr>
        <w:jc w:val="both"/>
        <w:ind w:left="1160" w:firstLine="428"/>
        <w:spacing w:after="0" w:line="255" w:lineRule="auto"/>
        <w:tabs>
          <w:tab w:leader="none" w:pos="18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comes mainly from mature process equipment. The core of the future advanced process capacity expansion in China lies in the need to add some core equipment. The Company insists on a two-way development strategy: serving the domestic market in China, and increasing investment in advanced processes to develop customers worldwide, including in South Korea and the U.S.. We believe we will see an increased proportion of revenue from advanced processes in the future from increased contribution from global customers. Regarding our advanced process, we have supercritical CO2 cleaning equipment and more advanced cleaning technology reserves, ALD, electroplating equipment, PECVD equipment, and Track equipment, the proportion of which we also expect to grow.</w:t>
      </w:r>
    </w:p>
    <w:p>
      <w:pPr>
        <w:spacing w:after="0" w:line="18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9. What is the Company’s outlook for the future market share of cleaning equipment?</w:t>
      </w:r>
    </w:p>
    <w:p>
      <w:pPr>
        <w:spacing w:after="0" w:line="229" w:lineRule="exact"/>
        <w:rPr>
          <w:sz w:val="20"/>
          <w:szCs w:val="20"/>
          <w:color w:val="auto"/>
        </w:rPr>
      </w:pPr>
    </w:p>
    <w:p>
      <w:pPr>
        <w:ind w:left="1820" w:hanging="232"/>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 for the future market share of our cleaning equipment in China is within the range of 50% to 60%.</w:t>
      </w:r>
    </w:p>
    <w:p>
      <w:pPr>
        <w:spacing w:after="0" w:line="221" w:lineRule="exact"/>
        <w:rPr>
          <w:rFonts w:ascii="Times New Roman" w:cs="Times New Roman" w:eastAsia="Times New Roman" w:hAnsi="Times New Roman"/>
          <w:sz w:val="18"/>
          <w:szCs w:val="18"/>
          <w:color w:val="auto"/>
        </w:rPr>
      </w:pPr>
    </w:p>
    <w:p>
      <w:pPr>
        <w:ind w:left="1860" w:hanging="270"/>
        <w:spacing w:after="0"/>
        <w:tabs>
          <w:tab w:leader="none" w:pos="186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you think about the change of market competition pattern in the next few years?</w:t>
      </w:r>
    </w:p>
    <w:p>
      <w:pPr>
        <w:spacing w:after="0" w:line="229" w:lineRule="exact"/>
        <w:rPr>
          <w:sz w:val="20"/>
          <w:szCs w:val="20"/>
          <w:color w:val="auto"/>
        </w:rPr>
      </w:pPr>
    </w:p>
    <w:p>
      <w:pPr>
        <w:jc w:val="both"/>
        <w:ind w:left="1160" w:firstLine="428"/>
        <w:spacing w:after="0" w:line="256" w:lineRule="auto"/>
        <w:tabs>
          <w:tab w:leader="none" w:pos="185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 competition in the future Chinese market will still be technology-based, with the ability to provide customers with the best technology and cost-effectiveness being the core of the market. We believe our core competitiveness lies in our fully independent intellectual property rights. We believe that as current domestic production expansion in China matures, the Chinese market will enter a phase of competition based on independent core technologies. Additionally, while possessing independent core technologies, a player will also need to be able to expand into the international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259080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0"/>
          </w:cols>
          <w:pgMar w:left="1440" w:top="144"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Encl.: List of Participants</w:t>
      </w:r>
    </w:p>
    <w:p>
      <w:pPr>
        <w:spacing w:after="0" w:line="3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Acuity Knowledge Partners (Hong Kong) Limited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CRIC Securities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First State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Hel Ved Capital Management Limited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IGWT Investment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MARCO POLO PURE ASSET MANAGEMENT LIMITED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StillBrookCapitalLimited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WESTERN SECURITIES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Essence Securities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Barings Investment Management (Shanghai) Limited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Baichuan (Beijing) Asset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Aeon Insurance Asset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Pinpoint Asset Management Limited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Power Sustainable (Shanghai) Investment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Beijing Win Integrity Investment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Golden Bloom Capital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BSCOM Cathay Asset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Beijing Shengxi Investment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Beijing Yutian Capital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Beijing Zhenke Private Equity Fund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APS China ASSET Management PTE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Green Court Capital Management Limited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Boyu Capital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Bohai Huijin Securities Asset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CHASING SECURITIES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Chengdu Lingshi Private Equity Fund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TruValue Asset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Dacheng Fund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Dajia Asset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Tebon Securities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Oriental Alpha Fund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Eastmoney Securities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Orient Fund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Orient Securities Company Limited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Soochow Asset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Dongxing Fund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Securities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Milestone AMC (Zhejiang)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Fosun Wealth International Holdings Limited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Fuanda Fund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Gongqingcheng Dingrui Asset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Everbright Yongming Asset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Everbright Securities Company Limited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Guangdong Haihui Huasheng Securities Investment Fund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GF Securities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GF Securities Asset Management (Guangdong)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Guangzhou Ruirong Private Equity Fund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Sealand Securities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Sinolink Securities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China Development Bank Securities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Guolian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Guorong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Guotai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Guotai Junan International Holdings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Guotai Junan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Guotai Securities Investment Trust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Hainan Qianxin Private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Shanghai Yuexi Private Equity Fund Management Partnership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Hainan Palm Bay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Haitong Innovation Private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Haitong Innovation Securities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Haitong International Asset Management (HK)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Haitong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Hanchuan Investment Management (Zhuhai)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Jwin Capital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Hangzhou Kaisheng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Hangzhou Zhengxin Private Equity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Harvest Forever Capital Management (Beijing)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Hexie Health Insurance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Henan Huizhong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Focusbridge Investments Limited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Hony Horizon Fund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Sequoia Capital Equity Investment Management (Tianjin)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Hongta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Earth Innovation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Harmony Capital Financial Holdings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Hongyun Private Equity Fund Management (Hainan)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Asia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Hua’an Financial Insurance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Hua’an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Guizhou Huachuang Securities Broker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Huafu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Huafu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Huajin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Huatai Baoxing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Huatai Financial Holdings (Hong Kong)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Huatai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Huaxi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 HONG KONG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Qianhai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Springs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Jiahe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Harvest Fund Management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CCB Principal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Jianghai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Jiangsu Parallel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Jiangsu Winfast Investment Holding Group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Jiangsu Shagang Group Investment Holding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254635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Jiangxi Bide Mingqi Private Equity Fund Management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Jiangxi Bide Mingqi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Jingu Securities Investment Consulting Guangdong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Jinxin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Golden Glede Private Equity Fund Management (Zhuhai Hengqin)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Golden Eagle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Partners Goldstate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Junhai Chuangxin (Beijing) Consulting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Kaiyuan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Orchid Asia China Management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Ledger Capital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Minsheng Royal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Securities (China)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Nanjing Ruilan Private Fund Management Co., Ltd.</w:t>
      </w:r>
    </w:p>
    <w:p>
      <w:pPr>
        <w:spacing w:after="0" w:line="9" w:lineRule="exact"/>
        <w:rPr>
          <w:sz w:val="20"/>
          <w:szCs w:val="20"/>
          <w:color w:val="auto"/>
        </w:rPr>
      </w:pPr>
    </w:p>
    <w:p>
      <w:pPr>
        <w:ind w:right="4259"/>
        <w:spacing w:after="0" w:line="250" w:lineRule="auto"/>
        <w:rPr>
          <w:sz w:val="20"/>
          <w:szCs w:val="20"/>
          <w:color w:val="auto"/>
        </w:rPr>
      </w:pPr>
      <w:r>
        <w:rPr>
          <w:rFonts w:ascii="Times New Roman" w:cs="Times New Roman" w:eastAsia="Times New Roman" w:hAnsi="Times New Roman"/>
          <w:sz w:val="18"/>
          <w:szCs w:val="18"/>
          <w:color w:val="auto"/>
        </w:rPr>
        <w:t>Nanjing Yuyang Private Equity Fund Management Partnership Enterprise (L.P.) Ningbo Meishan Free Trade Port Xinshi Investment Management Co., Ltd. Agricultural Bank of China Life Insurance Co., Ltd. Panhou Dynamic (Shanghai) Capital Management Co., Ltd.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Ping An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Qingdao Jinguang Zijin Venture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Qingdao Rural Commercial Bank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Cephei Capital Management (Tianjin)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Sanya Yufengsheng Private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Shanxi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Shanxi Securities International Asset Management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Merchants Securities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Binghe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Bodu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Chen Yan Asset Management Center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CRASSETS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Dingfeng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Fengcang Equity Investment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Fortune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Hillview Private Equity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International Trust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Guozan Private Equity Fund Management Partnership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Hanggui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Red Elephant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Granview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Huichen Private Fund Management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Jiashi Private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Jinhe Asset Management Center(L.P.)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Amber Asset Management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Eureka Investment Partner Co., Ltd.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Lingze Private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Miyuan Investment Management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Mingyu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Minghe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Muchasset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S-land Asset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254635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Shanghai Niuhu Asset Management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Panjing Investment Center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Postone Asset Management Partnership Enterprise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Pertrust Capital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Cosea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Qinmu Asset Management Partnership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Qingfund Asset Management Center (G.P.)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Qiuyang Capital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Tinnyinvestment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Tongben Investment Management Center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Talent Investment Management Development Center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Cayman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Xingzhi Venture Capital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Loyal Valley Capital Industrial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Zige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Shenwan Hongyuan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Chengyi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Hong Ding Wealth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Rising Jinbo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Joinwin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LandCapital Investment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Qianhai Xuxin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Shiji Zhiyuan Private Securities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Guohui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Red Pomegranate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Kaifeng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Leadinghorse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Qianhai Tangrong Capital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Shangcheng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Xindeying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Etock Capital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Kwt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Anvil Rock Capital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Xinran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Zhengyuan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Shengyong Private Equity Fund Management (Shanghai)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Schroders Group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BOCOM Schroder Wealth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Suzhou Zhongxingyuan Private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Taiping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Tianfeng (Shanghai) Securities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Nature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Western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Tibet Yuancheng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Sinatay Life Insurance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Aegon-industrial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Xingyin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Asia-Pacific Property &amp; Casualty Insurance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Sunlight Asset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254635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12" w:name="page13"/>
    <w:bookmarkEnd w:id="12"/>
    <w:p>
      <w:pPr>
        <w:ind w:left="120"/>
        <w:spacing w:after="0"/>
        <w:rPr>
          <w:sz w:val="20"/>
          <w:szCs w:val="20"/>
          <w:color w:val="auto"/>
        </w:rPr>
      </w:pPr>
      <w:r>
        <w:rPr>
          <w:rFonts w:ascii="Times New Roman" w:cs="Times New Roman" w:eastAsia="Times New Roman" w:hAnsi="Times New Roman"/>
          <w:sz w:val="18"/>
          <w:szCs w:val="18"/>
          <w:color w:val="auto"/>
        </w:rPr>
        <w:t>Ten Asset Management Limited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Yiju Asset (Shanghai)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Finsights Fund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Yongfeng Fund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Yuanxin (Zhuhai) Private Equity Fund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Yunfeng Financial Group Limited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Zhangjiagang Gaozhu Private Equity Fund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Great Wall Wealth Insurance Asset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China Greatwall SECURITIES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Changjiang Pension Insurance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Changjiang Securities (Shanghai) Asset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Changjiang Securities Company Limited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Hangzhou Guotian Asset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Zhejiang Rice Bank Asset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Zhejiang Zheshang Securities Asset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Zheshang Securities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Zhengzhou Yunshan Investment Management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YT Capital Limited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Industrial and Commercial Bank of China Limited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CHINA EVERBRIGHT LIMITED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China International Capital Corporation Limited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China Minsheng Banking Corp.,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PICC Asset Management Company Limited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China Life Asset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Xinxing Asset Management Company of China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China Galaxy Securities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Ing-Bob Life Insurance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China Kewo Soil Fund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Lombarda China Fund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Zhongtai Securities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CITIC-PRUDENTIAL Fund Management Company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CITIC Prudential Asset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China Securities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CITIC Securities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Italian Asset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BOC International Securities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Bank of China Wealth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BOC Samsung Life Insurance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China Post Securities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Central China Securities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Chongqing Derui Hengfeng Asset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Chongqing Jinke Investment Holding (Group)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Zhuhai Huiyuan Private Equity Fund Management Co., Ltd.</w:t>
      </w:r>
    </w:p>
    <w:p>
      <w:pPr>
        <w:spacing w:after="0" w:line="207" w:lineRule="exact"/>
        <w:rPr>
          <w:sz w:val="20"/>
          <w:szCs w:val="20"/>
          <w:color w:val="auto"/>
        </w:rPr>
      </w:pPr>
    </w:p>
    <w:p>
      <w:pPr>
        <w:ind w:left="5040"/>
        <w:spacing w:after="0"/>
        <w:tabs>
          <w:tab w:leader="none" w:pos="5560" w:val="left"/>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The following information is provided in connection with the furnishing of the above Record of November 2023 Investor Relation Activity of ACM Research (Shanghai), Inc. (“ACMSH”) (the “Record”) pursuant to the Current Report on Form 8-K reporting requirements of ACM Research,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Information presented in the Record includes forward-looking statements for purposes of the safe harbor provisions of the Private Securities Litigation Reform Act of 1995. All statements contained in the Record that do not relate to matters of historical fact should be considered forward-looking statements. Forward-looking statements are based on ACMSH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ACMSH may be unable to obtain the qualification and acceptance of its delivered tools when anticipated or at all, which would delay or preclude ACMSH’s recognition of revenue from the sale of those tools; suppliers may not be able to meet ACMSH’s demands on a timely basis; ACMSH’s technologies and tools may not gain market acceptance; ACMSH may be unable to compete effectively by, among other things, enhancing its existing tools, adding additional production capacity and engaging additional major customers; ACMSH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ACMSH’s products and in disruption of capital and credit markets; ACMSH’s failure to successfully manage its operations, including its inability to hire, train, integrate and manage additional qualified engineers for research and development activities; and trade regulations, including those recently published by the U.S. Department of Commerce imposing certain restrictions on equipment shipments and business practices with China-based semiconductor manufacturers, currency fluctuations, political instability and war, all of which may materially adversely affect ACMSH due to its substantial non-U.S. customer and supplier base and its substantial non-U.S. manufacturing operations. A further description of these risks, uncertainties and other matters can be found in filings ACM Research, Inc. makes with the U.S. Securities and Exchange Commission. Because forward-looking statements involve risks and uncertainties, actual results and events may differ materially from results and events currently expected by ACMSH. ACMSH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lvl w:ilvl="1">
      <w:lvlJc w:val="left"/>
      <w:lvlText w:val="%2"/>
      <w:numFmt w:val="decimal"/>
      <w:start w:val="104"/>
    </w:lvl>
  </w:abstractNum>
  <w:abstractNum w:abstractNumId="2">
    <w:nsid w:val="5BD062C2"/>
    <w:multiLevelType w:val="hybridMultilevel"/>
    <w:lvl w:ilvl="0">
      <w:lvlJc w:val="left"/>
      <w:lvlText w:val="%1:"/>
      <w:numFmt w:val="upperLetter"/>
      <w:start w:val="1"/>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1:"/>
      <w:numFmt w:val="upperLetter"/>
      <w:start w:val="1"/>
    </w:lvl>
  </w:abstractNum>
  <w:abstractNum w:abstractNumId="5">
    <w:nsid w:val="216231B"/>
    <w:multiLevelType w:val="hybridMultilevel"/>
    <w:lvl w:ilvl="0">
      <w:lvlJc w:val="left"/>
      <w:lvlText w:val="%1:"/>
      <w:numFmt w:val="upperLetter"/>
      <w:start w:val="1"/>
    </w:lvl>
  </w:abstractNum>
  <w:abstractNum w:abstractNumId="6">
    <w:nsid w:val="1F16E9E8"/>
    <w:multiLevelType w:val="hybridMultilevel"/>
    <w:lvl w:ilvl="0">
      <w:lvlJc w:val="left"/>
      <w:lvlText w:val="%1:"/>
      <w:numFmt w:val="upperLetter"/>
      <w:start w:val="1"/>
    </w:lvl>
  </w:abstractNum>
  <w:abstractNum w:abstractNumId="7">
    <w:nsid w:val="1190CDE7"/>
    <w:multiLevelType w:val="hybridMultilevel"/>
    <w:lvl w:ilvl="0">
      <w:lvlJc w:val="left"/>
      <w:lvlText w:val="%1."/>
      <w:numFmt w:val="decimal"/>
      <w:start w:val="6"/>
    </w:lvl>
  </w:abstractNum>
  <w:abstractNum w:abstractNumId="8">
    <w:nsid w:val="66EF438D"/>
    <w:multiLevelType w:val="hybridMultilevel"/>
    <w:lvl w:ilvl="0">
      <w:lvlJc w:val="left"/>
      <w:lvlText w:val="%1:"/>
      <w:numFmt w:val="upperLetter"/>
      <w:start w:val="1"/>
    </w:lvl>
  </w:abstractNum>
  <w:abstractNum w:abstractNumId="9">
    <w:nsid w:val="140E0F76"/>
    <w:multiLevelType w:val="hybridMultilevel"/>
    <w:lvl w:ilvl="0">
      <w:lvlJc w:val="left"/>
      <w:lvlText w:val="%1."/>
      <w:numFmt w:val="decimal"/>
      <w:start w:val="7"/>
    </w:lvl>
  </w:abstractNum>
  <w:abstractNum w:abstractNumId="10">
    <w:nsid w:val="3352255A"/>
    <w:multiLevelType w:val="hybridMultilevel"/>
    <w:lvl w:ilvl="0">
      <w:lvlJc w:val="left"/>
      <w:lvlText w:val="%1:"/>
      <w:numFmt w:val="upperLetter"/>
      <w:start w:val="1"/>
    </w:lvl>
  </w:abstractNum>
  <w:abstractNum w:abstractNumId="11">
    <w:nsid w:val="109CF92E"/>
    <w:multiLevelType w:val="hybridMultilevel"/>
    <w:lvl w:ilvl="0">
      <w:lvlJc w:val="left"/>
      <w:lvlText w:val="%1."/>
      <w:numFmt w:val="decimal"/>
      <w:start w:val="8"/>
    </w:lvl>
  </w:abstractNum>
  <w:abstractNum w:abstractNumId="12">
    <w:nsid w:val="DED7263"/>
    <w:multiLevelType w:val="hybridMultilevel"/>
    <w:lvl w:ilvl="0">
      <w:lvlJc w:val="left"/>
      <w:lvlText w:val="%1:"/>
      <w:numFmt w:val="upperLetter"/>
      <w:start w:val="1"/>
    </w:lvl>
  </w:abstractNum>
  <w:abstractNum w:abstractNumId="13">
    <w:nsid w:val="7FDCC233"/>
    <w:multiLevelType w:val="hybridMultilevel"/>
    <w:lvl w:ilvl="0">
      <w:lvlJc w:val="left"/>
      <w:lvlText w:val="%1:"/>
      <w:numFmt w:val="upperLetter"/>
      <w:start w:val="1"/>
    </w:lvl>
    <w:lvl w:ilvl="1">
      <w:lvlJc w:val="left"/>
      <w:lvlText w:val="%2."/>
      <w:numFmt w:val="decimal"/>
      <w:start w:val="10"/>
    </w:lvl>
  </w:abstractNum>
  <w:abstractNum w:abstractNumId="14">
    <w:nsid w:val="1BEFD79F"/>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2023-12-08T08:05:14Z</dcterms:created>
  <dcterms:modified xsi:type="dcterms:W3CDTF">2023-12-08T08:05:14Z</dcterms:modified>
</cp:coreProperties>
</file>