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Pappis Charles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24.93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and become exercisable immediately prior to the 2026 annual meeting of stockholders of the issuer, subject to continued service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Charles Pappis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5345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3254</Characters>
  <CharactersWithSpaces>3792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