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Pappis Charles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ACM RESEARCH,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42307 OSGOOD ROAD, SUITE I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FREMONT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94539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ACM Research,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ACMR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29.18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29.18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03/14/2035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April 17, 2026, the reporting person exercised a previously issued stock option to purchase 5,000 shares of Class A Common Stock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sale reported on this Form 4 was effected pursuant to a Rule 10b5-1 trading plan adopted by the reporting person on November 20,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option is fully vested and exercisable.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McKechnie, Attorney-in-Fact for Charles Pappis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04/21/2026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475345" TargetMode="External"/><Relationship Id="rId5" Type="http://schemas.openxmlformats.org/officeDocument/2006/relationships/hyperlink" Target="http://www.sec.gov/cgi-bin/browse-edgar?action=getcompany&amp;CIK=000168006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654</Words>
  <Characters>3470</Characters>
  <CharactersWithSpaces>4049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