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25, 2018</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2840" w:type="dxa"/>
            <w:vAlign w:val="bottom"/>
          </w:tcPr>
          <w:p>
            <w:pPr>
              <w:jc w:val="center"/>
              <w:ind w:right="399"/>
              <w:spacing w:after="0"/>
              <w:rPr>
                <w:sz w:val="20"/>
                <w:szCs w:val="20"/>
                <w:color w:val="auto"/>
              </w:rPr>
            </w:pPr>
            <w:r>
              <w:rPr>
                <w:rFonts w:ascii="Arial" w:cs="Arial" w:eastAsia="Arial" w:hAnsi="Arial"/>
                <w:sz w:val="18"/>
                <w:szCs w:val="18"/>
                <w:b w:val="1"/>
                <w:bCs w:val="1"/>
                <w:color w:val="auto"/>
                <w:w w:val="91"/>
              </w:rPr>
              <w:t>Delaware</w:t>
            </w:r>
          </w:p>
        </w:tc>
        <w:tc>
          <w:tcPr>
            <w:tcW w:w="472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94-3290283</w:t>
            </w:r>
          </w:p>
        </w:tc>
      </w:tr>
      <w:tr>
        <w:trPr>
          <w:trHeight w:val="149"/>
        </w:trPr>
        <w:tc>
          <w:tcPr>
            <w:tcW w:w="2840" w:type="dxa"/>
            <w:vAlign w:val="bottom"/>
          </w:tcPr>
          <w:p>
            <w:pPr>
              <w:jc w:val="center"/>
              <w:ind w:right="3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80" w:type="dxa"/>
            <w:vAlign w:val="bottom"/>
          </w:tcPr>
          <w:p>
            <w:pPr>
              <w:spacing w:after="0"/>
              <w:rPr>
                <w:sz w:val="12"/>
                <w:szCs w:val="12"/>
                <w:color w:val="auto"/>
              </w:rPr>
            </w:pPr>
          </w:p>
        </w:tc>
        <w:tc>
          <w:tcPr>
            <w:tcW w:w="2340" w:type="dxa"/>
            <w:vAlign w:val="bottom"/>
          </w:tcPr>
          <w:p>
            <w:pPr>
              <w:jc w:val="center"/>
              <w:ind w:left="114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379"/>
              <w:spacing w:after="0"/>
              <w:rPr>
                <w:sz w:val="20"/>
                <w:szCs w:val="20"/>
                <w:color w:val="auto"/>
              </w:rPr>
            </w:pPr>
            <w:r>
              <w:rPr>
                <w:rFonts w:ascii="Arial" w:cs="Arial" w:eastAsia="Arial" w:hAnsi="Arial"/>
                <w:sz w:val="14"/>
                <w:szCs w:val="14"/>
                <w:b w:val="1"/>
                <w:bCs w:val="1"/>
                <w:color w:val="auto"/>
                <w:w w:val="95"/>
              </w:rPr>
              <w:t>Incorporation or organization)</w:t>
            </w:r>
          </w:p>
        </w:tc>
        <w:tc>
          <w:tcPr>
            <w:tcW w:w="2380" w:type="dxa"/>
            <w:vAlign w:val="bottom"/>
          </w:tcPr>
          <w:p>
            <w:pPr>
              <w:spacing w:after="0"/>
              <w:rPr>
                <w:sz w:val="16"/>
                <w:szCs w:val="16"/>
                <w:color w:val="auto"/>
              </w:rPr>
            </w:pPr>
          </w:p>
        </w:tc>
        <w:tc>
          <w:tcPr>
            <w:tcW w:w="2340" w:type="dxa"/>
            <w:vAlign w:val="bottom"/>
          </w:tcPr>
          <w:p>
            <w:pPr>
              <w:jc w:val="center"/>
              <w:ind w:left="1148"/>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840" w:type="dxa"/>
            <w:vAlign w:val="bottom"/>
          </w:tcPr>
          <w:p>
            <w:pPr>
              <w:jc w:val="center"/>
              <w:ind w:right="399"/>
              <w:spacing w:after="0"/>
              <w:rPr>
                <w:sz w:val="20"/>
                <w:szCs w:val="20"/>
                <w:color w:val="auto"/>
              </w:rPr>
            </w:pPr>
            <w:r>
              <w:rPr>
                <w:rFonts w:ascii="Arial" w:cs="Arial" w:eastAsia="Arial" w:hAnsi="Arial"/>
                <w:sz w:val="18"/>
                <w:szCs w:val="18"/>
                <w:b w:val="1"/>
                <w:bCs w:val="1"/>
                <w:color w:val="auto"/>
                <w:w w:val="89"/>
              </w:rPr>
              <w:t>42307 Osgood Road, Suite I</w:t>
            </w:r>
          </w:p>
        </w:tc>
        <w:tc>
          <w:tcPr>
            <w:tcW w:w="23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25"/>
        </w:trPr>
        <w:tc>
          <w:tcPr>
            <w:tcW w:w="2840" w:type="dxa"/>
            <w:vAlign w:val="bottom"/>
          </w:tcPr>
          <w:p>
            <w:pPr>
              <w:jc w:val="center"/>
              <w:ind w:right="379"/>
              <w:spacing w:after="0"/>
              <w:rPr>
                <w:sz w:val="20"/>
                <w:szCs w:val="20"/>
                <w:color w:val="auto"/>
              </w:rPr>
            </w:pPr>
            <w:r>
              <w:rPr>
                <w:rFonts w:ascii="Arial" w:cs="Arial" w:eastAsia="Arial" w:hAnsi="Arial"/>
                <w:sz w:val="18"/>
                <w:szCs w:val="18"/>
                <w:b w:val="1"/>
                <w:bCs w:val="1"/>
                <w:color w:val="auto"/>
                <w:w w:val="93"/>
              </w:rPr>
              <w:t>Fremont, California</w:t>
            </w:r>
          </w:p>
        </w:tc>
        <w:tc>
          <w:tcPr>
            <w:tcW w:w="47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94539</w:t>
            </w:r>
          </w:p>
        </w:tc>
      </w:tr>
      <w:tr>
        <w:trPr>
          <w:trHeight w:val="186"/>
        </w:trPr>
        <w:tc>
          <w:tcPr>
            <w:tcW w:w="2840" w:type="dxa"/>
            <w:vAlign w:val="bottom"/>
          </w:tcPr>
          <w:p>
            <w:pPr>
              <w:jc w:val="center"/>
              <w:ind w:right="3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2340" w:type="dxa"/>
            <w:vAlign w:val="bottom"/>
          </w:tcPr>
          <w:p>
            <w:pPr>
              <w:jc w:val="center"/>
              <w:ind w:left="1168"/>
              <w:spacing w:after="0"/>
              <w:rPr>
                <w:sz w:val="20"/>
                <w:szCs w:val="20"/>
                <w:color w:val="auto"/>
              </w:rPr>
            </w:pPr>
            <w:r>
              <w:rPr>
                <w:rFonts w:ascii="Arial" w:cs="Arial" w:eastAsia="Arial" w:hAnsi="Arial"/>
                <w:sz w:val="14"/>
                <w:szCs w:val="14"/>
                <w:b w:val="1"/>
                <w:bCs w:val="1"/>
                <w:color w:val="auto"/>
                <w:w w:val="92"/>
              </w:rPr>
              <w:t>(Zip code)</w:t>
            </w:r>
          </w:p>
        </w:tc>
      </w:tr>
      <w:tr>
        <w:trPr>
          <w:trHeight w:val="336"/>
        </w:trPr>
        <w:tc>
          <w:tcPr>
            <w:tcW w:w="28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r>
      <w:tr>
        <w:trPr>
          <w:trHeight w:val="407"/>
        </w:trPr>
        <w:tc>
          <w:tcPr>
            <w:tcW w:w="2840" w:type="dxa"/>
            <w:vAlign w:val="bottom"/>
          </w:tcPr>
          <w:p>
            <w:pPr>
              <w:spacing w:after="0"/>
              <w:rPr>
                <w:sz w:val="24"/>
                <w:szCs w:val="24"/>
                <w:color w:val="auto"/>
              </w:rPr>
            </w:pPr>
          </w:p>
        </w:tc>
        <w:tc>
          <w:tcPr>
            <w:tcW w:w="4720" w:type="dxa"/>
            <w:vAlign w:val="bottom"/>
            <w:gridSpan w:val="2"/>
          </w:tcPr>
          <w:p>
            <w:pPr>
              <w:jc w:val="center"/>
              <w:ind w:right="2268"/>
              <w:spacing w:after="0"/>
              <w:rPr>
                <w:sz w:val="20"/>
                <w:szCs w:val="20"/>
                <w:color w:val="auto"/>
              </w:rPr>
            </w:pPr>
            <w:r>
              <w:rPr>
                <w:rFonts w:ascii="Arial" w:cs="Arial" w:eastAsia="Arial" w:hAnsi="Arial"/>
                <w:sz w:val="18"/>
                <w:szCs w:val="18"/>
                <w:b w:val="1"/>
                <w:bCs w:val="1"/>
                <w:color w:val="auto"/>
                <w:w w:val="90"/>
              </w:rPr>
              <w:t>1998 Stock Option Plan</w:t>
            </w:r>
          </w:p>
        </w:tc>
      </w:tr>
      <w:tr>
        <w:trPr>
          <w:trHeight w:val="212"/>
        </w:trPr>
        <w:tc>
          <w:tcPr>
            <w:tcW w:w="2840" w:type="dxa"/>
            <w:vAlign w:val="bottom"/>
          </w:tcPr>
          <w:p>
            <w:pPr>
              <w:spacing w:after="0"/>
              <w:rPr>
                <w:sz w:val="18"/>
                <w:szCs w:val="18"/>
                <w:color w:val="auto"/>
              </w:rPr>
            </w:pPr>
          </w:p>
        </w:tc>
        <w:tc>
          <w:tcPr>
            <w:tcW w:w="4720" w:type="dxa"/>
            <w:vAlign w:val="bottom"/>
            <w:gridSpan w:val="2"/>
          </w:tcPr>
          <w:p>
            <w:pPr>
              <w:jc w:val="center"/>
              <w:ind w:right="2268"/>
              <w:spacing w:after="0"/>
              <w:rPr>
                <w:sz w:val="20"/>
                <w:szCs w:val="20"/>
                <w:color w:val="auto"/>
              </w:rPr>
            </w:pPr>
            <w:r>
              <w:rPr>
                <w:rFonts w:ascii="Arial" w:cs="Arial" w:eastAsia="Arial" w:hAnsi="Arial"/>
                <w:sz w:val="18"/>
                <w:szCs w:val="18"/>
                <w:b w:val="1"/>
                <w:bCs w:val="1"/>
                <w:color w:val="auto"/>
                <w:w w:val="90"/>
              </w:rPr>
              <w:t>2016 Omnibus Incentive Plan</w:t>
            </w:r>
          </w:p>
        </w:tc>
      </w:tr>
      <w:tr>
        <w:trPr>
          <w:trHeight w:val="186"/>
        </w:trPr>
        <w:tc>
          <w:tcPr>
            <w:tcW w:w="2840" w:type="dxa"/>
            <w:vAlign w:val="bottom"/>
          </w:tcPr>
          <w:p>
            <w:pPr>
              <w:spacing w:after="0"/>
              <w:rPr>
                <w:sz w:val="16"/>
                <w:szCs w:val="16"/>
                <w:color w:val="auto"/>
              </w:rPr>
            </w:pPr>
          </w:p>
        </w:tc>
        <w:tc>
          <w:tcPr>
            <w:tcW w:w="4720" w:type="dxa"/>
            <w:vAlign w:val="bottom"/>
            <w:gridSpan w:val="2"/>
          </w:tcPr>
          <w:p>
            <w:pPr>
              <w:jc w:val="center"/>
              <w:ind w:right="2268"/>
              <w:spacing w:after="0"/>
              <w:rPr>
                <w:sz w:val="20"/>
                <w:szCs w:val="20"/>
                <w:color w:val="auto"/>
              </w:rPr>
            </w:pPr>
            <w:r>
              <w:rPr>
                <w:rFonts w:ascii="Arial" w:cs="Arial" w:eastAsia="Arial" w:hAnsi="Arial"/>
                <w:sz w:val="14"/>
                <w:szCs w:val="14"/>
                <w:b w:val="1"/>
                <w:bCs w:val="1"/>
                <w:color w:val="auto"/>
                <w:w w:val="94"/>
              </w:rPr>
              <w:t>(Full title of the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H. Wang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42307 Osgood Road, Suit 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Fremont, California 94539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445-3700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Mark L. Johnson</w:t>
      </w:r>
    </w:p>
    <w:p>
      <w:pPr>
        <w:spacing w:after="0" w:line="2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K&amp;L Gates LLP</w:t>
      </w:r>
    </w:p>
    <w:p>
      <w:pPr>
        <w:spacing w:after="0" w:line="9"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One Lincoln Street</w:t>
      </w:r>
    </w:p>
    <w:p>
      <w:pPr>
        <w:spacing w:after="0" w:line="9"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Boston, MA 02111</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(617) 261-3260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04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vMerge w:val="restart"/>
          </w:tcPr>
          <w:p>
            <w:pPr>
              <w:jc w:val="center"/>
              <w:ind w:left="2"/>
              <w:spacing w:after="0"/>
              <w:rPr>
                <w:sz w:val="20"/>
                <w:szCs w:val="20"/>
                <w:color w:val="auto"/>
              </w:rPr>
            </w:pPr>
            <w:r>
              <w:rPr>
                <w:rFonts w:ascii="Arial" w:cs="Arial" w:eastAsia="Arial" w:hAnsi="Arial"/>
                <w:sz w:val="14"/>
                <w:szCs w:val="14"/>
                <w:b w:val="1"/>
                <w:bCs w:val="1"/>
                <w:color w:val="auto"/>
                <w:w w:val="93"/>
              </w:rPr>
              <w:t>Amount to be</w:t>
            </w:r>
          </w:p>
        </w:tc>
        <w:tc>
          <w:tcPr>
            <w:tcW w:w="1600" w:type="dxa"/>
            <w:vAlign w:val="bottom"/>
            <w:tcBorders>
              <w:top w:val="single" w:sz="8" w:color="auto"/>
              <w:right w:val="single" w:sz="8" w:color="auto"/>
            </w:tcBorders>
          </w:tcPr>
          <w:p>
            <w:pPr>
              <w:jc w:val="center"/>
              <w:ind w:left="4"/>
              <w:spacing w:after="0" w:line="147" w:lineRule="exact"/>
              <w:rPr>
                <w:sz w:val="20"/>
                <w:szCs w:val="20"/>
                <w:color w:val="auto"/>
              </w:rPr>
            </w:pPr>
            <w:r>
              <w:rPr>
                <w:rFonts w:ascii="Arial" w:cs="Arial" w:eastAsia="Arial" w:hAnsi="Arial"/>
                <w:sz w:val="14"/>
                <w:szCs w:val="14"/>
                <w:b w:val="1"/>
                <w:bCs w:val="1"/>
                <w:color w:val="auto"/>
                <w:w w:val="92"/>
              </w:rPr>
              <w:t>Proposed maximum</w:t>
            </w:r>
          </w:p>
        </w:tc>
        <w:tc>
          <w:tcPr>
            <w:tcW w:w="1600" w:type="dxa"/>
            <w:vAlign w:val="bottom"/>
            <w:tcBorders>
              <w:top w:val="single" w:sz="8" w:color="auto"/>
              <w:right w:val="single" w:sz="8" w:color="auto"/>
            </w:tcBorders>
          </w:tcPr>
          <w:p>
            <w:pPr>
              <w:jc w:val="center"/>
              <w:ind w:left="4"/>
              <w:spacing w:after="0" w:line="147" w:lineRule="exact"/>
              <w:rPr>
                <w:sz w:val="20"/>
                <w:szCs w:val="20"/>
                <w:color w:val="auto"/>
              </w:rPr>
            </w:pPr>
            <w:r>
              <w:rPr>
                <w:rFonts w:ascii="Arial" w:cs="Arial" w:eastAsia="Arial" w:hAnsi="Arial"/>
                <w:sz w:val="14"/>
                <w:szCs w:val="14"/>
                <w:b w:val="1"/>
                <w:bCs w:val="1"/>
                <w:color w:val="auto"/>
                <w:w w:val="92"/>
              </w:rPr>
              <w:t>Proposed maximum</w:t>
            </w:r>
          </w:p>
        </w:tc>
        <w:tc>
          <w:tcPr>
            <w:tcW w:w="1560" w:type="dxa"/>
            <w:vAlign w:val="bottom"/>
            <w:tcBorders>
              <w:top w:val="single" w:sz="8" w:color="auto"/>
            </w:tcBorders>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ind w:left="1440"/>
              <w:spacing w:after="0"/>
              <w:rPr>
                <w:sz w:val="20"/>
                <w:szCs w:val="20"/>
                <w:color w:val="auto"/>
              </w:rPr>
            </w:pPr>
            <w:r>
              <w:rPr>
                <w:rFonts w:ascii="Arial" w:cs="Arial" w:eastAsia="Arial" w:hAnsi="Arial"/>
                <w:sz w:val="14"/>
                <w:szCs w:val="14"/>
                <w:b w:val="1"/>
                <w:bCs w:val="1"/>
                <w:color w:val="auto"/>
              </w:rPr>
              <w:t>Title of Securities to be Registered</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3"/>
              </w:rPr>
              <w:t>offering price per</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Borders>
              <w:bottom w:val="single" w:sz="8" w:color="auto"/>
              <w:right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6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1"/>
              </w:rPr>
              <w:t>share(2)</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4"/>
              </w:rPr>
              <w:t>price(2)</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Class A common stock, $0.0001 par value per share:</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1998 Stock Option Plan</w:t>
            </w:r>
          </w:p>
        </w:tc>
        <w:tc>
          <w:tcPr>
            <w:tcW w:w="1600" w:type="dxa"/>
            <w:vAlign w:val="bottom"/>
            <w:tcBorders>
              <w:right w:val="single" w:sz="8" w:color="auto"/>
            </w:tcBorders>
          </w:tcPr>
          <w:p>
            <w:pPr>
              <w:jc w:val="right"/>
              <w:ind w:right="322"/>
              <w:spacing w:after="0"/>
              <w:rPr>
                <w:sz w:val="20"/>
                <w:szCs w:val="20"/>
                <w:color w:val="auto"/>
              </w:rPr>
            </w:pPr>
            <w:r>
              <w:rPr>
                <w:rFonts w:ascii="Arial" w:cs="Arial" w:eastAsia="Arial" w:hAnsi="Arial"/>
                <w:sz w:val="18"/>
                <w:szCs w:val="18"/>
                <w:color w:val="auto"/>
              </w:rPr>
              <w:t>66,668</w:t>
            </w:r>
          </w:p>
        </w:tc>
        <w:tc>
          <w:tcPr>
            <w:tcW w:w="1600" w:type="dxa"/>
            <w:vAlign w:val="bottom"/>
            <w:tcBorders>
              <w:right w:val="single" w:sz="8" w:color="auto"/>
            </w:tcBorders>
          </w:tcPr>
          <w:p>
            <w:pPr>
              <w:jc w:val="right"/>
              <w:ind w:right="484"/>
              <w:spacing w:after="0"/>
              <w:rPr>
                <w:sz w:val="20"/>
                <w:szCs w:val="20"/>
                <w:color w:val="auto"/>
              </w:rPr>
            </w:pPr>
            <w:r>
              <w:rPr>
                <w:rFonts w:ascii="Arial" w:cs="Arial" w:eastAsia="Arial" w:hAnsi="Arial"/>
                <w:sz w:val="18"/>
                <w:szCs w:val="18"/>
                <w:color w:val="auto"/>
              </w:rPr>
              <w:t>$4.88</w:t>
            </w:r>
          </w:p>
        </w:tc>
        <w:tc>
          <w:tcPr>
            <w:tcW w:w="1600" w:type="dxa"/>
            <w:vAlign w:val="bottom"/>
            <w:tcBorders>
              <w:right w:val="single" w:sz="8" w:color="auto"/>
            </w:tcBorders>
          </w:tcPr>
          <w:p>
            <w:pPr>
              <w:jc w:val="right"/>
              <w:ind w:right="124"/>
              <w:spacing w:after="0"/>
              <w:rPr>
                <w:sz w:val="20"/>
                <w:szCs w:val="20"/>
                <w:color w:val="auto"/>
              </w:rPr>
            </w:pPr>
            <w:r>
              <w:rPr>
                <w:rFonts w:ascii="Arial" w:cs="Arial" w:eastAsia="Arial" w:hAnsi="Arial"/>
                <w:sz w:val="18"/>
                <w:szCs w:val="18"/>
                <w:color w:val="auto"/>
              </w:rPr>
              <w:t>$   325,339.84</w:t>
            </w:r>
          </w:p>
        </w:tc>
        <w:tc>
          <w:tcPr>
            <w:tcW w:w="1560" w:type="dxa"/>
            <w:vAlign w:val="bottom"/>
          </w:tcPr>
          <w:p>
            <w:pPr>
              <w:jc w:val="center"/>
              <w:ind w:left="2"/>
              <w:spacing w:after="0"/>
              <w:rPr>
                <w:sz w:val="20"/>
                <w:szCs w:val="20"/>
                <w:color w:val="auto"/>
              </w:rPr>
            </w:pPr>
            <w:r>
              <w:rPr>
                <w:rFonts w:ascii="Arial" w:cs="Arial" w:eastAsia="Arial" w:hAnsi="Arial"/>
                <w:sz w:val="18"/>
                <w:szCs w:val="18"/>
                <w:color w:val="auto"/>
              </w:rPr>
              <w:t>$   40.50</w:t>
            </w:r>
          </w:p>
        </w:tc>
        <w:tc>
          <w:tcPr>
            <w:tcW w:w="0" w:type="dxa"/>
            <w:vAlign w:val="bottom"/>
          </w:tcPr>
          <w:p>
            <w:pPr>
              <w:spacing w:after="0"/>
              <w:rPr>
                <w:sz w:val="1"/>
                <w:szCs w:val="1"/>
                <w:color w:val="auto"/>
              </w:rPr>
            </w:pPr>
          </w:p>
        </w:tc>
      </w:tr>
    </w:tbl>
    <w:p>
      <w:pPr>
        <w:sectPr>
          <w:pgSz w:w="11900" w:h="16843" w:orient="portrait"/>
          <w:cols w:equalWidth="0" w:num="1">
            <w:col w:w="11420"/>
          </w:cols>
          <w:pgMar w:left="240" w:top="229"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2016 Omnibus Incentive Plan</w:t>
            </w:r>
          </w:p>
        </w:tc>
        <w:tc>
          <w:tcPr>
            <w:tcW w:w="160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2,925,258</w:t>
            </w:r>
          </w:p>
        </w:tc>
        <w:tc>
          <w:tcPr>
            <w:tcW w:w="160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$4.88</w:t>
            </w:r>
          </w:p>
        </w:tc>
        <w:tc>
          <w:tcPr>
            <w:tcW w:w="16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$14,275,259.04</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$1,777.27</w:t>
            </w:r>
          </w:p>
        </w:tc>
      </w:tr>
      <w:tr>
        <w:trPr>
          <w:trHeight w:val="210"/>
        </w:trPr>
        <w:tc>
          <w:tcPr>
            <w:tcW w:w="50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$1,817.77</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460" w:right="260" w:hanging="452"/>
        <w:spacing w:after="0" w:line="273"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accordance with Rule 416 under the Securities Act of 1933, this registration statement shall be deemed to cover any additional securities that may from time to time be offered or issued to prevent dilution resulting from stock splits, stock dividends or similar transactions.</w:t>
      </w:r>
    </w:p>
    <w:p>
      <w:pPr>
        <w:ind w:left="460" w:right="20" w:hanging="452"/>
        <w:spacing w:after="0" w:line="32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(h) under the Securities Act of 1933 and based upon the average of the high and low prices of the registrant’s Class A common stock as reported on The NASDAQ Global Market on January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required by Item 1 is included in documents sent or given to participants in the plans covered by this registration statement pursuant to Rule 428(b)(1) of the Securities Act of 1933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written statement required by Item 2 is included in documents sent or given to participants in the plans covered by this registration statement pursuant to Rule 428(b)(1) of the Securities Act.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registrant is subject to the informational and reporting requirements of Sections 13(a), 14, and 15(d) of the Securities Exchange Act of 1934 (the “Exchange Act”), and in accordance therewith files reports, proxy statements and other information with the Securities and Exchange Commission (the “SEC”). The following filings with the SEC are incorporated in this registration statement by reference:</w:t>
      </w:r>
    </w:p>
    <w:p>
      <w:pPr>
        <w:spacing w:after="0" w:line="87" w:lineRule="exact"/>
        <w:rPr>
          <w:sz w:val="20"/>
          <w:szCs w:val="20"/>
          <w:color w:val="auto"/>
        </w:rPr>
      </w:pPr>
    </w:p>
    <w:p>
      <w:pPr>
        <w:ind w:left="900" w:right="24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later filed of (i) the registrant’s prospectus filed on November 3, 2017 pursuant to Rule 424(b) of the Securities Act and (ii) the registrant’s latest annual report filed pursuant to Section 13(a) or 15(d) of the Exchange Act that contains audited financial statements for the registrant’s latest fiscal year for which such statements have been filed;</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document referred to in (a) above;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Class A common stock contained in the registrant’s registration statement on Form 8-A filed on November 1, 2017 under the Exchange Act, including any amendment or report filed for the purpose of updating such description.</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See the description of the registrant’s Class A common stock contained under the caption “Description of Capital Stock” in the registrant’s prospectus filed on November 3, 2017 pursuant to Rule 424(b) under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K&amp;L Gates LLP has opined as to the legality of the shares of common stock being offered by this registration statement.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Indemnification of Directors and Officers.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Sections 145 and 102(b)(7) of the General Corporation Law of the State of Delaware provide that a corporation may indemnify any person made a party to an action by reason of the fact that he or she was a director,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registrant’s Restated Certificate of Incorporation contains provisions that eliminate, to the maximum extent permitted by the General Corporation Law of the State of Delaware, the personal liability of the registrant’s directors for monetary damages for breach of their fiduciary duties as directors. The registrant’s Restated Bylaws provide that the registrant must indemnify its directors and officers and may indemnify its employees and other agents to the fullest extent permitted by the General Corporation Law of the State of Delaware.</w:t>
      </w:r>
    </w:p>
    <w:p>
      <w:pPr>
        <w:spacing w:after="0" w:line="18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registrant has entered into indemnification agreements with its directors and executive officers, in addition to the indemnification provided for in its Restated Bylaws, and intends to enter into indemnification agreements with any new directors and executive officers in the future.</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Exhibit</w:t>
            </w:r>
          </w:p>
        </w:tc>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1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Number</w:t>
            </w:r>
          </w:p>
        </w:tc>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0" w:type="dxa"/>
            <w:vAlign w:val="bottom"/>
            <w:gridSpan w:val="2"/>
          </w:tcPr>
          <w:p>
            <w:pPr>
              <w:spacing w:after="0" w:line="170" w:lineRule="exact"/>
              <w:rPr>
                <w:sz w:val="20"/>
                <w:szCs w:val="20"/>
                <w:color w:val="auto"/>
              </w:rPr>
            </w:pPr>
            <w:r>
              <w:rPr>
                <w:rFonts w:ascii="Arial" w:cs="Arial" w:eastAsia="Arial" w:hAnsi="Arial"/>
                <w:sz w:val="18"/>
                <w:szCs w:val="18"/>
                <w:color w:val="auto"/>
              </w:rPr>
              <w:t>4.01*</w:t>
            </w:r>
          </w:p>
        </w:tc>
        <w:tc>
          <w:tcPr>
            <w:tcW w:w="600" w:type="dxa"/>
            <w:vAlign w:val="bottom"/>
          </w:tcPr>
          <w:p>
            <w:pPr>
              <w:spacing w:after="0"/>
              <w:rPr>
                <w:sz w:val="14"/>
                <w:szCs w:val="14"/>
                <w:color w:val="auto"/>
              </w:rPr>
            </w:pPr>
          </w:p>
        </w:tc>
        <w:tc>
          <w:tcPr>
            <w:tcW w:w="4360" w:type="dxa"/>
            <w:vAlign w:val="bottom"/>
            <w:tcBorders>
              <w:bottom w:val="single" w:sz="8" w:color="0000EE"/>
            </w:tcBorders>
            <w:gridSpan w:val="6"/>
          </w:tcPr>
          <w:p>
            <w:pPr>
              <w:spacing w:after="0" w:line="170"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Restated Certificate of Incorporation of ACM Research, Inc.</w:t>
              </w:r>
            </w:hyperlink>
          </w:p>
        </w:tc>
        <w:tc>
          <w:tcPr>
            <w:tcW w:w="14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4.02*</w:t>
            </w:r>
          </w:p>
        </w:tc>
        <w:tc>
          <w:tcPr>
            <w:tcW w:w="600" w:type="dxa"/>
            <w:vAlign w:val="bottom"/>
          </w:tcPr>
          <w:p>
            <w:pPr>
              <w:spacing w:after="0"/>
              <w:rPr>
                <w:sz w:val="24"/>
                <w:szCs w:val="24"/>
                <w:color w:val="auto"/>
              </w:rPr>
            </w:pPr>
          </w:p>
        </w:tc>
        <w:tc>
          <w:tcPr>
            <w:tcW w:w="5800" w:type="dxa"/>
            <w:vAlign w:val="bottom"/>
            <w:gridSpan w:val="10"/>
          </w:tcPr>
          <w:p>
            <w:pPr>
              <w:spacing w:after="0"/>
              <w:rPr>
                <w:rFonts w:ascii="Arial" w:cs="Arial" w:eastAsia="Arial" w:hAnsi="Arial"/>
                <w:sz w:val="18"/>
                <w:szCs w:val="18"/>
                <w:color w:val="0000EE"/>
              </w:rPr>
            </w:pPr>
            <w:hyperlink r:id="rId21">
              <w:r>
                <w:rPr>
                  <w:rFonts w:ascii="Arial" w:cs="Arial" w:eastAsia="Arial" w:hAnsi="Arial"/>
                  <w:sz w:val="18"/>
                  <w:szCs w:val="18"/>
                  <w:color w:val="0000EE"/>
                </w:rPr>
                <w:t>Restated Bylaws of ACM Research, Inc.</w:t>
              </w:r>
            </w:hyperlink>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5.01</w:t>
            </w:r>
          </w:p>
        </w:tc>
        <w:tc>
          <w:tcPr>
            <w:tcW w:w="600" w:type="dxa"/>
            <w:vAlign w:val="bottom"/>
          </w:tcPr>
          <w:p>
            <w:pPr>
              <w:spacing w:after="0"/>
              <w:rPr>
                <w:sz w:val="24"/>
                <w:szCs w:val="24"/>
                <w:color w:val="auto"/>
              </w:rPr>
            </w:pPr>
          </w:p>
        </w:tc>
        <w:tc>
          <w:tcPr>
            <w:tcW w:w="29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rPr>
              <w:t>Opinion of K&amp;L Gates LLP</w:t>
            </w:r>
          </w:p>
        </w:tc>
        <w:tc>
          <w:tcPr>
            <w:tcW w:w="28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23.01</w:t>
            </w:r>
          </w:p>
        </w:tc>
        <w:tc>
          <w:tcPr>
            <w:tcW w:w="600" w:type="dxa"/>
            <w:vAlign w:val="bottom"/>
          </w:tcPr>
          <w:p>
            <w:pPr>
              <w:spacing w:after="0"/>
              <w:rPr>
                <w:sz w:val="24"/>
                <w:szCs w:val="24"/>
                <w:color w:val="auto"/>
              </w:rPr>
            </w:pPr>
          </w:p>
        </w:tc>
        <w:tc>
          <w:tcPr>
            <w:tcW w:w="5800" w:type="dxa"/>
            <w:vAlign w:val="bottom"/>
            <w:gridSpan w:val="10"/>
          </w:tcPr>
          <w:p>
            <w:pPr>
              <w:spacing w:after="0"/>
              <w:rPr>
                <w:sz w:val="20"/>
                <w:szCs w:val="20"/>
                <w:color w:val="auto"/>
              </w:rPr>
            </w:pPr>
            <w:r>
              <w:rPr>
                <w:rFonts w:ascii="Arial" w:cs="Arial" w:eastAsia="Arial" w:hAnsi="Arial"/>
                <w:sz w:val="18"/>
                <w:szCs w:val="18"/>
                <w:color w:val="0000EE"/>
              </w:rPr>
              <w:t>Consent of BDO China Shu Lan Pan Certified Public Accountants LLP</w:t>
            </w: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23.02</w:t>
            </w:r>
          </w:p>
        </w:tc>
        <w:tc>
          <w:tcPr>
            <w:tcW w:w="60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3"/>
              </w:rPr>
              <w:t>Consent of K&amp;L Gates LLP (included in Exhibit 5.01)</w:t>
            </w:r>
          </w:p>
        </w:tc>
        <w:tc>
          <w:tcPr>
            <w:tcW w:w="1200" w:type="dxa"/>
            <w:vAlign w:val="bottom"/>
            <w:tcBorders>
              <w:top w:val="single" w:sz="8" w:color="0000EE"/>
            </w:tcBorders>
            <w:gridSpan w:val="3"/>
          </w:tcPr>
          <w:p>
            <w:pPr>
              <w:spacing w:after="0"/>
              <w:rPr>
                <w:sz w:val="24"/>
                <w:szCs w:val="24"/>
                <w:color w:val="auto"/>
              </w:rPr>
            </w:pPr>
          </w:p>
        </w:tc>
        <w:tc>
          <w:tcPr>
            <w:tcW w:w="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24.01</w:t>
            </w:r>
          </w:p>
        </w:tc>
        <w:tc>
          <w:tcPr>
            <w:tcW w:w="600" w:type="dxa"/>
            <w:vAlign w:val="bottom"/>
          </w:tcPr>
          <w:p>
            <w:pPr>
              <w:spacing w:after="0"/>
              <w:rPr>
                <w:sz w:val="24"/>
                <w:szCs w:val="24"/>
                <w:color w:val="auto"/>
              </w:rPr>
            </w:pPr>
          </w:p>
        </w:tc>
        <w:tc>
          <w:tcPr>
            <w:tcW w:w="58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Power of Attorney (included on the signature page of this registration statement)</w:t>
              </w:r>
            </w:hyperlink>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99.01*</w:t>
            </w:r>
          </w:p>
        </w:tc>
        <w:tc>
          <w:tcPr>
            <w:tcW w:w="600" w:type="dxa"/>
            <w:vAlign w:val="bottom"/>
          </w:tcPr>
          <w:p>
            <w:pPr>
              <w:spacing w:after="0"/>
              <w:rPr>
                <w:sz w:val="24"/>
                <w:szCs w:val="24"/>
                <w:color w:val="auto"/>
              </w:rPr>
            </w:pPr>
          </w:p>
        </w:tc>
        <w:tc>
          <w:tcPr>
            <w:tcW w:w="5800" w:type="dxa"/>
            <w:vAlign w:val="bottom"/>
            <w:gridSpan w:val="10"/>
          </w:tcPr>
          <w:p>
            <w:pPr>
              <w:spacing w:after="0"/>
              <w:rPr>
                <w:rFonts w:ascii="Arial" w:cs="Arial" w:eastAsia="Arial" w:hAnsi="Arial"/>
                <w:sz w:val="18"/>
                <w:szCs w:val="18"/>
                <w:color w:val="0000EE"/>
              </w:rPr>
            </w:pPr>
            <w:hyperlink r:id="rId22">
              <w:r>
                <w:rPr>
                  <w:rFonts w:ascii="Arial" w:cs="Arial" w:eastAsia="Arial" w:hAnsi="Arial"/>
                  <w:sz w:val="18"/>
                  <w:szCs w:val="18"/>
                  <w:color w:val="0000EE"/>
                </w:rPr>
                <w:t>ACM Research, Inc. 1998 Stock Option Plan</w:t>
              </w:r>
            </w:hyperlink>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99.02**</w:t>
            </w:r>
          </w:p>
        </w:tc>
        <w:tc>
          <w:tcPr>
            <w:tcW w:w="5800" w:type="dxa"/>
            <w:vAlign w:val="bottom"/>
            <w:gridSpan w:val="10"/>
          </w:tcPr>
          <w:p>
            <w:pPr>
              <w:spacing w:after="0"/>
              <w:rPr>
                <w:rFonts w:ascii="Arial" w:cs="Arial" w:eastAsia="Arial" w:hAnsi="Arial"/>
                <w:sz w:val="18"/>
                <w:szCs w:val="18"/>
                <w:color w:val="0000EE"/>
              </w:rPr>
            </w:pPr>
            <w:hyperlink r:id="rId23">
              <w:r>
                <w:rPr>
                  <w:rFonts w:ascii="Arial" w:cs="Arial" w:eastAsia="Arial" w:hAnsi="Arial"/>
                  <w:sz w:val="18"/>
                  <w:szCs w:val="18"/>
                  <w:color w:val="0000EE"/>
                </w:rPr>
                <w:t>ACM Research, Inc. 2016 Omnibus Incentive Plan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Previously filed with the Securities and Exchange Commission as an Exhibit to the Registrant’s Registration Statement on Form S-1, as amended (File</w:t>
      </w:r>
    </w:p>
    <w:p>
      <w:pPr>
        <w:spacing w:after="0" w:line="248" w:lineRule="exact"/>
        <w:rPr>
          <w:sz w:val="20"/>
          <w:szCs w:val="20"/>
          <w:color w:val="auto"/>
        </w:rPr>
      </w:pPr>
    </w:p>
    <w:p>
      <w:pPr>
        <w:ind w:left="4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as an Exhibit to the Registrant’s Quarterly Report on Form 10-Q, as amended (File No. 000-38273), and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80" w:right="80" w:hanging="567"/>
        <w:spacing w:after="0" w:line="264" w:lineRule="auto"/>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0" w:right="339" w:bottom="1440" w:gutter="0" w:footer="0" w:header="0"/>
        </w:sectPr>
      </w:pPr>
    </w:p>
    <w:bookmarkStart w:id="4" w:name="page5"/>
    <w:bookmarkEnd w:id="4"/>
    <w:p>
      <w:pPr>
        <w:ind w:left="1472" w:right="240" w:hanging="567"/>
        <w:spacing w:after="0" w:line="277" w:lineRule="auto"/>
        <w:tabs>
          <w:tab w:leader="none" w:pos="1472"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912" w:right="200"/>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(a)(i) and (a)(ii) do not apply if the registration statement is on Form S-8 and the information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a post-effective amendment by those paragraphs is contained in reports filed with or furnished to the Securities and Exchange Commission by the registrant pursuant to Sections 13 or 15(d) of the Exchange Act that are incorporated by reference in the registration statement;</w:t>
      </w:r>
    </w:p>
    <w:p>
      <w:pPr>
        <w:spacing w:after="0" w:line="92" w:lineRule="exact"/>
        <w:rPr>
          <w:sz w:val="20"/>
          <w:szCs w:val="20"/>
          <w:color w:val="auto"/>
        </w:rPr>
      </w:pPr>
    </w:p>
    <w:p>
      <w:pPr>
        <w:ind w:left="892" w:hanging="446"/>
        <w:spacing w:after="0" w:line="264" w:lineRule="auto"/>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 and</w:t>
      </w:r>
    </w:p>
    <w:p>
      <w:pPr>
        <w:spacing w:after="0" w:line="86" w:lineRule="exact"/>
        <w:rPr>
          <w:rFonts w:ascii="Arial" w:cs="Arial" w:eastAsia="Arial" w:hAnsi="Arial"/>
          <w:sz w:val="18"/>
          <w:szCs w:val="18"/>
          <w:color w:val="auto"/>
        </w:rPr>
      </w:pPr>
    </w:p>
    <w:p>
      <w:pPr>
        <w:ind w:left="892" w:hanging="446"/>
        <w:spacing w:after="0" w:line="277" w:lineRule="auto"/>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52" w:right="180" w:hanging="452"/>
        <w:spacing w:after="0" w:line="257"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452" w:right="40" w:hanging="452"/>
        <w:spacing w:after="0" w:line="271" w:lineRule="auto"/>
        <w:tabs>
          <w:tab w:leader="none" w:pos="45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Fremont, State of California, as of January 18, 2018.</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H. Wang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David H. Wang and Lisa Feng, and each or either of them, as his or her true and lawful attorney-in-fact and agent, with full power of substitution and resubstitution, for him or her, and in his or her name in any and all capacities, to sign any and all amendments (including post- 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indicated, as of January 18,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60" w:type="dxa"/>
            <w:vAlign w:val="bottom"/>
          </w:tcPr>
          <w:p>
            <w:pPr>
              <w:spacing w:after="0"/>
              <w:rPr>
                <w:sz w:val="16"/>
                <w:szCs w:val="16"/>
                <w:color w:val="auto"/>
              </w:rPr>
            </w:pPr>
          </w:p>
        </w:tc>
        <w:tc>
          <w:tcPr>
            <w:tcW w:w="6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41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H. Wang</w:t>
            </w:r>
          </w:p>
        </w:tc>
        <w:tc>
          <w:tcPr>
            <w:tcW w:w="56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Director</w:t>
            </w: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2"/>
              </w:rPr>
              <w:t>David H. Wang</w:t>
            </w:r>
          </w:p>
        </w:tc>
        <w:tc>
          <w:tcPr>
            <w:tcW w:w="560" w:type="dxa"/>
            <w:vAlign w:val="bottom"/>
          </w:tcPr>
          <w:p>
            <w:pPr>
              <w:spacing w:after="0"/>
              <w:rPr>
                <w:sz w:val="19"/>
                <w:szCs w:val="19"/>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p>
        </w:tc>
        <w:tc>
          <w:tcPr>
            <w:tcW w:w="0" w:type="dxa"/>
            <w:vAlign w:val="bottom"/>
          </w:tcPr>
          <w:p>
            <w:pPr>
              <w:spacing w:after="0"/>
              <w:rPr>
                <w:sz w:val="1"/>
                <w:szCs w:val="1"/>
                <w:color w:val="auto"/>
              </w:rPr>
            </w:pPr>
          </w:p>
        </w:tc>
      </w:tr>
      <w:tr>
        <w:trPr>
          <w:trHeight w:val="43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Lisa Feng</w:t>
            </w:r>
          </w:p>
        </w:tc>
        <w:tc>
          <w:tcPr>
            <w:tcW w:w="56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3"/>
              </w:rPr>
              <w:t xml:space="preserve">Interim Chief Financial Officer, Chief Accounting Officer and Treasurer </w:t>
            </w:r>
            <w:r>
              <w:rPr>
                <w:rFonts w:ascii="Arial" w:cs="Arial" w:eastAsia="Arial" w:hAnsi="Arial"/>
                <w:sz w:val="18"/>
                <w:szCs w:val="18"/>
                <w:i w:val="1"/>
                <w:iCs w:val="1"/>
                <w:color w:val="auto"/>
                <w:w w:val="93"/>
              </w:rPr>
              <w:t>(Principal</w:t>
            </w: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1"/>
              </w:rPr>
              <w:t>Lisa Feng</w:t>
            </w:r>
          </w:p>
        </w:tc>
        <w:tc>
          <w:tcPr>
            <w:tcW w:w="560" w:type="dxa"/>
            <w:vAlign w:val="bottom"/>
          </w:tcPr>
          <w:p>
            <w:pPr>
              <w:spacing w:after="0"/>
              <w:rPr>
                <w:sz w:val="19"/>
                <w:szCs w:val="19"/>
                <w:color w:val="auto"/>
              </w:rPr>
            </w:pPr>
          </w:p>
        </w:tc>
        <w:tc>
          <w:tcPr>
            <w:tcW w:w="6620" w:type="dxa"/>
            <w:vAlign w:val="bottom"/>
          </w:tcPr>
          <w:p>
            <w:pPr>
              <w:jc w:val="right"/>
              <w:ind w:right="1892"/>
              <w:spacing w:after="0"/>
              <w:rPr>
                <w:sz w:val="20"/>
                <w:szCs w:val="20"/>
                <w:color w:val="auto"/>
              </w:rPr>
            </w:pPr>
            <w:r>
              <w:rPr>
                <w:rFonts w:ascii="Arial" w:cs="Arial" w:eastAsia="Arial" w:hAnsi="Arial"/>
                <w:sz w:val="18"/>
                <w:szCs w:val="18"/>
                <w:i w:val="1"/>
                <w:iCs w:val="1"/>
                <w:color w:val="auto"/>
              </w:rPr>
              <w:t>Accounting and Financial Officer)</w:t>
            </w:r>
          </w:p>
        </w:tc>
        <w:tc>
          <w:tcPr>
            <w:tcW w:w="0" w:type="dxa"/>
            <w:vAlign w:val="bottom"/>
          </w:tcPr>
          <w:p>
            <w:pPr>
              <w:spacing w:after="0"/>
              <w:rPr>
                <w:sz w:val="1"/>
                <w:szCs w:val="1"/>
                <w:color w:val="auto"/>
              </w:rPr>
            </w:pPr>
          </w:p>
        </w:tc>
      </w:tr>
      <w:tr>
        <w:trPr>
          <w:trHeight w:val="43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Haiping Dun</w:t>
            </w:r>
          </w:p>
        </w:tc>
        <w:tc>
          <w:tcPr>
            <w:tcW w:w="5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2"/>
              </w:rPr>
              <w:t>Haiping Dun</w:t>
            </w:r>
          </w:p>
        </w:tc>
        <w:tc>
          <w:tcPr>
            <w:tcW w:w="560" w:type="dxa"/>
            <w:vAlign w:val="bottom"/>
          </w:tcPr>
          <w:p>
            <w:pPr>
              <w:spacing w:after="0"/>
              <w:rPr>
                <w:sz w:val="19"/>
                <w:szCs w:val="19"/>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3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Chenming Hu</w:t>
            </w:r>
          </w:p>
        </w:tc>
        <w:tc>
          <w:tcPr>
            <w:tcW w:w="5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0"/>
              </w:rPr>
              <w:t>Chenming Hu</w:t>
            </w:r>
          </w:p>
        </w:tc>
        <w:tc>
          <w:tcPr>
            <w:tcW w:w="560" w:type="dxa"/>
            <w:vAlign w:val="bottom"/>
          </w:tcPr>
          <w:p>
            <w:pPr>
              <w:spacing w:after="0"/>
              <w:rPr>
                <w:sz w:val="19"/>
                <w:szCs w:val="19"/>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3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Tracy Liu</w:t>
            </w:r>
          </w:p>
        </w:tc>
        <w:tc>
          <w:tcPr>
            <w:tcW w:w="5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7"/>
              </w:rPr>
              <w:t>Tracy Liu</w:t>
            </w:r>
          </w:p>
        </w:tc>
        <w:tc>
          <w:tcPr>
            <w:tcW w:w="560" w:type="dxa"/>
            <w:vAlign w:val="bottom"/>
          </w:tcPr>
          <w:p>
            <w:pPr>
              <w:spacing w:after="0"/>
              <w:rPr>
                <w:sz w:val="19"/>
                <w:szCs w:val="19"/>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31"/>
        </w:trPr>
        <w:tc>
          <w:tcPr>
            <w:tcW w:w="42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6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4"/>
              </w:rPr>
              <w:t>Yinan Xiang</w:t>
            </w:r>
          </w:p>
        </w:tc>
        <w:tc>
          <w:tcPr>
            <w:tcW w:w="560" w:type="dxa"/>
            <w:vAlign w:val="bottom"/>
          </w:tcPr>
          <w:p>
            <w:pPr>
              <w:spacing w:after="0"/>
              <w:rPr>
                <w:sz w:val="19"/>
                <w:szCs w:val="19"/>
                <w:color w:val="auto"/>
              </w:rPr>
            </w:pPr>
          </w:p>
        </w:tc>
        <w:tc>
          <w:tcPr>
            <w:tcW w:w="6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2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6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color w:val="auto"/>
                <w:w w:val="90"/>
              </w:rPr>
              <w:t>Zhengfan Yang</w:t>
            </w:r>
          </w:p>
        </w:tc>
        <w:tc>
          <w:tcPr>
            <w:tcW w:w="560" w:type="dxa"/>
            <w:vAlign w:val="bottom"/>
          </w:tcPr>
          <w:p>
            <w:pPr>
              <w:spacing w:after="0"/>
              <w:rPr>
                <w:sz w:val="19"/>
                <w:szCs w:val="19"/>
                <w:color w:val="auto"/>
              </w:rPr>
            </w:pPr>
          </w:p>
        </w:tc>
        <w:tc>
          <w:tcPr>
            <w:tcW w:w="6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240" w:type="dxa"/>
            <w:vAlign w:val="bottom"/>
          </w:tcPr>
          <w:p>
            <w:pPr>
              <w:spacing w:after="0"/>
              <w:rPr>
                <w:sz w:val="24"/>
                <w:szCs w:val="24"/>
                <w:color w:val="auto"/>
              </w:rPr>
            </w:pPr>
          </w:p>
        </w:tc>
        <w:tc>
          <w:tcPr>
            <w:tcW w:w="7180" w:type="dxa"/>
            <w:vAlign w:val="bottom"/>
            <w:gridSpan w:val="2"/>
          </w:tcPr>
          <w:p>
            <w:pPr>
              <w:jc w:val="right"/>
              <w:ind w:right="557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286510" cy="1123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8651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January 25,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ACM R</w:t>
      </w:r>
      <w:r>
        <w:rPr>
          <w:rFonts w:ascii="Arial" w:cs="Arial" w:eastAsia="Arial" w:hAnsi="Arial"/>
          <w:sz w:val="15"/>
          <w:szCs w:val="15"/>
          <w:color w:val="auto"/>
        </w:rPr>
        <w:t>ESEARCH</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 94539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counsel to ACM Research, Inc., a Delaware corporation (the “Company”), and we have acted as counsel to the Company in connection with the preparation of the Registration Statement on Form S-8 (the “Registration Statement”) to be filed by the Company with the Securities and Exchange Commission for the registration under the Securities Act of 1933, as amended (the “Securities Act”), of 2,991,926 shares (the “Shares”) of the Company’s Class A common stock, $0.0001 par value per share, which are to be issued from time to time in connection with the Company’s 1998 Stock Option Plan and the 2016 Omnibus Incentive Plan (the “Plans”).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being delivered in accordance with the requirements of Item 601(b)(5) of Regulation S-K under the Securities Act.</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You have requested our opinion as to the matters set forth below in connection with the Registration Statement. For purposes of rendering that opinion, we have examined copies of the Plans, the Registration Statement, the Company’s Restated Certificate of Incorporation and Restated Bylaws, and the corporate actions of the Company that provide for the issuance of the Shares, and we have made such other investigation as we have deemed appropriate. We also have examined and relied upon certificates of public officials and, in rendering our opinion, we have made the assumptions that are customary in opinion letters of this kind. We have not verified any of those assumptions.</w:t>
      </w:r>
    </w:p>
    <w:p>
      <w:pPr>
        <w:spacing w:after="0" w:line="188"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Based upon and subject to the foregoing and the additional qualifications and other matters set forth below, we are of the opinion that the Shares have been duly and validly authorized and reserved for issuance and that the Shares, when issued in accordance with the terms of the Plans, will be validly issued, fully paid and nonassessable.</w:t>
      </w:r>
    </w:p>
    <w:p>
      <w:pPr>
        <w:spacing w:after="0" w:line="181"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The opinion expressed in this opinion letter is limited to the laws of the State of Delaware. The foregoing opinion is rendered as of the date of this letter. We assume no obligation to update or supplement such opinion in order to reflect any changes of law or fact that may occur.</w:t>
      </w:r>
    </w:p>
    <w:p>
      <w:pPr>
        <w:sectPr>
          <w:pgSz w:w="11900" w:h="16838" w:orient="portrait"/>
          <w:cols w:equalWidth="0" w:num="1">
            <w:col w:w="11420"/>
          </w:cols>
          <w:pgMar w:left="240" w:top="121" w:right="239" w:bottom="1440" w:gutter="0" w:footer="0" w:header="0"/>
        </w:sectPr>
      </w:pPr>
    </w:p>
    <w:bookmarkStart w:id="7" w:name="page8"/>
    <w:bookmarkEnd w:id="7"/>
    <w:p>
      <w:pPr>
        <w:ind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furnishing this opinion letter to you solely in connection with the Registration Statement. You may not rely on this opinion letter in any other connection, and it may not be furnished to or relied upon by any other person for any purpose, without our specific prior written consent. We hereby consent to the filing of this opinion as Exhibit 5.01 to the Registration Statement. In giving our consent we do not thereby admit that we are in the category of persons whose consent is required under Section 7 of the Securities Act or the rules and regulations thereunder.</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K&amp;L Gates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K&amp;L GATES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 STREET FINANCIAL CENTER ONE LINCOLN STREET BOSTON MA 02111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+1 617 261 3100 F +1 617 261 3175 klgates.com</w:t>
      </w:r>
    </w:p>
    <w:p>
      <w:pPr>
        <w:sectPr>
          <w:pgSz w:w="11900" w:h="16838" w:orient="portrait"/>
          <w:cols w:equalWidth="0" w:num="1">
            <w:col w:w="11380"/>
          </w:cols>
          <w:pgMar w:left="240" w:top="274" w:right="2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42307 OSGOOD RD. Suite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 94539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September 13, 2017 relating to the consolidated financial statements of ACM Research, Inc. for the years ended December 31, 2016 and 2015, which appears in the Prospectus pursuant to Rule 424(b) of the Securities Act (File No. 333-220451) filed on November 3,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BDO China Shu Lun Pan Certified Public Accountants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Shenzhen, the People’s Republic of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25,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
    <w:nsid w:val="41B71EFB"/>
    <w:multiLevelType w:val="hybridMultilevel"/>
    <w:lvl w:ilvl="0">
      <w:lvlJc w:val="left"/>
      <w:lvlText w:val="(%1)"/>
      <w:numFmt w:val="lowerRoman"/>
      <w:start w:val="3"/>
    </w:lvl>
  </w:abstractNum>
  <w:abstractNum w:abstractNumId="6">
    <w:nsid w:val="79E2A9E3"/>
    <w:multiLevelType w:val="hybridMultilevel"/>
    <w:lvl w:ilvl="0">
      <w:lvlJc w:val="left"/>
      <w:lvlText w:val="%1"/>
      <w:numFmt w:val="decimal"/>
      <w:start w:val="1"/>
    </w:lvl>
    <w:lvl w:ilvl="1">
      <w:lvlJc w:val="left"/>
      <w:lvlText w:val="(%2)"/>
      <w:numFmt w:val="lowerLetter"/>
      <w:start w:val="2"/>
    </w:lvl>
  </w:abstractNum>
  <w:abstractNum w:abstractNumId="7">
    <w:nsid w:val="7545E146"/>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jpeg"/><Relationship Id="rId29" Type="http://schemas.openxmlformats.org/officeDocument/2006/relationships/image" Target="media/image18.png"/><Relationship Id="rId20" Type="http://schemas.openxmlformats.org/officeDocument/2006/relationships/hyperlink" Target="http://www.sec.gov/Archives/edgar/data/1680062/000119312517312780/d311227dex303.htm" TargetMode="External"/><Relationship Id="rId21" Type="http://schemas.openxmlformats.org/officeDocument/2006/relationships/hyperlink" Target="http://www.sec.gov/Archives/edgar/data/1680062/000119312517312780/d311227dex304.htm" TargetMode="External"/><Relationship Id="rId22" Type="http://schemas.openxmlformats.org/officeDocument/2006/relationships/hyperlink" Target="http://www.sec.gov/Archives/edgar/data/1680062/000119312517283955/d311227dex1012.htm" TargetMode="External"/><Relationship Id="rId23" Type="http://schemas.openxmlformats.org/officeDocument/2006/relationships/hyperlink" Target="http://www.sec.gov/Archives/edgar/data/1680062/000119312517364926/d481028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2019-12-08T15:48:03Z</dcterms:created>
  <dcterms:modified xsi:type="dcterms:W3CDTF">2019-12-08T15:48:03Z</dcterms:modified>
</cp:coreProperties>
</file>