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00108J109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3,755,781.00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3,828,440.00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3,828,440.00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ACM Research,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42307 OSGOOD ROAD, SUITE I FREMONT CA 94539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Class A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40"/>
        <w:spacing w:after="0"/>
        <w:rPr>
          <w:sz w:val="20"/>
          <w:szCs w:val="20"/>
          <w:color w:val="auto"/>
        </w:rPr>
      </w:pPr>
      <w:r>
        <w:rPr>
          <w:rFonts w:ascii="Times New Roman" w:cs="Times New Roman" w:eastAsia="Times New Roman" w:hAnsi="Times New Roman"/>
          <w:sz w:val="22"/>
          <w:szCs w:val="22"/>
          <w:color w:val="auto"/>
        </w:rPr>
        <w:t>00108J109</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3828440</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6.6 %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3755781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3828440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ACM Research, Inc.. No one person's interest in the common stock of ACM Research,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2025-04-17T08:40:33Z</dcterms:created>
  <dcterms:modified xsi:type="dcterms:W3CDTF">2025-04-17T08:40:33Z</dcterms:modified>
</cp:coreProperties>
</file>