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591820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608965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 SECURITIES AND EXCHANGE COMMISSION</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February 26, 2026</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ACM Research,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(Exact Name of Registrant as Specified in its Charter)</w:t>
      </w:r>
    </w:p>
    <w:p>
      <w:pPr>
        <w:spacing w:after="0" w:line="170" w:lineRule="exact"/>
        <w:rPr>
          <w:sz w:val="24"/>
          <w:szCs w:val="24"/>
          <w:color w:val="auto"/>
        </w:rPr>
      </w:pPr>
    </w:p>
    <w:tbl>
      <w:tblPr>
        <w:tblLayout w:type="fixed"/>
        <w:tblInd w:w="780" w:type="dxa"/>
        <w:tblCellMar>
          <w:top w:w="0" w:type="dxa"/>
          <w:left w:w="0" w:type="dxa"/>
          <w:bottom w:w="0" w:type="dxa"/>
          <w:right w:w="0" w:type="dxa"/>
        </w:tblCellMar>
      </w:tblPr>
      <w:tr>
        <w:trPr>
          <w:trHeight w:val="159"/>
        </w:trPr>
        <w:tc>
          <w:tcPr>
            <w:tcW w:w="3620" w:type="dxa"/>
            <w:vAlign w:val="bottom"/>
          </w:tcPr>
          <w:p>
            <w:pPr>
              <w:jc w:val="center"/>
              <w:ind w:right="136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2860" w:type="dxa"/>
            <w:vAlign w:val="bottom"/>
          </w:tcPr>
          <w:p>
            <w:pPr>
              <w:jc w:val="right"/>
              <w:ind w:right="1280"/>
              <w:spacing w:after="0"/>
              <w:rPr>
                <w:sz w:val="20"/>
                <w:szCs w:val="20"/>
                <w:color w:val="auto"/>
              </w:rPr>
            </w:pPr>
            <w:r>
              <w:rPr>
                <w:rFonts w:ascii="Times New Roman" w:cs="Times New Roman" w:eastAsia="Times New Roman" w:hAnsi="Times New Roman"/>
                <w:sz w:val="12"/>
                <w:szCs w:val="12"/>
                <w:b w:val="1"/>
                <w:bCs w:val="1"/>
                <w:color w:val="auto"/>
              </w:rPr>
              <w:t>001-38273</w:t>
            </w:r>
          </w:p>
        </w:tc>
        <w:tc>
          <w:tcPr>
            <w:tcW w:w="2960" w:type="dxa"/>
            <w:vAlign w:val="bottom"/>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94-3290283</w:t>
            </w:r>
          </w:p>
        </w:tc>
      </w:tr>
      <w:tr>
        <w:trPr>
          <w:trHeight w:val="171"/>
        </w:trPr>
        <w:tc>
          <w:tcPr>
            <w:tcW w:w="3620" w:type="dxa"/>
            <w:vAlign w:val="bottom"/>
          </w:tcPr>
          <w:p>
            <w:pPr>
              <w:jc w:val="center"/>
              <w:ind w:right="1360"/>
              <w:spacing w:after="0"/>
              <w:rPr>
                <w:sz w:val="20"/>
                <w:szCs w:val="20"/>
                <w:color w:val="auto"/>
              </w:rPr>
            </w:pPr>
            <w:r>
              <w:rPr>
                <w:rFonts w:ascii="Times New Roman" w:cs="Times New Roman" w:eastAsia="Times New Roman" w:hAnsi="Times New Roman"/>
                <w:sz w:val="12"/>
                <w:szCs w:val="12"/>
                <w:i w:val="1"/>
                <w:iCs w:val="1"/>
                <w:color w:val="auto"/>
              </w:rPr>
              <w:t>(State or Other Jurisdiction of Incorporation)</w:t>
            </w:r>
          </w:p>
        </w:tc>
        <w:tc>
          <w:tcPr>
            <w:tcW w:w="2860" w:type="dxa"/>
            <w:vAlign w:val="bottom"/>
          </w:tcPr>
          <w:p>
            <w:pPr>
              <w:jc w:val="center"/>
              <w:ind w:right="300"/>
              <w:spacing w:after="0"/>
              <w:rPr>
                <w:sz w:val="20"/>
                <w:szCs w:val="20"/>
                <w:color w:val="auto"/>
              </w:rPr>
            </w:pPr>
            <w:r>
              <w:rPr>
                <w:rFonts w:ascii="Times New Roman" w:cs="Times New Roman" w:eastAsia="Times New Roman" w:hAnsi="Times New Roman"/>
                <w:sz w:val="12"/>
                <w:szCs w:val="12"/>
                <w:i w:val="1"/>
                <w:iCs w:val="1"/>
                <w:color w:val="auto"/>
                <w:w w:val="98"/>
              </w:rPr>
              <w:t>(Commission File Number)</w:t>
            </w:r>
          </w:p>
        </w:tc>
        <w:tc>
          <w:tcPr>
            <w:tcW w:w="2960" w:type="dxa"/>
            <w:vAlign w:val="bottom"/>
          </w:tcPr>
          <w:p>
            <w:pPr>
              <w:jc w:val="center"/>
              <w:ind w:left="1280"/>
              <w:spacing w:after="0"/>
              <w:rPr>
                <w:sz w:val="20"/>
                <w:szCs w:val="20"/>
                <w:color w:val="auto"/>
              </w:rPr>
            </w:pPr>
            <w:r>
              <w:rPr>
                <w:rFonts w:ascii="Times New Roman" w:cs="Times New Roman" w:eastAsia="Times New Roman" w:hAnsi="Times New Roman"/>
                <w:sz w:val="12"/>
                <w:szCs w:val="12"/>
                <w:i w:val="1"/>
                <w:iCs w:val="1"/>
                <w:color w:val="auto"/>
                <w:w w:val="99"/>
              </w:rPr>
              <w:t>(IRS Employer Identification No.)</w:t>
            </w:r>
          </w:p>
        </w:tc>
      </w:tr>
      <w:tr>
        <w:trPr>
          <w:trHeight w:val="381"/>
        </w:trPr>
        <w:tc>
          <w:tcPr>
            <w:tcW w:w="3620" w:type="dxa"/>
            <w:vAlign w:val="bottom"/>
          </w:tcPr>
          <w:p>
            <w:pPr>
              <w:jc w:val="center"/>
              <w:ind w:left="380"/>
              <w:spacing w:after="0"/>
              <w:rPr>
                <w:sz w:val="20"/>
                <w:szCs w:val="20"/>
                <w:color w:val="auto"/>
              </w:rPr>
            </w:pPr>
            <w:r>
              <w:rPr>
                <w:rFonts w:ascii="Times New Roman" w:cs="Times New Roman" w:eastAsia="Times New Roman" w:hAnsi="Times New Roman"/>
                <w:sz w:val="12"/>
                <w:szCs w:val="12"/>
                <w:b w:val="1"/>
                <w:bCs w:val="1"/>
                <w:color w:val="auto"/>
              </w:rPr>
              <w:t>42307 Osgood Road, Suite I</w:t>
            </w:r>
          </w:p>
        </w:tc>
        <w:tc>
          <w:tcPr>
            <w:tcW w:w="28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168"/>
        </w:trPr>
        <w:tc>
          <w:tcPr>
            <w:tcW w:w="3620" w:type="dxa"/>
            <w:vAlign w:val="bottom"/>
          </w:tcPr>
          <w:p>
            <w:pPr>
              <w:jc w:val="center"/>
              <w:ind w:left="400"/>
              <w:spacing w:after="0"/>
              <w:rPr>
                <w:sz w:val="20"/>
                <w:szCs w:val="20"/>
                <w:color w:val="auto"/>
              </w:rPr>
            </w:pPr>
            <w:r>
              <w:rPr>
                <w:rFonts w:ascii="Times New Roman" w:cs="Times New Roman" w:eastAsia="Times New Roman" w:hAnsi="Times New Roman"/>
                <w:sz w:val="12"/>
                <w:szCs w:val="12"/>
                <w:b w:val="1"/>
                <w:bCs w:val="1"/>
                <w:color w:val="auto"/>
              </w:rPr>
              <w:t>Fremont, California</w:t>
            </w:r>
          </w:p>
        </w:tc>
        <w:tc>
          <w:tcPr>
            <w:tcW w:w="2860" w:type="dxa"/>
            <w:vAlign w:val="bottom"/>
          </w:tcPr>
          <w:p>
            <w:pPr>
              <w:spacing w:after="0"/>
              <w:rPr>
                <w:sz w:val="14"/>
                <w:szCs w:val="14"/>
                <w:color w:val="auto"/>
              </w:rPr>
            </w:pPr>
          </w:p>
        </w:tc>
        <w:tc>
          <w:tcPr>
            <w:tcW w:w="2960" w:type="dxa"/>
            <w:vAlign w:val="bottom"/>
          </w:tcPr>
          <w:p>
            <w:pPr>
              <w:jc w:val="right"/>
              <w:ind w:right="1540"/>
              <w:spacing w:after="0"/>
              <w:rPr>
                <w:sz w:val="20"/>
                <w:szCs w:val="20"/>
                <w:color w:val="auto"/>
              </w:rPr>
            </w:pPr>
            <w:r>
              <w:rPr>
                <w:rFonts w:ascii="Times New Roman" w:cs="Times New Roman" w:eastAsia="Times New Roman" w:hAnsi="Times New Roman"/>
                <w:sz w:val="12"/>
                <w:szCs w:val="12"/>
                <w:b w:val="1"/>
                <w:bCs w:val="1"/>
                <w:color w:val="auto"/>
              </w:rPr>
              <w:t>94539</w:t>
            </w:r>
          </w:p>
        </w:tc>
      </w:tr>
      <w:tr>
        <w:trPr>
          <w:trHeight w:val="171"/>
        </w:trPr>
        <w:tc>
          <w:tcPr>
            <w:tcW w:w="3620" w:type="dxa"/>
            <w:vAlign w:val="bottom"/>
          </w:tcPr>
          <w:p>
            <w:pPr>
              <w:jc w:val="center"/>
              <w:ind w:left="400"/>
              <w:spacing w:after="0"/>
              <w:rPr>
                <w:sz w:val="20"/>
                <w:szCs w:val="20"/>
                <w:color w:val="auto"/>
              </w:rPr>
            </w:pPr>
            <w:r>
              <w:rPr>
                <w:rFonts w:ascii="Times New Roman" w:cs="Times New Roman" w:eastAsia="Times New Roman" w:hAnsi="Times New Roman"/>
                <w:sz w:val="12"/>
                <w:szCs w:val="12"/>
                <w:i w:val="1"/>
                <w:iCs w:val="1"/>
                <w:color w:val="auto"/>
                <w:w w:val="98"/>
              </w:rPr>
              <w:t>(Address of Principal Executive Offices)</w:t>
            </w:r>
          </w:p>
        </w:tc>
        <w:tc>
          <w:tcPr>
            <w:tcW w:w="2860" w:type="dxa"/>
            <w:vAlign w:val="bottom"/>
          </w:tcPr>
          <w:p>
            <w:pPr>
              <w:spacing w:after="0"/>
              <w:rPr>
                <w:sz w:val="14"/>
                <w:szCs w:val="14"/>
                <w:color w:val="auto"/>
              </w:rPr>
            </w:pPr>
          </w:p>
        </w:tc>
        <w:tc>
          <w:tcPr>
            <w:tcW w:w="2960" w:type="dxa"/>
            <w:vAlign w:val="bottom"/>
          </w:tcPr>
          <w:p>
            <w:pPr>
              <w:jc w:val="center"/>
              <w:ind w:right="480"/>
              <w:spacing w:after="0"/>
              <w:rPr>
                <w:sz w:val="20"/>
                <w:szCs w:val="20"/>
                <w:color w:val="auto"/>
              </w:rPr>
            </w:pPr>
            <w:r>
              <w:rPr>
                <w:rFonts w:ascii="Times New Roman" w:cs="Times New Roman" w:eastAsia="Times New Roman" w:hAnsi="Times New Roman"/>
                <w:sz w:val="12"/>
                <w:szCs w:val="12"/>
                <w:i w:val="1"/>
                <w:iCs w:val="1"/>
                <w:color w:val="auto"/>
              </w:rPr>
              <w:t>(Zip Code)</w:t>
            </w:r>
          </w:p>
        </w:tc>
      </w:tr>
    </w:tbl>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(510) 445-3700</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420" w:hanging="416"/>
        <w:spacing w:after="0"/>
        <w:tabs>
          <w:tab w:leader="none" w:pos="42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33" w:lineRule="exact"/>
        <w:rPr>
          <w:rFonts w:ascii="Wingdings" w:cs="Wingdings" w:eastAsia="Wingdings" w:hAnsi="Wingdings"/>
          <w:sz w:val="12"/>
          <w:szCs w:val="12"/>
          <w:b w:val="1"/>
          <w:bCs w:val="1"/>
          <w:color w:val="auto"/>
        </w:rPr>
      </w:pPr>
    </w:p>
    <w:p>
      <w:pPr>
        <w:ind w:left="420" w:hanging="416"/>
        <w:spacing w:after="0"/>
        <w:tabs>
          <w:tab w:leader="none" w:pos="42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33" w:lineRule="exact"/>
        <w:rPr>
          <w:rFonts w:ascii="Wingdings" w:cs="Wingdings" w:eastAsia="Wingdings" w:hAnsi="Wingdings"/>
          <w:sz w:val="12"/>
          <w:szCs w:val="12"/>
          <w:b w:val="1"/>
          <w:bCs w:val="1"/>
          <w:color w:val="auto"/>
        </w:rPr>
      </w:pPr>
    </w:p>
    <w:p>
      <w:pPr>
        <w:ind w:left="420" w:hanging="416"/>
        <w:spacing w:after="0"/>
        <w:tabs>
          <w:tab w:leader="none" w:pos="42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33" w:lineRule="exact"/>
        <w:rPr>
          <w:rFonts w:ascii="Wingdings" w:cs="Wingdings" w:eastAsia="Wingdings" w:hAnsi="Wingdings"/>
          <w:sz w:val="12"/>
          <w:szCs w:val="12"/>
          <w:b w:val="1"/>
          <w:bCs w:val="1"/>
          <w:color w:val="auto"/>
        </w:rPr>
      </w:pPr>
    </w:p>
    <w:p>
      <w:pPr>
        <w:ind w:left="420" w:hanging="416"/>
        <w:spacing w:after="0"/>
        <w:tabs>
          <w:tab w:leader="none" w:pos="420"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22"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3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20" w:type="dxa"/>
            <w:vAlign w:val="bottom"/>
          </w:tcPr>
          <w:p>
            <w:pPr>
              <w:spacing w:after="0"/>
              <w:rPr>
                <w:sz w:val="13"/>
                <w:szCs w:val="13"/>
                <w:color w:val="auto"/>
              </w:rPr>
            </w:pPr>
          </w:p>
        </w:tc>
      </w:tr>
      <w:tr>
        <w:trPr>
          <w:trHeight w:val="331"/>
        </w:trPr>
        <w:tc>
          <w:tcPr>
            <w:tcW w:w="370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2"/>
                <w:szCs w:val="12"/>
                <w:b w:val="1"/>
                <w:bCs w:val="1"/>
                <w:color w:val="auto"/>
              </w:rPr>
              <w:t>Title of each class</w:t>
            </w:r>
          </w:p>
        </w:tc>
        <w:tc>
          <w:tcPr>
            <w:tcW w:w="80" w:type="dxa"/>
            <w:vAlign w:val="bottom"/>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80" w:type="dxa"/>
            <w:vAlign w:val="bottom"/>
          </w:tcPr>
          <w:p>
            <w:pPr>
              <w:spacing w:after="0"/>
              <w:rPr>
                <w:sz w:val="24"/>
                <w:szCs w:val="24"/>
                <w:color w:val="auto"/>
              </w:rPr>
            </w:pPr>
          </w:p>
        </w:tc>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162"/>
        </w:trPr>
        <w:tc>
          <w:tcPr>
            <w:tcW w:w="3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Class A Common Stock, par value $0.0001 per share</w:t>
            </w: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rPr>
              <w:t>ACMR</w:t>
            </w:r>
          </w:p>
        </w:tc>
        <w:tc>
          <w:tcPr>
            <w:tcW w:w="37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The Nasdaq Stock Market LLC</w:t>
            </w:r>
          </w:p>
        </w:tc>
      </w:tr>
    </w:tbl>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 xml:space="preserve">Indicate by check mark whether the registrant is an emerging growth company as defined in Rule 405 of the Securities Act of 1933 or Rule 12b-2 of the Securities Exchange Act of 1934:Emerging growth company </w:t>
      </w:r>
      <w:r>
        <w:rPr>
          <w:rFonts w:ascii="Wingdings" w:cs="Wingdings" w:eastAsia="Wingdings" w:hAnsi="Wingdings"/>
          <w:sz w:val="12"/>
          <w:szCs w:val="12"/>
          <w:b w:val="1"/>
          <w:bCs w:val="1"/>
          <w:color w:val="auto"/>
        </w:rPr>
        <w:t>o</w:t>
      </w:r>
    </w:p>
    <w:p>
      <w:pPr>
        <w:spacing w:after="0" w:line="150" w:lineRule="exact"/>
        <w:rPr>
          <w:sz w:val="24"/>
          <w:szCs w:val="24"/>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2"/>
          <w:szCs w:val="12"/>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544830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100330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117475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1021" w:right="319" w:bottom="1440" w:gutter="0" w:footer="0" w:header="0"/>
        </w:sectPr>
      </w:pPr>
    </w:p>
    <w:bookmarkStart w:id="1" w:name="page2"/>
    <w:bookmarkEnd w:id="1"/>
    <w:p>
      <w:pPr>
        <w:ind w:left="8"/>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63" w:lineRule="exact"/>
        <w:rPr>
          <w:sz w:val="20"/>
          <w:szCs w:val="20"/>
          <w:color w:val="auto"/>
        </w:rPr>
      </w:pPr>
    </w:p>
    <w:p>
      <w:pPr>
        <w:ind w:left="8"/>
        <w:spacing w:after="0" w:line="278" w:lineRule="auto"/>
        <w:rPr>
          <w:sz w:val="20"/>
          <w:szCs w:val="20"/>
          <w:color w:val="auto"/>
        </w:rPr>
      </w:pPr>
      <w:r>
        <w:rPr>
          <w:rFonts w:ascii="Times New Roman" w:cs="Times New Roman" w:eastAsia="Times New Roman" w:hAnsi="Times New Roman"/>
          <w:sz w:val="12"/>
          <w:szCs w:val="12"/>
          <w:color w:val="auto"/>
        </w:rPr>
        <w:t>On February 26, 2026, we issued a press release announcing financial results for the fourth quarter and fiscal year ended December 31, 2025. The full text of the press release is furnished as Exhibit 99.1 hereto and is incorporated herein by reference</w:t>
      </w:r>
      <w:r>
        <w:rPr>
          <w:rFonts w:ascii="Times New Roman" w:cs="Times New Roman" w:eastAsia="Times New Roman" w:hAnsi="Times New Roman"/>
          <w:sz w:val="14"/>
          <w:szCs w:val="14"/>
          <w:i w:val="1"/>
          <w:iCs w:val="1"/>
          <w:color w:val="auto"/>
        </w:rPr>
        <w:t>.</w:t>
      </w:r>
    </w:p>
    <w:p>
      <w:pPr>
        <w:spacing w:after="0" w:line="113" w:lineRule="exact"/>
        <w:rPr>
          <w:sz w:val="20"/>
          <w:szCs w:val="20"/>
          <w:color w:val="auto"/>
        </w:rPr>
      </w:pPr>
    </w:p>
    <w:p>
      <w:pPr>
        <w:ind w:left="8" w:right="20"/>
        <w:spacing w:after="0" w:line="264" w:lineRule="auto"/>
        <w:rPr>
          <w:sz w:val="20"/>
          <w:szCs w:val="20"/>
          <w:color w:val="auto"/>
        </w:rPr>
      </w:pPr>
      <w:r>
        <w:rPr>
          <w:rFonts w:ascii="Times New Roman" w:cs="Times New Roman" w:eastAsia="Times New Roman" w:hAnsi="Times New Roman"/>
          <w:sz w:val="12"/>
          <w:szCs w:val="12"/>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33" w:lineRule="exact"/>
        <w:rPr>
          <w:sz w:val="20"/>
          <w:szCs w:val="20"/>
          <w:color w:val="auto"/>
        </w:rPr>
      </w:pPr>
    </w:p>
    <w:p>
      <w:pPr>
        <w:ind w:left="8"/>
        <w:spacing w:after="0"/>
        <w:tabs>
          <w:tab w:leader="none" w:pos="588"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14" w:lineRule="exact"/>
        <w:rPr>
          <w:sz w:val="20"/>
          <w:szCs w:val="20"/>
          <w:color w:val="auto"/>
        </w:rPr>
      </w:pPr>
    </w:p>
    <w:p>
      <w:pPr>
        <w:ind w:left="268" w:hanging="268"/>
        <w:spacing w:after="0"/>
        <w:tabs>
          <w:tab w:leader="none" w:pos="268"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Exhibits.</w:t>
      </w:r>
    </w:p>
    <w:p>
      <w:pPr>
        <w:spacing w:after="0" w:line="148"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1180" w:type="dxa"/>
            <w:vAlign w:val="bottom"/>
            <w:gridSpan w:val="4"/>
          </w:tcPr>
          <w:p>
            <w:pPr>
              <w:ind w:left="28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10120" w:type="dxa"/>
            <w:vAlign w:val="bottom"/>
          </w:tcPr>
          <w:p>
            <w:pPr>
              <w:ind w:left="4820"/>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204"/>
        </w:trPr>
        <w:tc>
          <w:tcPr>
            <w:tcW w:w="860" w:type="dxa"/>
            <w:vAlign w:val="bottom"/>
            <w:tcBorders>
              <w:top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2"/>
                <w:szCs w:val="12"/>
                <w:color w:val="0000FF"/>
              </w:rPr>
              <w:t>99.</w:t>
            </w:r>
            <w:r>
              <w:rPr>
                <w:rFonts w:ascii="Times New Roman" w:cs="Times New Roman" w:eastAsia="Times New Roman" w:hAnsi="Times New Roman"/>
                <w:sz w:val="12"/>
                <w:szCs w:val="12"/>
                <w:u w:val="single" w:color="auto"/>
                <w:color w:val="0000FF"/>
              </w:rPr>
              <w:t>1</w:t>
            </w:r>
          </w:p>
        </w:tc>
        <w:tc>
          <w:tcPr>
            <w:tcW w:w="320" w:type="dxa"/>
            <w:vAlign w:val="bottom"/>
          </w:tcPr>
          <w:p>
            <w:pPr>
              <w:spacing w:after="0"/>
              <w:rPr>
                <w:sz w:val="17"/>
                <w:szCs w:val="17"/>
                <w:color w:val="auto"/>
              </w:rPr>
            </w:pPr>
          </w:p>
        </w:tc>
        <w:tc>
          <w:tcPr>
            <w:tcW w:w="101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Press Release of ACM Research, Inc. dated February 26, 2026</w:t>
            </w:r>
          </w:p>
        </w:tc>
      </w:tr>
      <w:tr>
        <w:trPr>
          <w:trHeight w:val="214"/>
        </w:trPr>
        <w:tc>
          <w:tcPr>
            <w:tcW w:w="320" w:type="dxa"/>
            <w:vAlign w:val="bottom"/>
          </w:tcPr>
          <w:p>
            <w:pPr>
              <w:spacing w:after="0"/>
              <w:rPr>
                <w:sz w:val="18"/>
                <w:szCs w:val="18"/>
                <w:color w:val="auto"/>
              </w:rPr>
            </w:pPr>
          </w:p>
        </w:tc>
        <w:tc>
          <w:tcPr>
            <w:tcW w:w="200" w:type="dxa"/>
            <w:vAlign w:val="bottom"/>
            <w:tcBorders>
              <w:top w:val="single" w:sz="8" w:color="0000FF"/>
            </w:tcBorders>
          </w:tcPr>
          <w:p>
            <w:pPr>
              <w:jc w:val="right"/>
              <w:spacing w:after="0"/>
              <w:rPr>
                <w:sz w:val="20"/>
                <w:szCs w:val="20"/>
                <w:color w:val="auto"/>
              </w:rPr>
            </w:pPr>
            <w:r>
              <w:rPr>
                <w:rFonts w:ascii="Times New Roman" w:cs="Times New Roman" w:eastAsia="Times New Roman" w:hAnsi="Times New Roman"/>
                <w:sz w:val="12"/>
                <w:szCs w:val="12"/>
                <w:color w:val="auto"/>
                <w:w w:val="99"/>
              </w:rPr>
              <w:t>104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Cover Page Interactive Data File (embedded within the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38100</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80" w:right="299" w:bottom="1440" w:gutter="0" w:footer="0" w:header="0"/>
        </w:sectPr>
      </w:pPr>
    </w:p>
    <w:bookmarkStart w:id="2" w:name="page3"/>
    <w:bookmarkEnd w:id="2"/>
    <w:p>
      <w:pPr>
        <w:ind w:left="53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10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2"/>
          <w:szCs w:val="12"/>
          <w:color w:val="auto"/>
        </w:rPr>
        <w:t>ACM RESEARCH, INC.</w:t>
      </w:r>
    </w:p>
    <w:p>
      <w:pPr>
        <w:spacing w:after="0" w:line="267" w:lineRule="exact"/>
        <w:rPr>
          <w:sz w:val="20"/>
          <w:szCs w:val="20"/>
          <w:color w:val="auto"/>
        </w:rPr>
      </w:pPr>
    </w:p>
    <w:p>
      <w:pPr>
        <w:ind w:left="2800"/>
        <w:spacing w:after="0"/>
        <w:tabs>
          <w:tab w:leader="none" w:pos="308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u w:val="single" w:color="auto"/>
          <w:color w:val="auto"/>
        </w:rPr>
        <w:t>/s/ Mark McKechnie</w:t>
      </w:r>
      <w:r>
        <w:rPr>
          <w:rFonts w:ascii="Times New Roman" w:cs="Times New Roman" w:eastAsia="Times New Roman" w:hAnsi="Times New Roman"/>
          <w:sz w:val="11"/>
          <w:szCs w:val="11"/>
          <w:color w:val="auto"/>
        </w:rPr>
        <w:t>________________________</w:t>
      </w:r>
    </w:p>
    <w:p>
      <w:pPr>
        <w:ind w:left="2920"/>
        <w:spacing w:after="0" w:line="203" w:lineRule="auto"/>
        <w:rPr>
          <w:sz w:val="20"/>
          <w:szCs w:val="20"/>
          <w:color w:val="auto"/>
        </w:rPr>
      </w:pPr>
      <w:r>
        <w:rPr>
          <w:rFonts w:ascii="Times New Roman" w:cs="Times New Roman" w:eastAsia="Times New Roman" w:hAnsi="Times New Roman"/>
          <w:sz w:val="12"/>
          <w:szCs w:val="12"/>
          <w:color w:val="auto"/>
        </w:rPr>
        <w:t>Mark McKechnie</w:t>
      </w:r>
    </w:p>
    <w:p>
      <w:pPr>
        <w:ind w:left="2800"/>
        <w:spacing w:after="0"/>
        <w:rPr>
          <w:sz w:val="20"/>
          <w:szCs w:val="20"/>
          <w:color w:val="auto"/>
        </w:rPr>
      </w:pPr>
      <w:r>
        <w:rPr>
          <w:rFonts w:ascii="Times New Roman" w:cs="Times New Roman" w:eastAsia="Times New Roman" w:hAnsi="Times New Roman"/>
          <w:sz w:val="12"/>
          <w:szCs w:val="12"/>
          <w:color w:val="auto"/>
        </w:rPr>
        <w:t>Chief Financial Officer and Treasurer</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February 26, 2026</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0159"/>
          </w:cols>
          <w:pgMar w:left="300" w:top="980"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3343910</wp:posOffset>
            </wp:positionH>
            <wp:positionV relativeFrom="paragraph">
              <wp:posOffset>413385</wp:posOffset>
            </wp:positionV>
            <wp:extent cx="480060" cy="297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80060" cy="29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ACM Research Reports Fourth Quarter and Fiscal Year 2025 Results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FREMONT, Calif., February 26, 2026 (Globe Newswire) – ACM Research, Inc. (“ACM”) (NASDAQ: ACMR), a leading supplier of wafer processing solutions for semiconductor and advanced packaging applications, today reported financial results for its fourth quarter and fiscal year ended December 31, 2025.</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“2025 was a year of strong execution for ACM,” said ACM’s President and Chief Executive Officer, Dr. David Wang. “We delivered record annual revenue of $901 million, up 15% year over year, outperforming estimated China WFE. We strengthened our foundation for long-term growth by advancing new products, expanding our global production capacity, and enhancing global funding initiatives.”</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Dr. Wang continued, “From our comprehensive cleaning portfolio to our proprietary high-temperature furnace platform and horizontal panel-level plating solutions, we are addressing increasingly complex semiconductor processes while we deepen engagement with leading customers globally. Thus far in 2026, we have made important progress with global customers, delivering multiple cleaning tools to Singapore and receiving multiple orders for wafer-level and panel-level packaging tools from three global customers. We ended the year with $845 million in net cash, including $623 million added from the ACM Research (Shanghai), Inc. (“ACM Shanghai”) private offering of ordinary shares completed in September 2025. In addition, on February 6, 2026, ACM sold approximately 1.3% of its shares held in ACM Shanghai, for gross proceeds of approximately $111 million.”</w:t>
      </w:r>
    </w:p>
    <w:p>
      <w:pPr>
        <w:spacing w:after="0" w:line="122" w:lineRule="exact"/>
        <w:rPr>
          <w:sz w:val="20"/>
          <w:szCs w:val="20"/>
          <w:color w:val="auto"/>
        </w:rPr>
      </w:pPr>
    </w:p>
    <w:p>
      <w:pPr>
        <w:jc w:val="both"/>
        <w:spacing w:after="0" w:line="147" w:lineRule="exact"/>
        <w:rPr>
          <w:sz w:val="20"/>
          <w:szCs w:val="20"/>
          <w:color w:val="auto"/>
        </w:rPr>
      </w:pPr>
      <w:r>
        <w:rPr>
          <w:rFonts w:ascii="Times New Roman" w:cs="Times New Roman" w:eastAsia="Times New Roman" w:hAnsi="Times New Roman"/>
          <w:sz w:val="12"/>
          <w:szCs w:val="12"/>
          <w:color w:val="auto"/>
        </w:rPr>
        <w:t>“Looking ahead, we maintain our 2026 revenue outlook of $1.08 billion to $1.175 billion, representing 21-30% growth.” Dr. Wang concluded. “We expect incremental contributions from Tahoe, SPM cleaning, and furnace, continued momentum in advanced packaging, and additional evaluations of emerging platforms including CO</w:t>
      </w:r>
      <w:r>
        <w:rPr>
          <w:rFonts w:ascii="MS PGothic" w:cs="MS PGothic" w:eastAsia="MS PGothic" w:hAnsi="MS PGothic"/>
          <w:sz w:val="12"/>
          <w:szCs w:val="12"/>
          <w:color w:val="auto"/>
        </w:rPr>
        <w:t>₂</w:t>
      </w:r>
      <w:r>
        <w:rPr>
          <w:rFonts w:ascii="Times New Roman" w:cs="Times New Roman" w:eastAsia="Times New Roman" w:hAnsi="Times New Roman"/>
          <w:sz w:val="12"/>
          <w:szCs w:val="12"/>
          <w:color w:val="auto"/>
        </w:rPr>
        <w:t xml:space="preserve"> dry, Track, PECVD and Panel-level packaging tools. We are accelerating our investments in Oregon, with operations expected to begin in the second half of 2026, to support our expansion into additional global markets. We believe ACM has the customers, the products, the capacity and the capital to execute on our global business plan and we remain committed to our long-term target of $4 billion in revenue.”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9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3"/>
          </w:tcPr>
          <w:p>
            <w:pPr>
              <w:jc w:val="center"/>
              <w:ind w:right="245"/>
              <w:spacing w:after="0"/>
              <w:rPr>
                <w:sz w:val="20"/>
                <w:szCs w:val="20"/>
                <w:color w:val="auto"/>
              </w:rPr>
            </w:pPr>
            <w:r>
              <w:rPr>
                <w:rFonts w:ascii="Times New Roman" w:cs="Times New Roman" w:eastAsia="Times New Roman" w:hAnsi="Times New Roman"/>
                <w:sz w:val="12"/>
                <w:szCs w:val="12"/>
                <w:b w:val="1"/>
                <w:bCs w:val="1"/>
                <w:color w:val="auto"/>
                <w:w w:val="99"/>
              </w:rPr>
              <w:t>Three Months Ended December 31,</w:t>
            </w: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42"/>
        </w:trPr>
        <w:tc>
          <w:tcPr>
            <w:tcW w:w="49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2"/>
                <w:szCs w:val="12"/>
                <w:b w:val="1"/>
                <w:bCs w:val="1"/>
                <w:color w:val="auto"/>
                <w:w w:val="93"/>
              </w:rPr>
              <w:t>GAAP</w:t>
            </w:r>
          </w:p>
        </w:tc>
        <w:tc>
          <w:tcPr>
            <w:tcW w:w="13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2"/>
          </w:tcPr>
          <w:p>
            <w:pPr>
              <w:jc w:val="right"/>
              <w:ind w:right="126"/>
              <w:spacing w:after="0"/>
              <w:rPr>
                <w:sz w:val="20"/>
                <w:szCs w:val="20"/>
                <w:color w:val="auto"/>
              </w:rPr>
            </w:pPr>
            <w:r>
              <w:rPr>
                <w:rFonts w:ascii="Times New Roman" w:cs="Times New Roman" w:eastAsia="Times New Roman" w:hAnsi="Times New Roman"/>
                <w:sz w:val="12"/>
                <w:szCs w:val="12"/>
                <w:b w:val="1"/>
                <w:bCs w:val="1"/>
                <w:color w:val="auto"/>
              </w:rPr>
              <w:t>Non-GAAP(1)</w:t>
            </w:r>
          </w:p>
        </w:tc>
        <w:tc>
          <w:tcPr>
            <w:tcW w:w="1040" w:type="dxa"/>
            <w:vAlign w:val="bottom"/>
            <w:tcBorders>
              <w:bottom w:val="single" w:sz="8" w:color="auto"/>
            </w:tcBorders>
          </w:tcPr>
          <w:p>
            <w:pPr>
              <w:spacing w:after="0"/>
              <w:rPr>
                <w:sz w:val="12"/>
                <w:szCs w:val="12"/>
                <w:color w:val="auto"/>
              </w:rPr>
            </w:pPr>
          </w:p>
        </w:tc>
      </w:tr>
      <w:tr>
        <w:trPr>
          <w:trHeight w:val="132"/>
        </w:trPr>
        <w:tc>
          <w:tcPr>
            <w:tcW w:w="49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1"/>
                <w:szCs w:val="11"/>
                <w:b w:val="1"/>
                <w:bCs w:val="1"/>
                <w:color w:val="auto"/>
              </w:rPr>
              <w:t>2024</w:t>
            </w:r>
          </w:p>
        </w:tc>
        <w:tc>
          <w:tcPr>
            <w:tcW w:w="5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45"/>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06"/>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39"/>
        </w:trPr>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0" w:type="dxa"/>
            <w:vAlign w:val="bottom"/>
            <w:gridSpan w:val="2"/>
          </w:tcPr>
          <w:p>
            <w:pPr>
              <w:jc w:val="center"/>
              <w:ind w:left="764"/>
              <w:spacing w:after="0"/>
              <w:rPr>
                <w:sz w:val="20"/>
                <w:szCs w:val="20"/>
                <w:color w:val="auto"/>
              </w:rPr>
            </w:pPr>
            <w:r>
              <w:rPr>
                <w:rFonts w:ascii="Times New Roman" w:cs="Times New Roman" w:eastAsia="Times New Roman" w:hAnsi="Times New Roman"/>
                <w:sz w:val="12"/>
                <w:szCs w:val="12"/>
                <w:i w:val="1"/>
                <w:iCs w:val="1"/>
                <w:color w:val="auto"/>
                <w:w w:val="98"/>
              </w:rPr>
              <w:t>(Unaudited)</w:t>
            </w:r>
          </w:p>
        </w:tc>
        <w:tc>
          <w:tcPr>
            <w:tcW w:w="1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57"/>
        </w:trPr>
        <w:tc>
          <w:tcPr>
            <w:tcW w:w="49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3"/>
          </w:tcPr>
          <w:p>
            <w:pPr>
              <w:jc w:val="center"/>
              <w:ind w:right="245"/>
              <w:spacing w:after="0"/>
              <w:rPr>
                <w:sz w:val="20"/>
                <w:szCs w:val="20"/>
                <w:color w:val="auto"/>
              </w:rPr>
            </w:pPr>
            <w:r>
              <w:rPr>
                <w:rFonts w:ascii="Times New Roman" w:cs="Times New Roman" w:eastAsia="Times New Roman" w:hAnsi="Times New Roman"/>
                <w:sz w:val="12"/>
                <w:szCs w:val="12"/>
                <w:i w:val="1"/>
                <w:iCs w:val="1"/>
                <w:color w:val="auto"/>
                <w:w w:val="99"/>
              </w:rPr>
              <w:t>(In thousands, except share and per share data)</w:t>
            </w: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33"/>
        </w:trPr>
        <w:tc>
          <w:tcPr>
            <w:tcW w:w="49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244,430</w:t>
            </w:r>
          </w:p>
        </w:tc>
        <w:tc>
          <w:tcPr>
            <w:tcW w:w="48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rPr>
              <w:t>223,471</w:t>
            </w:r>
          </w:p>
        </w:tc>
        <w:tc>
          <w:tcPr>
            <w:tcW w:w="50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rPr>
              <w:t>244,430</w:t>
            </w:r>
          </w:p>
        </w:tc>
        <w:tc>
          <w:tcPr>
            <w:tcW w:w="54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223,471</w:t>
            </w:r>
          </w:p>
        </w:tc>
      </w:tr>
      <w:tr>
        <w:trPr>
          <w:trHeight w:val="153"/>
        </w:trPr>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Gross margin</w:t>
            </w:r>
          </w:p>
        </w:tc>
        <w:tc>
          <w:tcPr>
            <w:tcW w:w="360" w:type="dxa"/>
            <w:vAlign w:val="bottom"/>
          </w:tcPr>
          <w:p>
            <w:pPr>
              <w:spacing w:after="0"/>
              <w:rPr>
                <w:sz w:val="13"/>
                <w:szCs w:val="13"/>
                <w:color w:val="auto"/>
              </w:rPr>
            </w:pPr>
          </w:p>
        </w:tc>
        <w:tc>
          <w:tcPr>
            <w:tcW w:w="1520" w:type="dxa"/>
            <w:vAlign w:val="bottom"/>
            <w:gridSpan w:val="2"/>
          </w:tcPr>
          <w:p>
            <w:pPr>
              <w:jc w:val="right"/>
              <w:ind w:right="305"/>
              <w:spacing w:after="0"/>
              <w:rPr>
                <w:sz w:val="20"/>
                <w:szCs w:val="20"/>
                <w:color w:val="auto"/>
              </w:rPr>
            </w:pPr>
            <w:r>
              <w:rPr>
                <w:rFonts w:ascii="Times New Roman" w:cs="Times New Roman" w:eastAsia="Times New Roman" w:hAnsi="Times New Roman"/>
                <w:sz w:val="11"/>
                <w:szCs w:val="11"/>
                <w:color w:val="auto"/>
              </w:rPr>
              <w:t>40.9 %</w:t>
            </w: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49.6 %</w:t>
            </w:r>
          </w:p>
        </w:tc>
        <w:tc>
          <w:tcPr>
            <w:tcW w:w="500" w:type="dxa"/>
            <w:vAlign w:val="bottom"/>
          </w:tcPr>
          <w:p>
            <w:pPr>
              <w:spacing w:after="0"/>
              <w:rPr>
                <w:sz w:val="13"/>
                <w:szCs w:val="13"/>
                <w:color w:val="auto"/>
              </w:rPr>
            </w:pPr>
          </w:p>
        </w:tc>
        <w:tc>
          <w:tcPr>
            <w:tcW w:w="11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41.0 %</w:t>
            </w:r>
          </w:p>
        </w:tc>
        <w:tc>
          <w:tcPr>
            <w:tcW w:w="5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49.8 %</w:t>
            </w:r>
          </w:p>
        </w:tc>
      </w:tr>
      <w:tr>
        <w:trPr>
          <w:trHeight w:val="15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from operations</w:t>
            </w: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23,035</w:t>
            </w:r>
          </w:p>
        </w:tc>
        <w:tc>
          <w:tcPr>
            <w:tcW w:w="48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rPr>
              <w:t>43,989</w:t>
            </w:r>
          </w:p>
        </w:tc>
        <w:tc>
          <w:tcPr>
            <w:tcW w:w="50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rPr>
              <w:t>29,463</w:t>
            </w:r>
          </w:p>
        </w:tc>
        <w:tc>
          <w:tcPr>
            <w:tcW w:w="54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52,773</w:t>
            </w:r>
          </w:p>
        </w:tc>
      </w:tr>
      <w:tr>
        <w:trPr>
          <w:trHeight w:val="153"/>
        </w:trPr>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Net income attributable to ACM Research, Inc.</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8,049</w:t>
            </w:r>
          </w:p>
        </w:tc>
        <w:tc>
          <w:tcPr>
            <w:tcW w:w="48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31,080</w:t>
            </w:r>
          </w:p>
        </w:tc>
        <w:tc>
          <w:tcPr>
            <w:tcW w:w="50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rPr>
              <w:t>17,326</w:t>
            </w:r>
          </w:p>
        </w:tc>
        <w:tc>
          <w:tcPr>
            <w:tcW w:w="5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37,740</w:t>
            </w:r>
          </w:p>
        </w:tc>
      </w:tr>
      <w:tr>
        <w:trPr>
          <w:trHeight w:val="15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EPS</w:t>
            </w: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0.12</w:t>
            </w:r>
          </w:p>
        </w:tc>
        <w:tc>
          <w:tcPr>
            <w:tcW w:w="48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rPr>
              <w:t>0.49</w:t>
            </w:r>
          </w:p>
        </w:tc>
        <w:tc>
          <w:tcPr>
            <w:tcW w:w="500" w:type="dxa"/>
            <w:vAlign w:val="bottom"/>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rPr>
              <w:t>0.27</w:t>
            </w:r>
          </w:p>
        </w:tc>
        <w:tc>
          <w:tcPr>
            <w:tcW w:w="54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rPr>
              <w:t>0.60</w:t>
            </w:r>
          </w:p>
        </w:tc>
      </w:tr>
      <w:tr>
        <w:trPr>
          <w:trHeight w:val="155"/>
        </w:trPr>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Diluted EPS</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0.11</w:t>
            </w:r>
          </w:p>
        </w:tc>
        <w:tc>
          <w:tcPr>
            <w:tcW w:w="48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0.46</w:t>
            </w:r>
          </w:p>
        </w:tc>
        <w:tc>
          <w:tcPr>
            <w:tcW w:w="500" w:type="dxa"/>
            <w:vAlign w:val="bottom"/>
          </w:tcPr>
          <w:p>
            <w:pPr>
              <w:jc w:val="right"/>
              <w:ind w:right="346"/>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rPr>
              <w:t>0.25</w:t>
            </w:r>
          </w:p>
        </w:tc>
        <w:tc>
          <w:tcPr>
            <w:tcW w:w="5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0.56</w:t>
            </w:r>
          </w:p>
        </w:tc>
      </w:tr>
    </w:tbl>
    <w:p>
      <w:pPr>
        <w:sectPr>
          <w:pgSz w:w="11900" w:h="16838" w:orient="portrait"/>
          <w:cols w:equalWidth="0" w:num="1">
            <w:col w:w="11300"/>
          </w:cols>
          <w:pgMar w:left="300" w:top="125" w:right="299" w:bottom="1440" w:gutter="0" w:footer="0" w:header="0"/>
        </w:sectPr>
      </w:pPr>
    </w:p>
    <w:bookmarkStart w:id="4" w:name="page5"/>
    <w:bookmarkEnd w:id="4"/>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49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tc>
      </w:tr>
      <w:tr>
        <w:trPr>
          <w:trHeight w:val="711"/>
        </w:trPr>
        <w:tc>
          <w:tcPr>
            <w:tcW w:w="49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center"/>
              <w:ind w:left="464"/>
              <w:spacing w:after="0"/>
              <w:rPr>
                <w:sz w:val="20"/>
                <w:szCs w:val="20"/>
                <w:color w:val="auto"/>
              </w:rPr>
            </w:pPr>
            <w:r>
              <w:rPr>
                <w:rFonts w:ascii="Times New Roman" w:cs="Times New Roman" w:eastAsia="Times New Roman" w:hAnsi="Times New Roman"/>
                <w:sz w:val="12"/>
                <w:szCs w:val="12"/>
                <w:b w:val="1"/>
                <w:bCs w:val="1"/>
                <w:color w:val="auto"/>
                <w:w w:val="99"/>
              </w:rPr>
              <w:t>Year Ended December 31,</w:t>
            </w:r>
          </w:p>
        </w:tc>
        <w:tc>
          <w:tcPr>
            <w:tcW w:w="9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142"/>
        </w:trPr>
        <w:tc>
          <w:tcPr>
            <w:tcW w:w="49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2"/>
                <w:szCs w:val="12"/>
                <w:b w:val="1"/>
                <w:bCs w:val="1"/>
                <w:color w:val="auto"/>
                <w:w w:val="93"/>
              </w:rPr>
              <w:t>GAAP</w:t>
            </w:r>
          </w:p>
        </w:tc>
        <w:tc>
          <w:tcPr>
            <w:tcW w:w="1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2"/>
          </w:tcPr>
          <w:p>
            <w:pPr>
              <w:jc w:val="right"/>
              <w:ind w:right="126"/>
              <w:spacing w:after="0"/>
              <w:rPr>
                <w:sz w:val="20"/>
                <w:szCs w:val="20"/>
                <w:color w:val="auto"/>
              </w:rPr>
            </w:pPr>
            <w:r>
              <w:rPr>
                <w:rFonts w:ascii="Times New Roman" w:cs="Times New Roman" w:eastAsia="Times New Roman" w:hAnsi="Times New Roman"/>
                <w:sz w:val="12"/>
                <w:szCs w:val="12"/>
                <w:b w:val="1"/>
                <w:bCs w:val="1"/>
                <w:color w:val="auto"/>
              </w:rPr>
              <w:t>Non-GAAP(1)</w:t>
            </w:r>
          </w:p>
        </w:tc>
        <w:tc>
          <w:tcPr>
            <w:tcW w:w="1040" w:type="dxa"/>
            <w:vAlign w:val="bottom"/>
            <w:tcBorders>
              <w:bottom w:val="single" w:sz="8" w:color="auto"/>
            </w:tcBorders>
          </w:tcPr>
          <w:p>
            <w:pPr>
              <w:spacing w:after="0"/>
              <w:rPr>
                <w:sz w:val="12"/>
                <w:szCs w:val="12"/>
                <w:color w:val="auto"/>
              </w:rPr>
            </w:pPr>
          </w:p>
        </w:tc>
      </w:tr>
      <w:tr>
        <w:trPr>
          <w:trHeight w:val="132"/>
        </w:trPr>
        <w:tc>
          <w:tcPr>
            <w:tcW w:w="49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1"/>
                <w:szCs w:val="11"/>
                <w:b w:val="1"/>
                <w:bCs w:val="1"/>
                <w:color w:val="auto"/>
              </w:rPr>
              <w:t>2024</w:t>
            </w:r>
          </w:p>
        </w:tc>
        <w:tc>
          <w:tcPr>
            <w:tcW w:w="6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645"/>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5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605"/>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39"/>
        </w:trPr>
        <w:tc>
          <w:tcPr>
            <w:tcW w:w="4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60" w:type="dxa"/>
            <w:vAlign w:val="bottom"/>
            <w:gridSpan w:val="2"/>
          </w:tcPr>
          <w:p>
            <w:pPr>
              <w:jc w:val="center"/>
              <w:ind w:left="464"/>
              <w:spacing w:after="0"/>
              <w:rPr>
                <w:sz w:val="20"/>
                <w:szCs w:val="20"/>
                <w:color w:val="auto"/>
              </w:rPr>
            </w:pPr>
            <w:r>
              <w:rPr>
                <w:rFonts w:ascii="Times New Roman" w:cs="Times New Roman" w:eastAsia="Times New Roman" w:hAnsi="Times New Roman"/>
                <w:sz w:val="12"/>
                <w:szCs w:val="12"/>
                <w:i w:val="1"/>
                <w:iCs w:val="1"/>
                <w:color w:val="auto"/>
                <w:w w:val="98"/>
              </w:rPr>
              <w:t>(Unaudited)</w:t>
            </w: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57"/>
        </w:trPr>
        <w:tc>
          <w:tcPr>
            <w:tcW w:w="49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3"/>
          </w:tcPr>
          <w:p>
            <w:pPr>
              <w:jc w:val="center"/>
              <w:ind w:right="365"/>
              <w:spacing w:after="0"/>
              <w:rPr>
                <w:sz w:val="20"/>
                <w:szCs w:val="20"/>
                <w:color w:val="auto"/>
              </w:rPr>
            </w:pPr>
            <w:r>
              <w:rPr>
                <w:rFonts w:ascii="Times New Roman" w:cs="Times New Roman" w:eastAsia="Times New Roman" w:hAnsi="Times New Roman"/>
                <w:sz w:val="12"/>
                <w:szCs w:val="12"/>
                <w:i w:val="1"/>
                <w:iCs w:val="1"/>
                <w:color w:val="auto"/>
                <w:w w:val="99"/>
              </w:rPr>
              <w:t>(In thousands, except per share data)</w:t>
            </w: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33"/>
        </w:trPr>
        <w:tc>
          <w:tcPr>
            <w:tcW w:w="49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w:t>
            </w: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901,309</w:t>
            </w:r>
          </w:p>
        </w:tc>
        <w:tc>
          <w:tcPr>
            <w:tcW w:w="60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rPr>
              <w:t>782,118</w:t>
            </w:r>
          </w:p>
        </w:tc>
        <w:tc>
          <w:tcPr>
            <w:tcW w:w="680" w:type="dxa"/>
            <w:vAlign w:val="bottom"/>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rPr>
              <w:t>901,309</w:t>
            </w:r>
          </w:p>
        </w:tc>
        <w:tc>
          <w:tcPr>
            <w:tcW w:w="54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rPr>
              <w:t>782,118</w:t>
            </w:r>
          </w:p>
        </w:tc>
      </w:tr>
      <w:tr>
        <w:trPr>
          <w:trHeight w:val="153"/>
        </w:trPr>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Gross margin</w:t>
            </w:r>
          </w:p>
        </w:tc>
        <w:tc>
          <w:tcPr>
            <w:tcW w:w="360" w:type="dxa"/>
            <w:vAlign w:val="bottom"/>
          </w:tcPr>
          <w:p>
            <w:pPr>
              <w:spacing w:after="0"/>
              <w:rPr>
                <w:sz w:val="13"/>
                <w:szCs w:val="13"/>
                <w:color w:val="auto"/>
              </w:rPr>
            </w:pPr>
          </w:p>
        </w:tc>
        <w:tc>
          <w:tcPr>
            <w:tcW w:w="1640" w:type="dxa"/>
            <w:vAlign w:val="bottom"/>
            <w:gridSpan w:val="2"/>
          </w:tcPr>
          <w:p>
            <w:pPr>
              <w:jc w:val="right"/>
              <w:ind w:right="425"/>
              <w:spacing w:after="0"/>
              <w:rPr>
                <w:sz w:val="20"/>
                <w:szCs w:val="20"/>
                <w:color w:val="auto"/>
              </w:rPr>
            </w:pPr>
            <w:r>
              <w:rPr>
                <w:rFonts w:ascii="Times New Roman" w:cs="Times New Roman" w:eastAsia="Times New Roman" w:hAnsi="Times New Roman"/>
                <w:sz w:val="11"/>
                <w:szCs w:val="11"/>
                <w:color w:val="auto"/>
              </w:rPr>
              <w:t>44.4 %</w:t>
            </w:r>
          </w:p>
        </w:tc>
        <w:tc>
          <w:tcPr>
            <w:tcW w:w="118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50.1 %</w:t>
            </w:r>
          </w:p>
        </w:tc>
        <w:tc>
          <w:tcPr>
            <w:tcW w:w="680" w:type="dxa"/>
            <w:vAlign w:val="bottom"/>
          </w:tcPr>
          <w:p>
            <w:pPr>
              <w:spacing w:after="0"/>
              <w:rPr>
                <w:sz w:val="13"/>
                <w:szCs w:val="13"/>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44.5 %</w:t>
            </w:r>
          </w:p>
        </w:tc>
        <w:tc>
          <w:tcPr>
            <w:tcW w:w="5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50.4 %</w:t>
            </w:r>
          </w:p>
        </w:tc>
      </w:tr>
      <w:tr>
        <w:trPr>
          <w:trHeight w:val="15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from operations</w:t>
            </w: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109,429</w:t>
            </w:r>
          </w:p>
        </w:tc>
        <w:tc>
          <w:tcPr>
            <w:tcW w:w="60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rPr>
              <w:t>150,998</w:t>
            </w:r>
          </w:p>
        </w:tc>
        <w:tc>
          <w:tcPr>
            <w:tcW w:w="680" w:type="dxa"/>
            <w:vAlign w:val="bottom"/>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rPr>
              <w:t>143,006</w:t>
            </w:r>
          </w:p>
        </w:tc>
        <w:tc>
          <w:tcPr>
            <w:tcW w:w="54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rPr>
              <w:t>200,574</w:t>
            </w:r>
          </w:p>
        </w:tc>
      </w:tr>
      <w:tr>
        <w:trPr>
          <w:trHeight w:val="153"/>
        </w:trPr>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Net income attributable to ACM Research, Inc.</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94,078</w:t>
            </w:r>
          </w:p>
        </w:tc>
        <w:tc>
          <w:tcPr>
            <w:tcW w:w="60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103,627</w:t>
            </w:r>
          </w:p>
        </w:tc>
        <w:tc>
          <w:tcPr>
            <w:tcW w:w="680" w:type="dxa"/>
            <w:vAlign w:val="bottom"/>
          </w:tcPr>
          <w:p>
            <w:pPr>
              <w:jc w:val="right"/>
              <w:ind w:right="52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rPr>
              <w:t>110,200</w:t>
            </w:r>
          </w:p>
        </w:tc>
        <w:tc>
          <w:tcPr>
            <w:tcW w:w="5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152,230</w:t>
            </w:r>
          </w:p>
        </w:tc>
      </w:tr>
      <w:tr>
        <w:trPr>
          <w:trHeight w:val="153"/>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EPS</w:t>
            </w: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60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1"/>
                <w:szCs w:val="11"/>
                <w:color w:val="auto"/>
              </w:rPr>
              <w:t>1.67</w:t>
            </w:r>
          </w:p>
        </w:tc>
        <w:tc>
          <w:tcPr>
            <w:tcW w:w="680" w:type="dxa"/>
            <w:vAlign w:val="bottom"/>
            <w:shd w:val="clear" w:color="auto" w:fill="CCEEFF"/>
          </w:tcPr>
          <w:p>
            <w:pPr>
              <w:jc w:val="right"/>
              <w:ind w:right="52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ind w:right="125"/>
              <w:spacing w:after="0"/>
              <w:rPr>
                <w:sz w:val="20"/>
                <w:szCs w:val="20"/>
                <w:color w:val="auto"/>
              </w:rPr>
            </w:pPr>
            <w:r>
              <w:rPr>
                <w:rFonts w:ascii="Times New Roman" w:cs="Times New Roman" w:eastAsia="Times New Roman" w:hAnsi="Times New Roman"/>
                <w:sz w:val="11"/>
                <w:szCs w:val="11"/>
                <w:color w:val="auto"/>
              </w:rPr>
              <w:t>1.72</w:t>
            </w:r>
          </w:p>
        </w:tc>
        <w:tc>
          <w:tcPr>
            <w:tcW w:w="540" w:type="dxa"/>
            <w:vAlign w:val="bottom"/>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1"/>
                <w:szCs w:val="11"/>
                <w:color w:val="auto"/>
              </w:rPr>
              <w:t>2.45</w:t>
            </w:r>
          </w:p>
        </w:tc>
      </w:tr>
      <w:tr>
        <w:trPr>
          <w:trHeight w:val="155"/>
        </w:trPr>
        <w:tc>
          <w:tcPr>
            <w:tcW w:w="4920" w:type="dxa"/>
            <w:vAlign w:val="bottom"/>
          </w:tcPr>
          <w:p>
            <w:pPr>
              <w:spacing w:after="0"/>
              <w:rPr>
                <w:sz w:val="20"/>
                <w:szCs w:val="20"/>
                <w:color w:val="auto"/>
              </w:rPr>
            </w:pPr>
            <w:r>
              <w:rPr>
                <w:rFonts w:ascii="Times New Roman" w:cs="Times New Roman" w:eastAsia="Times New Roman" w:hAnsi="Times New Roman"/>
                <w:sz w:val="12"/>
                <w:szCs w:val="12"/>
                <w:color w:val="auto"/>
              </w:rPr>
              <w:t>Diluted EPS</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w:t>
            </w:r>
          </w:p>
        </w:tc>
        <w:tc>
          <w:tcPr>
            <w:tcW w:w="600" w:type="dxa"/>
            <w:vAlign w:val="bottom"/>
          </w:tcPr>
          <w:p>
            <w:pPr>
              <w:jc w:val="right"/>
              <w:ind w:right="265"/>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ind w:right="124"/>
              <w:spacing w:after="0"/>
              <w:rPr>
                <w:sz w:val="20"/>
                <w:szCs w:val="20"/>
                <w:color w:val="auto"/>
              </w:rPr>
            </w:pPr>
            <w:r>
              <w:rPr>
                <w:rFonts w:ascii="Times New Roman" w:cs="Times New Roman" w:eastAsia="Times New Roman" w:hAnsi="Times New Roman"/>
                <w:sz w:val="11"/>
                <w:szCs w:val="11"/>
                <w:color w:val="auto"/>
              </w:rPr>
              <w:t>1.53</w:t>
            </w:r>
          </w:p>
        </w:tc>
        <w:tc>
          <w:tcPr>
            <w:tcW w:w="680" w:type="dxa"/>
            <w:vAlign w:val="bottom"/>
          </w:tcPr>
          <w:p>
            <w:pPr>
              <w:jc w:val="right"/>
              <w:ind w:right="526"/>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rPr>
              <w:t>1.61</w:t>
            </w:r>
          </w:p>
        </w:tc>
        <w:tc>
          <w:tcPr>
            <w:tcW w:w="54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rPr>
              <w:t>2.26</w:t>
            </w:r>
          </w:p>
        </w:tc>
      </w:tr>
    </w:tbl>
    <w:p>
      <w:pPr>
        <w:spacing w:after="0" w:line="191" w:lineRule="exact"/>
        <w:rPr>
          <w:sz w:val="20"/>
          <w:szCs w:val="20"/>
          <w:color w:val="auto"/>
        </w:rPr>
      </w:pPr>
    </w:p>
    <w:p>
      <w:pPr>
        <w:ind w:left="208" w:hanging="208"/>
        <w:spacing w:after="0" w:line="243" w:lineRule="auto"/>
        <w:tabs>
          <w:tab w:leader="none" w:pos="203" w:val="left"/>
        </w:tabs>
        <w:numPr>
          <w:ilvl w:val="0"/>
          <w:numId w:val="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Reconciliations to U.S. generally accepted accounting principles (“GAAP”) financial measures from non-GAAP financial measures are presented below under “Reconciliation of GAAP to Non-GAAP Financial Measures.” Non-GAAP financial measures exclude stock-based compensation and, with respect to net income (loss) attributable to ACM Research, Inc. and basic and diluted earnings per share, also exclude unrealized gain (loss) on short-term investments.</w:t>
      </w:r>
    </w:p>
    <w:p>
      <w:pPr>
        <w:spacing w:after="0" w:line="1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Outlook</w:t>
      </w:r>
    </w:p>
    <w:p>
      <w:pPr>
        <w:spacing w:after="0" w:line="163" w:lineRule="exact"/>
        <w:rPr>
          <w:sz w:val="20"/>
          <w:szCs w:val="20"/>
          <w:color w:val="auto"/>
        </w:rPr>
      </w:pPr>
    </w:p>
    <w:p>
      <w:pPr>
        <w:ind w:left="8"/>
        <w:spacing w:after="0" w:line="264" w:lineRule="auto"/>
        <w:rPr>
          <w:sz w:val="20"/>
          <w:szCs w:val="20"/>
          <w:color w:val="auto"/>
        </w:rPr>
      </w:pPr>
      <w:r>
        <w:rPr>
          <w:rFonts w:ascii="Times New Roman" w:cs="Times New Roman" w:eastAsia="Times New Roman" w:hAnsi="Times New Roman"/>
          <w:sz w:val="12"/>
          <w:szCs w:val="12"/>
          <w:color w:val="auto"/>
        </w:rPr>
        <w:t>ACM is maintaining its revenue guidance range of $1,080 million to $1,175 million for fiscal year 2026. This expectation is based on ACM management’s current assessment of the continuing impact from international trade policy, together with various expected spending scenarios of key customers, supply chain constraints, and the timing of acceptances for first tools under evaluation in the field, among other factors.</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Operating Highlights and Recent Announcements</w:t>
      </w:r>
    </w:p>
    <w:p>
      <w:pPr>
        <w:spacing w:after="0" w:line="168" w:lineRule="exact"/>
        <w:rPr>
          <w:sz w:val="20"/>
          <w:szCs w:val="20"/>
          <w:color w:val="auto"/>
        </w:rPr>
      </w:pPr>
    </w:p>
    <w:p>
      <w:pPr>
        <w:ind w:left="208" w:hanging="208"/>
        <w:spacing w:after="0" w:line="271" w:lineRule="auto"/>
        <w:tabs>
          <w:tab w:leader="none" w:pos="205"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Shipments. </w:t>
      </w:r>
      <w:r>
        <w:rPr>
          <w:rFonts w:ascii="Times New Roman" w:cs="Times New Roman" w:eastAsia="Times New Roman" w:hAnsi="Times New Roman"/>
          <w:sz w:val="12"/>
          <w:szCs w:val="12"/>
          <w:color w:val="auto"/>
        </w:rPr>
        <w:t>Total shipments in 2025 were $854 million, down 12.2%. Total shipments in the fourth quarter of 2025 were $228 million, versus $264 million in the fourth quarter of 2024. Total shipments include deliveries for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revenue in the quarter and deliveries of first tools awaiting customer acceptance for potential revenue recognition in future quarters.</w:t>
      </w:r>
    </w:p>
    <w:p>
      <w:pPr>
        <w:spacing w:after="0" w:line="129" w:lineRule="exact"/>
        <w:rPr>
          <w:rFonts w:ascii="Times New Roman" w:cs="Times New Roman" w:eastAsia="Times New Roman" w:hAnsi="Times New Roman"/>
          <w:sz w:val="12"/>
          <w:szCs w:val="12"/>
          <w:color w:val="auto"/>
        </w:rPr>
      </w:pPr>
    </w:p>
    <w:p>
      <w:pPr>
        <w:jc w:val="both"/>
        <w:ind w:left="208" w:hanging="208"/>
        <w:spacing w:after="0" w:line="252" w:lineRule="auto"/>
        <w:tabs>
          <w:tab w:leader="none" w:pos="205"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Delivered First Horizontal Panel Electroplating Tool. </w:t>
      </w:r>
      <w:r>
        <w:rPr>
          <w:rFonts w:ascii="Times New Roman" w:cs="Times New Roman" w:eastAsia="Times New Roman" w:hAnsi="Times New Roman"/>
          <w:sz w:val="12"/>
          <w:szCs w:val="12"/>
          <w:color w:val="auto"/>
        </w:rPr>
        <w:t>ACM delivered its first panel electrochemical plating tool, the Ultra ECP ap-p, to an industry-leading panel fabrication customer. The Ultra ECP ap-p is the first commercial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horizontal panel-level copper deposition system for the large-panel market, supporting plating steps across pillar, bump, and redistribution layer (RDL) processes. The system achieves panel-processing performance—comparable to traditional round wafer processes, enabling manufacturers to meet demanding device requirements with greater efficiency.</w:t>
      </w:r>
    </w:p>
    <w:p>
      <w:pPr>
        <w:spacing w:after="0" w:line="141" w:lineRule="exact"/>
        <w:rPr>
          <w:rFonts w:ascii="Times New Roman" w:cs="Times New Roman" w:eastAsia="Times New Roman" w:hAnsi="Times New Roman"/>
          <w:sz w:val="12"/>
          <w:szCs w:val="12"/>
          <w:color w:val="auto"/>
        </w:rPr>
      </w:pPr>
    </w:p>
    <w:p>
      <w:pPr>
        <w:jc w:val="both"/>
        <w:ind w:left="208" w:hanging="208"/>
        <w:spacing w:after="0" w:line="252" w:lineRule="auto"/>
        <w:tabs>
          <w:tab w:leader="none" w:pos="205"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Delivered Advanced Ultra Lith BK Photoresist Hardening Tool. </w:t>
      </w:r>
      <w:r>
        <w:rPr>
          <w:rFonts w:ascii="Times New Roman" w:cs="Times New Roman" w:eastAsia="Times New Roman" w:hAnsi="Times New Roman"/>
          <w:sz w:val="12"/>
          <w:szCs w:val="12"/>
          <w:color w:val="auto"/>
        </w:rPr>
        <w:t>ACM delivered its first Ultra Lith BK system to a leading global display panel manufacturer. The system is engineered to address industry-wide challenges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advanced lithography, including process non-uniformity, thermal drift, and critical dimension variation. It can also help semiconductor manufacturers maintain stable yield and pattern fidelity as device geometries continue to shrink. With industry-leading ultraviolet curing uniformity and precision temperature control, the Ultra Lith BK enables highly stable and repeatable lithography processes.</w:t>
      </w:r>
    </w:p>
    <w:p>
      <w:pPr>
        <w:spacing w:after="0" w:line="132" w:lineRule="exact"/>
        <w:rPr>
          <w:rFonts w:ascii="Times New Roman" w:cs="Times New Roman" w:eastAsia="Times New Roman" w:hAnsi="Times New Roman"/>
          <w:sz w:val="12"/>
          <w:szCs w:val="12"/>
          <w:color w:val="auto"/>
        </w:rPr>
      </w:pPr>
    </w:p>
    <w:p>
      <w:pPr>
        <w:ind w:left="208" w:right="20" w:hanging="208"/>
        <w:spacing w:after="0" w:line="271" w:lineRule="auto"/>
        <w:tabs>
          <w:tab w:leader="none" w:pos="205"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Delivered Multiple Single-Wafer Cleaning Systems to a Foundry Customer in Singapore. </w:t>
      </w:r>
      <w:r>
        <w:rPr>
          <w:rFonts w:ascii="Times New Roman" w:cs="Times New Roman" w:eastAsia="Times New Roman" w:hAnsi="Times New Roman"/>
          <w:sz w:val="12"/>
          <w:szCs w:val="12"/>
          <w:color w:val="auto"/>
        </w:rPr>
        <w:t>ACM recently delivered several 300mm single-wafer cleaning systems to the front-end wafer fabrication facility of a foundry customer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 Singapore. This marks ACM’s first deployment to a Singapore-based fabrication facility and an important step in expanding ACM’s presence in Southeast Asia as part of its global growth strategy.</w:t>
      </w:r>
    </w:p>
    <w:p>
      <w:pPr>
        <w:spacing w:after="0" w:line="129" w:lineRule="exact"/>
        <w:rPr>
          <w:rFonts w:ascii="Times New Roman" w:cs="Times New Roman" w:eastAsia="Times New Roman" w:hAnsi="Times New Roman"/>
          <w:sz w:val="12"/>
          <w:szCs w:val="12"/>
          <w:color w:val="auto"/>
        </w:rPr>
      </w:pPr>
    </w:p>
    <w:p>
      <w:pPr>
        <w:jc w:val="both"/>
        <w:ind w:left="208" w:hanging="208"/>
        <w:spacing w:after="0" w:line="252" w:lineRule="auto"/>
        <w:tabs>
          <w:tab w:leader="none" w:pos="205"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Secured Multiple Advanced Packaging Equipment Orders from Leading Global Customers. </w:t>
      </w:r>
      <w:r>
        <w:rPr>
          <w:rFonts w:ascii="Times New Roman" w:cs="Times New Roman" w:eastAsia="Times New Roman" w:hAnsi="Times New Roman"/>
          <w:sz w:val="12"/>
          <w:szCs w:val="12"/>
          <w:color w:val="auto"/>
        </w:rPr>
        <w:t>ACM announced it has secured an order for its patent-pending Ultra C vac-p panel-level vacuum cleaning system from a leading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global semiconductor packaging manufacturer outside mainland China. ACM also announced it has received multiple orders for its wafer-level advanced packaging tools from a North America-based leading technology company and a major Singapore-based global outsourced semiconductor assembly and test (OSAT) customer.</w:t>
      </w:r>
    </w:p>
    <w:p>
      <w:pPr>
        <w:spacing w:after="0" w:line="141"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Sale of Shares of ACM Shanghai. </w:t>
      </w:r>
      <w:r>
        <w:rPr>
          <w:rFonts w:ascii="Times New Roman" w:cs="Times New Roman" w:eastAsia="Times New Roman" w:hAnsi="Times New Roman"/>
          <w:sz w:val="12"/>
          <w:szCs w:val="12"/>
          <w:color w:val="auto"/>
        </w:rPr>
        <w:t>On February 6, 2026, ACM completed the sale of approximately 4.8 million shares of ACM Shanghai, the operating subsidiary of ACM, at RMB 160.0 per share (approximately $23.05),</w:t>
      </w:r>
    </w:p>
    <w:p>
      <w:pPr>
        <w:spacing w:after="0" w:line="303" w:lineRule="exact"/>
        <w:rPr>
          <w:rFonts w:ascii="Times New Roman" w:cs="Times New Roman" w:eastAsia="Times New Roman" w:hAnsi="Times New Roman"/>
          <w:sz w:val="12"/>
          <w:szCs w:val="12"/>
          <w:color w:val="auto"/>
        </w:rPr>
      </w:pPr>
    </w:p>
    <w:p>
      <w:pPr>
        <w:ind w:left="5628" w:hanging="56"/>
        <w:spacing w:after="0"/>
        <w:tabs>
          <w:tab w:leader="none" w:pos="5628" w:val="left"/>
        </w:tabs>
        <w:numPr>
          <w:ilvl w:val="1"/>
          <w:numId w:val="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2 -</w:t>
      </w:r>
    </w:p>
    <w:p>
      <w:pPr>
        <w:sectPr>
          <w:pgSz w:w="11900" w:h="16838" w:orient="portrait"/>
          <w:cols w:equalWidth="0" w:num="1">
            <w:col w:w="11308"/>
          </w:cols>
          <w:pgMar w:left="292" w:top="125" w:right="29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0" w:lineRule="exact"/>
        <w:rPr>
          <w:sz w:val="20"/>
          <w:szCs w:val="20"/>
          <w:color w:val="auto"/>
        </w:rPr>
      </w:pPr>
    </w:p>
    <w:p>
      <w:pPr>
        <w:spacing w:after="0" w:line="206"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generating approximately $111 million in gross proceeds. Following the transaction, ACM’s ownership percentage in ACM Shanghai decreased from 74.8% to 73.7%.</w:t>
      </w:r>
    </w:p>
    <w:p>
      <w:pPr>
        <w:spacing w:after="0" w:line="1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Full Year 2025 Financial Summary</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Unless otherwise noted, the following figures refer to the full year of 2025 and comparisons are with the full year of 2024.</w:t>
      </w:r>
    </w:p>
    <w:p>
      <w:pPr>
        <w:spacing w:after="0" w:line="148" w:lineRule="exact"/>
        <w:rPr>
          <w:sz w:val="20"/>
          <w:szCs w:val="20"/>
          <w:color w:val="auto"/>
        </w:rPr>
      </w:pPr>
    </w:p>
    <w:p>
      <w:pPr>
        <w:ind w:left="208" w:hanging="208"/>
        <w:spacing w:after="0" w:line="286" w:lineRule="auto"/>
        <w:tabs>
          <w:tab w:leader="none" w:pos="205"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Revenue </w:t>
      </w:r>
      <w:r>
        <w:rPr>
          <w:rFonts w:ascii="Times New Roman" w:cs="Times New Roman" w:eastAsia="Times New Roman" w:hAnsi="Times New Roman"/>
          <w:sz w:val="12"/>
          <w:szCs w:val="12"/>
          <w:color w:val="auto"/>
        </w:rPr>
        <w:t>was $901.3 million, up 15.2%, reflecting growth of single wafer cleaning, Tahoe and semi-critical cleaning equipment, and higher sales of ECP (front-end and packaging), furnace and other technologies, and advanced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packaging (excluding ECP), services and spares.</w:t>
      </w:r>
    </w:p>
    <w:p>
      <w:pPr>
        <w:spacing w:after="0" w:line="103" w:lineRule="exact"/>
        <w:rPr>
          <w:rFonts w:ascii="Times New Roman" w:cs="Times New Roman" w:eastAsia="Times New Roman" w:hAnsi="Times New Roman"/>
          <w:sz w:val="12"/>
          <w:szCs w:val="12"/>
          <w:color w:val="auto"/>
        </w:rPr>
      </w:pPr>
    </w:p>
    <w:p>
      <w:pPr>
        <w:ind w:left="208" w:hanging="208"/>
        <w:spacing w:after="0" w:line="286" w:lineRule="auto"/>
        <w:tabs>
          <w:tab w:leader="none" w:pos="205"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Gross margin </w:t>
      </w:r>
      <w:r>
        <w:rPr>
          <w:rFonts w:ascii="Times New Roman" w:cs="Times New Roman" w:eastAsia="Times New Roman" w:hAnsi="Times New Roman"/>
          <w:sz w:val="12"/>
          <w:szCs w:val="12"/>
          <w:color w:val="auto"/>
        </w:rPr>
        <w:t>was 44.4% versus 50.1%. Non-GAAP gross margin, which excludes stock-based compensation, was 44.5% versus 50.4%. Gross margin was in the range of ACM’s long-term business model target of 42% to 48%.</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ACM expects gross margin to vary from period to period due to a variety of factors, such as product mix, currency impacts and sales volume.</w:t>
      </w:r>
    </w:p>
    <w:p>
      <w:pPr>
        <w:spacing w:after="0" w:line="103" w:lineRule="exact"/>
        <w:rPr>
          <w:rFonts w:ascii="Times New Roman" w:cs="Times New Roman" w:eastAsia="Times New Roman" w:hAnsi="Times New Roman"/>
          <w:sz w:val="12"/>
          <w:szCs w:val="12"/>
          <w:color w:val="auto"/>
        </w:rPr>
      </w:pPr>
    </w:p>
    <w:p>
      <w:pPr>
        <w:ind w:left="208" w:hanging="208"/>
        <w:spacing w:after="0" w:line="286" w:lineRule="auto"/>
        <w:tabs>
          <w:tab w:leader="none" w:pos="205"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Operating expenses </w:t>
      </w:r>
      <w:r>
        <w:rPr>
          <w:rFonts w:ascii="Times New Roman" w:cs="Times New Roman" w:eastAsia="Times New Roman" w:hAnsi="Times New Roman"/>
          <w:sz w:val="12"/>
          <w:szCs w:val="12"/>
          <w:color w:val="auto"/>
        </w:rPr>
        <w:t>were $290.6 million, an increase of 20.8%. Operating expenses as a percentage of revenue increased to 32.2% from 30.8%. Non-GAAP operating expenses, which exclude the effect of stock-based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compensation, were $258.4 million, up 33.6%. Non-GAAP operating expenses as a percentage of revenue were 28.7% compared to 24.7% .</w:t>
      </w:r>
    </w:p>
    <w:p>
      <w:pPr>
        <w:spacing w:after="0" w:line="103" w:lineRule="exact"/>
        <w:rPr>
          <w:rFonts w:ascii="Times New Roman" w:cs="Times New Roman" w:eastAsia="Times New Roman" w:hAnsi="Times New Roman"/>
          <w:sz w:val="12"/>
          <w:szCs w:val="12"/>
          <w:color w:val="auto"/>
        </w:rPr>
      </w:pPr>
    </w:p>
    <w:p>
      <w:pPr>
        <w:ind w:left="208" w:hanging="208"/>
        <w:spacing w:after="0" w:line="286" w:lineRule="auto"/>
        <w:tabs>
          <w:tab w:leader="none" w:pos="205"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Operating income </w:t>
      </w:r>
      <w:r>
        <w:rPr>
          <w:rFonts w:ascii="Times New Roman" w:cs="Times New Roman" w:eastAsia="Times New Roman" w:hAnsi="Times New Roman"/>
          <w:sz w:val="12"/>
          <w:szCs w:val="12"/>
          <w:color w:val="auto"/>
        </w:rPr>
        <w:t>was $109.4 million, down 27.5% compared to $151.0 million. Operating margin was 12.1% compared to 19.3%. Non-GAAP operating income, which excludes the effect of stock-based compensation, was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$143.0 million, down 28.7% compared to $200.6 million. Non-GAAP operating margin, which excludes stock-based compensation, was 15.9% compared to 25.6%.</w:t>
      </w:r>
    </w:p>
    <w:p>
      <w:pPr>
        <w:spacing w:after="0" w:line="103" w:lineRule="exact"/>
        <w:rPr>
          <w:rFonts w:ascii="Times New Roman" w:cs="Times New Roman" w:eastAsia="Times New Roman" w:hAnsi="Times New Roman"/>
          <w:sz w:val="12"/>
          <w:szCs w:val="12"/>
          <w:color w:val="auto"/>
        </w:rPr>
      </w:pPr>
    </w:p>
    <w:p>
      <w:pPr>
        <w:ind w:left="208" w:hanging="208"/>
        <w:spacing w:after="0" w:line="286" w:lineRule="auto"/>
        <w:tabs>
          <w:tab w:leader="none" w:pos="205"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Unrealized gain on short-term investments </w:t>
      </w:r>
      <w:r>
        <w:rPr>
          <w:rFonts w:ascii="Times New Roman" w:cs="Times New Roman" w:eastAsia="Times New Roman" w:hAnsi="Times New Roman"/>
          <w:sz w:val="12"/>
          <w:szCs w:val="12"/>
          <w:color w:val="auto"/>
        </w:rPr>
        <w:t>was $17.5 million, compared to an unrealized gain of $1.0 million. Unrealized gain reflects the change in market value of the investments by ACM’s principal operating subsidiary,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ACM Research (Shanghai), Inc. The value is marked-to-market quarterly and is excluded in the non-GAAP financial metrics.</w:t>
      </w:r>
    </w:p>
    <w:p>
      <w:pPr>
        <w:spacing w:after="0" w:line="103"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Realized gain on short-term investments </w:t>
      </w:r>
      <w:r>
        <w:rPr>
          <w:rFonts w:ascii="Times New Roman" w:cs="Times New Roman" w:eastAsia="Times New Roman" w:hAnsi="Times New Roman"/>
          <w:sz w:val="12"/>
          <w:szCs w:val="12"/>
          <w:color w:val="auto"/>
        </w:rPr>
        <w:t>was $0.2 million, compared to $1.8 million.</w:t>
      </w:r>
    </w:p>
    <w:p>
      <w:pPr>
        <w:spacing w:after="0" w:line="141"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Income tax expense </w:t>
      </w:r>
      <w:r>
        <w:rPr>
          <w:rFonts w:ascii="Times New Roman" w:cs="Times New Roman" w:eastAsia="Times New Roman" w:hAnsi="Times New Roman"/>
          <w:sz w:val="12"/>
          <w:szCs w:val="12"/>
          <w:color w:val="auto"/>
        </w:rPr>
        <w:t>was $13.3 million, compared to $35.0 million.</w:t>
      </w:r>
    </w:p>
    <w:p>
      <w:pPr>
        <w:spacing w:after="0" w:line="150" w:lineRule="exact"/>
        <w:rPr>
          <w:rFonts w:ascii="Times New Roman" w:cs="Times New Roman" w:eastAsia="Times New Roman" w:hAnsi="Times New Roman"/>
          <w:sz w:val="12"/>
          <w:szCs w:val="12"/>
          <w:color w:val="auto"/>
        </w:rPr>
      </w:pPr>
    </w:p>
    <w:p>
      <w:pPr>
        <w:ind w:left="208" w:hanging="208"/>
        <w:spacing w:after="0" w:line="286" w:lineRule="auto"/>
        <w:tabs>
          <w:tab w:leader="none" w:pos="205"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Net income attributable to ACM Research, Inc. </w:t>
      </w:r>
      <w:r>
        <w:rPr>
          <w:rFonts w:ascii="Times New Roman" w:cs="Times New Roman" w:eastAsia="Times New Roman" w:hAnsi="Times New Roman"/>
          <w:sz w:val="12"/>
          <w:szCs w:val="12"/>
          <w:color w:val="auto"/>
        </w:rPr>
        <w:t>was $94.1 million, compared to $103.6 million. Non-GAAP net income attributable to ACM Research, Inc., which excludes the effect of stock-based compensation and unrealized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gain on short-term investments, was $110.2 million, compared to $152.2 million.</w:t>
      </w:r>
    </w:p>
    <w:p>
      <w:pPr>
        <w:spacing w:after="0" w:line="103" w:lineRule="exact"/>
        <w:rPr>
          <w:rFonts w:ascii="Times New Roman" w:cs="Times New Roman" w:eastAsia="Times New Roman" w:hAnsi="Times New Roman"/>
          <w:sz w:val="12"/>
          <w:szCs w:val="12"/>
          <w:color w:val="auto"/>
        </w:rPr>
      </w:pPr>
    </w:p>
    <w:p>
      <w:pPr>
        <w:ind w:left="208" w:hanging="208"/>
        <w:spacing w:after="0" w:line="286" w:lineRule="auto"/>
        <w:tabs>
          <w:tab w:leader="none" w:pos="205"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Diluted net income per share attributable to ACM Research, Inc. </w:t>
      </w:r>
      <w:r>
        <w:rPr>
          <w:rFonts w:ascii="Times New Roman" w:cs="Times New Roman" w:eastAsia="Times New Roman" w:hAnsi="Times New Roman"/>
          <w:sz w:val="12"/>
          <w:szCs w:val="12"/>
          <w:color w:val="auto"/>
        </w:rPr>
        <w:t>was $1.37 compared to $1.53. Non-GAAP net income per diluted share, which excludes the effect of stock-based compensation and unrealized gain on short-term investments, was $1.61 , compared to $2.26.</w:t>
      </w:r>
    </w:p>
    <w:p>
      <w:pPr>
        <w:spacing w:after="0" w:line="103" w:lineRule="exact"/>
        <w:rPr>
          <w:rFonts w:ascii="Times New Roman" w:cs="Times New Roman" w:eastAsia="Times New Roman" w:hAnsi="Times New Roman"/>
          <w:sz w:val="12"/>
          <w:szCs w:val="12"/>
          <w:color w:val="auto"/>
        </w:rPr>
      </w:pPr>
    </w:p>
    <w:p>
      <w:pPr>
        <w:ind w:left="208" w:hanging="208"/>
        <w:spacing w:after="0" w:line="286" w:lineRule="auto"/>
        <w:tabs>
          <w:tab w:leader="none" w:pos="205"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Cash and cash equivalents, plus restricted cash and short-term and long-term time deposits </w:t>
      </w:r>
      <w:r>
        <w:rPr>
          <w:rFonts w:ascii="Times New Roman" w:cs="Times New Roman" w:eastAsia="Times New Roman" w:hAnsi="Times New Roman"/>
          <w:sz w:val="12"/>
          <w:szCs w:val="12"/>
          <w:color w:val="auto"/>
        </w:rPr>
        <w:t>were $1.13 billion at December 31, 2025, compared to $441.9 million at December 31, 2024. Net cash, which excludes short-term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long-term debt, was $845.5 million at December 31, 2025, versus $259.1 million at December 31, 2024.</w:t>
      </w:r>
    </w:p>
    <w:p>
      <w:pPr>
        <w:spacing w:after="0" w:line="1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Fourth Quarter 2025 Financial Summary</w:t>
      </w:r>
    </w:p>
    <w:p>
      <w:pPr>
        <w:spacing w:after="0" w:line="15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Unless otherwise noted, the following figures refer to the fourth quarter of 2025 and comparisons are with the fourth quarter of 2024.</w:t>
      </w:r>
    </w:p>
    <w:p>
      <w:pPr>
        <w:spacing w:after="0" w:line="148" w:lineRule="exact"/>
        <w:rPr>
          <w:sz w:val="20"/>
          <w:szCs w:val="20"/>
          <w:color w:val="auto"/>
        </w:rPr>
      </w:pPr>
    </w:p>
    <w:p>
      <w:pPr>
        <w:ind w:left="208" w:hanging="208"/>
        <w:spacing w:after="0" w:line="286" w:lineRule="auto"/>
        <w:tabs>
          <w:tab w:leader="none" w:pos="205"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Revenue </w:t>
      </w:r>
      <w:r>
        <w:rPr>
          <w:rFonts w:ascii="Times New Roman" w:cs="Times New Roman" w:eastAsia="Times New Roman" w:hAnsi="Times New Roman"/>
          <w:sz w:val="12"/>
          <w:szCs w:val="12"/>
          <w:color w:val="auto"/>
        </w:rPr>
        <w:t>was $244.4 million, up 9.4%, reflecting growth of single wafer cleaning, Tahoe and semi-critical cleaning equipment, ECP (front-end and packaging), furnace and other technologies, and advanced packaging (excluding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ECP), services and spares.</w:t>
      </w:r>
    </w:p>
    <w:p>
      <w:pPr>
        <w:spacing w:after="0" w:line="103" w:lineRule="exact"/>
        <w:rPr>
          <w:rFonts w:ascii="Times New Roman" w:cs="Times New Roman" w:eastAsia="Times New Roman" w:hAnsi="Times New Roman"/>
          <w:sz w:val="12"/>
          <w:szCs w:val="12"/>
          <w:color w:val="auto"/>
        </w:rPr>
      </w:pPr>
    </w:p>
    <w:p>
      <w:pPr>
        <w:ind w:left="208" w:right="20" w:hanging="208"/>
        <w:spacing w:after="0" w:line="286" w:lineRule="auto"/>
        <w:tabs>
          <w:tab w:leader="none" w:pos="205"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Gross margin </w:t>
      </w:r>
      <w:r>
        <w:rPr>
          <w:rFonts w:ascii="Times New Roman" w:cs="Times New Roman" w:eastAsia="Times New Roman" w:hAnsi="Times New Roman"/>
          <w:sz w:val="12"/>
          <w:szCs w:val="12"/>
          <w:color w:val="auto"/>
        </w:rPr>
        <w:t>was 40.9% versus 49.6%. Non-GAAP gross margin, which excludes stock-based compensation, was 41.0% versus 49.8%. Gross margin was slightly below ACM’s long-term business model target range of 42%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48%</w:t>
      </w:r>
    </w:p>
    <w:p>
      <w:pPr>
        <w:spacing w:after="0" w:line="274" w:lineRule="exact"/>
        <w:rPr>
          <w:rFonts w:ascii="Times New Roman" w:cs="Times New Roman" w:eastAsia="Times New Roman" w:hAnsi="Times New Roman"/>
          <w:sz w:val="12"/>
          <w:szCs w:val="12"/>
          <w:color w:val="auto"/>
        </w:rPr>
      </w:pPr>
    </w:p>
    <w:p>
      <w:pPr>
        <w:ind w:left="5628" w:hanging="56"/>
        <w:spacing w:after="0"/>
        <w:tabs>
          <w:tab w:leader="none" w:pos="5628" w:val="left"/>
        </w:tabs>
        <w:numPr>
          <w:ilvl w:val="1"/>
          <w:numId w:val="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1 -</w:t>
      </w:r>
    </w:p>
    <w:p>
      <w:pPr>
        <w:sectPr>
          <w:pgSz w:w="11900" w:h="16838" w:orient="portrait"/>
          <w:cols w:equalWidth="0" w:num="1">
            <w:col w:w="11308"/>
          </w:cols>
          <w:pgMar w:left="292" w:top="125" w:right="2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0" w:lineRule="exact"/>
        <w:rPr>
          <w:sz w:val="20"/>
          <w:szCs w:val="20"/>
          <w:color w:val="auto"/>
        </w:rPr>
      </w:pPr>
    </w:p>
    <w:p>
      <w:pPr>
        <w:spacing w:after="0" w:line="350" w:lineRule="exact"/>
        <w:rPr>
          <w:sz w:val="20"/>
          <w:szCs w:val="20"/>
          <w:color w:val="auto"/>
        </w:rPr>
      </w:pPr>
    </w:p>
    <w:p>
      <w:pPr>
        <w:jc w:val="both"/>
        <w:ind w:left="208" w:right="20"/>
        <w:spacing w:after="0" w:line="279" w:lineRule="auto"/>
        <w:rPr>
          <w:sz w:val="20"/>
          <w:szCs w:val="20"/>
          <w:color w:val="auto"/>
        </w:rPr>
      </w:pPr>
      <w:r>
        <w:rPr>
          <w:rFonts w:ascii="Times New Roman" w:cs="Times New Roman" w:eastAsia="Times New Roman" w:hAnsi="Times New Roman"/>
          <w:sz w:val="12"/>
          <w:szCs w:val="12"/>
          <w:color w:val="auto"/>
        </w:rPr>
        <w:t>due in part to product mix, competitive dynamics for a few semi-critical products, and inventory-related charges. ACM expects gross margin to vary from period to period due to a variety of factors, such as product mix, currency impacts and sales volume.</w:t>
      </w:r>
    </w:p>
    <w:p>
      <w:pPr>
        <w:spacing w:after="0" w:line="107" w:lineRule="exact"/>
        <w:rPr>
          <w:sz w:val="20"/>
          <w:szCs w:val="20"/>
          <w:color w:val="auto"/>
        </w:rPr>
      </w:pPr>
    </w:p>
    <w:p>
      <w:pPr>
        <w:ind w:left="208" w:right="20" w:hanging="208"/>
        <w:spacing w:after="0" w:line="286" w:lineRule="auto"/>
        <w:tabs>
          <w:tab w:leader="none" w:pos="205"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Operating expenses </w:t>
      </w:r>
      <w:r>
        <w:rPr>
          <w:rFonts w:ascii="Times New Roman" w:cs="Times New Roman" w:eastAsia="Times New Roman" w:hAnsi="Times New Roman"/>
          <w:sz w:val="12"/>
          <w:szCs w:val="12"/>
          <w:color w:val="auto"/>
        </w:rPr>
        <w:t>were $76.9 million, an increase of 15.0%. Operating expenses as a percentage of revenue increased to 31.4% from 29.9%. Non-GAAP operating expenses, which exclude the effect of stock-based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compensation, were $70.6 million, up 21.0%. Non-GAAP operating expenses as a percentage of revenue increased to 28.9% from 26.1%.</w:t>
      </w:r>
    </w:p>
    <w:p>
      <w:pPr>
        <w:spacing w:after="0" w:line="103" w:lineRule="exact"/>
        <w:rPr>
          <w:rFonts w:ascii="Times New Roman" w:cs="Times New Roman" w:eastAsia="Times New Roman" w:hAnsi="Times New Roman"/>
          <w:sz w:val="12"/>
          <w:szCs w:val="12"/>
          <w:color w:val="auto"/>
        </w:rPr>
      </w:pPr>
    </w:p>
    <w:p>
      <w:pPr>
        <w:ind w:left="208" w:right="20" w:hanging="208"/>
        <w:spacing w:after="0" w:line="286" w:lineRule="auto"/>
        <w:tabs>
          <w:tab w:leader="none" w:pos="205"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Operating income </w:t>
      </w:r>
      <w:r>
        <w:rPr>
          <w:rFonts w:ascii="Times New Roman" w:cs="Times New Roman" w:eastAsia="Times New Roman" w:hAnsi="Times New Roman"/>
          <w:sz w:val="12"/>
          <w:szCs w:val="12"/>
          <w:color w:val="auto"/>
        </w:rPr>
        <w:t>was $23.0 million, down 47.6% compared to $44.0 million. Operating margin was 9.4% compared to 19.7%. Non-GAAP operating income, which excludes the effect of stock-based compensation, was $29.5</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million, down 44.2% compared to $52.8 million. Non-GAAP operating margin, which excludes stock-based compensation, was 12.1% compared to 23.6%.</w:t>
      </w:r>
    </w:p>
    <w:p>
      <w:pPr>
        <w:spacing w:after="0" w:line="103" w:lineRule="exact"/>
        <w:rPr>
          <w:rFonts w:ascii="Times New Roman" w:cs="Times New Roman" w:eastAsia="Times New Roman" w:hAnsi="Times New Roman"/>
          <w:sz w:val="12"/>
          <w:szCs w:val="12"/>
          <w:color w:val="auto"/>
        </w:rPr>
      </w:pPr>
    </w:p>
    <w:p>
      <w:pPr>
        <w:ind w:left="208" w:right="20" w:hanging="208"/>
        <w:spacing w:after="0" w:line="286" w:lineRule="auto"/>
        <w:tabs>
          <w:tab w:leader="none" w:pos="205"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Unrealized loss on short-term investments </w:t>
      </w:r>
      <w:r>
        <w:rPr>
          <w:rFonts w:ascii="Times New Roman" w:cs="Times New Roman" w:eastAsia="Times New Roman" w:hAnsi="Times New Roman"/>
          <w:sz w:val="12"/>
          <w:szCs w:val="12"/>
          <w:color w:val="auto"/>
        </w:rPr>
        <w:t>was $2.8 million, compared to an unrealized gain of $2.1 million. Unrealized gain (loss) reflects the change in market value of the investments by ACM’s principal operating subsidiary,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ACM Research (Shanghai), Inc. The value is marked-to-market quarterly and is excluded in the non-GAAP financial metrics.</w:t>
      </w:r>
    </w:p>
    <w:p>
      <w:pPr>
        <w:spacing w:after="0" w:line="103"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Realized gain on short-term investments </w:t>
      </w:r>
      <w:r>
        <w:rPr>
          <w:rFonts w:ascii="Times New Roman" w:cs="Times New Roman" w:eastAsia="Times New Roman" w:hAnsi="Times New Roman"/>
          <w:sz w:val="12"/>
          <w:szCs w:val="12"/>
          <w:color w:val="auto"/>
        </w:rPr>
        <w:t>was $0.1 million, compared to $1.3 million.</w:t>
      </w:r>
    </w:p>
    <w:p>
      <w:pPr>
        <w:spacing w:after="0" w:line="150"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Income tax expense </w:t>
      </w:r>
      <w:r>
        <w:rPr>
          <w:rFonts w:ascii="Times New Roman" w:cs="Times New Roman" w:eastAsia="Times New Roman" w:hAnsi="Times New Roman"/>
          <w:sz w:val="12"/>
          <w:szCs w:val="12"/>
          <w:color w:val="auto"/>
        </w:rPr>
        <w:t>was $6.6 million, compared to $17.3 million.</w:t>
      </w:r>
    </w:p>
    <w:p>
      <w:pPr>
        <w:spacing w:after="0" w:line="150" w:lineRule="exact"/>
        <w:rPr>
          <w:rFonts w:ascii="Times New Roman" w:cs="Times New Roman" w:eastAsia="Times New Roman" w:hAnsi="Times New Roman"/>
          <w:sz w:val="12"/>
          <w:szCs w:val="12"/>
          <w:color w:val="auto"/>
        </w:rPr>
      </w:pPr>
    </w:p>
    <w:p>
      <w:pPr>
        <w:ind w:left="208" w:right="20" w:hanging="208"/>
        <w:spacing w:after="0" w:line="286" w:lineRule="auto"/>
        <w:tabs>
          <w:tab w:leader="none" w:pos="205"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Net income attributable to ACM Research, Inc. </w:t>
      </w:r>
      <w:r>
        <w:rPr>
          <w:rFonts w:ascii="Times New Roman" w:cs="Times New Roman" w:eastAsia="Times New Roman" w:hAnsi="Times New Roman"/>
          <w:sz w:val="12"/>
          <w:szCs w:val="12"/>
          <w:color w:val="auto"/>
        </w:rPr>
        <w:t>was $8.0 million, compared to $31.1 million. Non-GAAP net income attributable to ACM Research, Inc., which excludes the effect of stock-based compensation and unrealized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gain (loss) on short-term investments, was $17.3 million, compared to $37.7 million.</w:t>
      </w:r>
    </w:p>
    <w:p>
      <w:pPr>
        <w:spacing w:after="0" w:line="103" w:lineRule="exact"/>
        <w:rPr>
          <w:rFonts w:ascii="Times New Roman" w:cs="Times New Roman" w:eastAsia="Times New Roman" w:hAnsi="Times New Roman"/>
          <w:sz w:val="12"/>
          <w:szCs w:val="12"/>
          <w:color w:val="auto"/>
        </w:rPr>
      </w:pPr>
    </w:p>
    <w:p>
      <w:pPr>
        <w:ind w:left="208" w:hanging="208"/>
        <w:spacing w:after="0" w:line="286" w:lineRule="auto"/>
        <w:tabs>
          <w:tab w:leader="none" w:pos="205"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Diluted net income per share attributable to ACM Research, Inc. </w:t>
      </w:r>
      <w:r>
        <w:rPr>
          <w:rFonts w:ascii="Times New Roman" w:cs="Times New Roman" w:eastAsia="Times New Roman" w:hAnsi="Times New Roman"/>
          <w:sz w:val="12"/>
          <w:szCs w:val="12"/>
          <w:color w:val="auto"/>
        </w:rPr>
        <w:t>was $0.11, compared to $0.46. Non-GAAP net income per diluted share, which excludes the effect of stock-based compensation and unrealized gain (loss) 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short-term investments, was $0.25, compared to $0.56.</w:t>
      </w:r>
    </w:p>
    <w:p>
      <w:pPr>
        <w:spacing w:after="0" w:line="1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Conference Call Details</w:t>
      </w:r>
    </w:p>
    <w:p>
      <w:pPr>
        <w:spacing w:after="0" w:line="154"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A conference call to discuss results will be held on Thursday, February 26, 2026, at 8:00 a.m. Eastern Time (9:00 p.m. China Time). To join the conference call via telephone, participants must use the following link to complete an online registration process. Upon registering, each participant will receive email instructions to access the conference call, including dial-in information and a PIN number allowing access to the conference call. This pre-registration process is designed by the operator to reduce delays due to operator congestion when accessing the live call.</w:t>
      </w:r>
    </w:p>
    <w:p>
      <w:pPr>
        <w:spacing w:after="0" w:line="12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Online Registration: </w:t>
      </w:r>
      <w:r>
        <w:rPr>
          <w:rFonts w:ascii="Times New Roman" w:cs="Times New Roman" w:eastAsia="Times New Roman" w:hAnsi="Times New Roman"/>
          <w:sz w:val="12"/>
          <w:szCs w:val="12"/>
          <w:color w:val="auto"/>
        </w:rPr>
        <w:t>https://register-conf.media-server.com/register/BIe87c53b73b014769b56bd2b663123eac</w:t>
      </w:r>
    </w:p>
    <w:p>
      <w:pPr>
        <w:spacing w:after="0" w:line="14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Participants who have not pre-registered may join the webcast by accessing the link at ir.acmr.com/news-events/events.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 live and archived webcast will be available on the Investors section of the ACM website at www.acmr.com.</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Use of Non-GAAP Financial Measures</w:t>
      </w:r>
    </w:p>
    <w:p>
      <w:pPr>
        <w:spacing w:after="0" w:line="154"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ACM presents non-GAAP gross margin, operating expenses, operating income, net income attributable to ACM Research, Inc. and basic and diluted earnings per share as supplemental measures to GAAP financial measures regarding ACM’s operational performance. These supplemental measures exclude the impact of stock-based compensation, which ACM does not believe is indicative of its core operating results. In addition, non-GAAP net income attributable to ACM Research, Inc. and basic and diluted earnings per share exclude the effect of stock-based compensation and unrealized gain (loss) on short-term investments, which ACM also believes are not indicative of its core operating results. A reconciliation of each non-GAAP financial measure to the most directly comparable GAAP financial measure is provided below under “Reconciliation of GAAP to non-GAAP Financial Measures.”</w:t>
      </w:r>
    </w:p>
    <w:p>
      <w:pPr>
        <w:spacing w:after="0" w:line="122"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ACM believes these non-GAAP financial measures are useful to investors in assessing its operating performance. ACM uses these financial measures internally to evaluate its operating performance and for planning and forecasting of future</w:t>
      </w:r>
    </w:p>
    <w:p>
      <w:pPr>
        <w:spacing w:after="0" w:line="27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- 2 -</w:t>
      </w:r>
    </w:p>
    <w:p>
      <w:pPr>
        <w:sectPr>
          <w:pgSz w:w="11900" w:h="16838" w:orient="portrait"/>
          <w:cols w:equalWidth="0" w:num="1">
            <w:col w:w="11308"/>
          </w:cols>
          <w:pgMar w:left="292" w:top="125" w:right="29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0" w:lineRule="exact"/>
        <w:rPr>
          <w:sz w:val="20"/>
          <w:szCs w:val="20"/>
          <w:color w:val="auto"/>
        </w:rPr>
      </w:pPr>
    </w:p>
    <w:p>
      <w:pPr>
        <w:spacing w:after="0" w:line="350"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periods. Financial analysts may focus on and publish both historical results and future projections based on the non-GAAP financial measures. ACM also believes it is in the best interests of investors for ACM to provide this non-GAAP information.</w:t>
      </w:r>
    </w:p>
    <w:p>
      <w:pPr>
        <w:spacing w:after="0" w:line="111"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While ACM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ACM’s consolidated financial statements prepared in accordance with GAAP.</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Forward-Looking Statements</w:t>
      </w:r>
    </w:p>
    <w:p>
      <w:pPr>
        <w:spacing w:after="0" w:line="154"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2"/>
          <w:szCs w:val="12"/>
          <w:color w:val="auto"/>
        </w:rPr>
        <w:t>Certain statements contained in this press release are not historical facts and may be forward-looking statements within the meaning of the Private Securities Litigation Reform Act of 1995. Words such as “plans,” “expects,” “believes,” “anticipates,” “designed,” and similar words are intended to identify forward-looking statements. Forward-looking statements are based on ACM management’s current expectations and beliefs, and involve a number of risks and uncertainties that are difficult to predict and that could cause actual results to differ materially from those stated or implied by the forward-looking statements. A description of certain of these risks, uncertainties and other matters can be found in filings ACM makes with the U.S. Securities and Exchange Commission, all of which are available at www.sec.gov. Because forward-looking statements involve risks and uncertainties, actual results and events may differ materially from results and events currently expected by ACM. Readers are cautioned not to place undue reliance on these forward-looking statements, which speak only as of the date hereof.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1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About ACM Research, Inc.</w:t>
      </w:r>
    </w:p>
    <w:p>
      <w:pPr>
        <w:spacing w:after="0" w:line="172"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ACM develops, manufactures and sells semiconductor process equipment spanning cleaning, electroplating, stress-free polishing, vertical furnace processes, track, PECVD, and wafer- and panel-level packaging tools, enabling advanced and semi-critical semiconductor device manufacturing. ACM is committed to delivering customized, high-performance, cost-effective process solutions that semiconductor manufacturers can use in numerous manufacturing steps to improve productivity and product yield. For more information, visit www.acmr.com.</w:t>
      </w:r>
    </w:p>
    <w:p>
      <w:pPr>
        <w:spacing w:after="0" w:line="110" w:lineRule="exact"/>
        <w:rPr>
          <w:sz w:val="20"/>
          <w:szCs w:val="20"/>
          <w:color w:val="auto"/>
        </w:rPr>
      </w:pPr>
    </w:p>
    <w:p>
      <w:pPr>
        <w:ind w:left="8" w:right="140" w:hanging="8"/>
        <w:spacing w:after="0" w:line="264" w:lineRule="auto"/>
        <w:tabs>
          <w:tab w:leader="none" w:pos="129"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ACM Research, Inc. Ultra Lith, Ultra ECP ap-p, Ultra C and the ACM Research logo are trademarks of ACM Research, Inc. For convenience, these trademarks appear in this press release without ™ symbols, but that practice does not mean that ACM will not assert, to the fullest extent under applicable law, its rights to the trademarks.</w:t>
      </w:r>
    </w:p>
    <w:p>
      <w:pPr>
        <w:spacing w:after="0" w:line="11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306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For investor and media inquiries, please contact:</w:t>
            </w:r>
          </w:p>
        </w:tc>
        <w:tc>
          <w:tcPr>
            <w:tcW w:w="1860" w:type="dxa"/>
            <w:vAlign w:val="bottom"/>
          </w:tcPr>
          <w:p>
            <w:pPr>
              <w:spacing w:after="0"/>
              <w:rPr>
                <w:sz w:val="13"/>
                <w:szCs w:val="13"/>
                <w:color w:val="auto"/>
              </w:rPr>
            </w:pPr>
          </w:p>
        </w:tc>
      </w:tr>
      <w:tr>
        <w:trPr>
          <w:trHeight w:val="297"/>
        </w:trPr>
        <w:tc>
          <w:tcPr>
            <w:tcW w:w="220" w:type="dxa"/>
            <w:vAlign w:val="bottom"/>
          </w:tcPr>
          <w:p>
            <w:pPr>
              <w:spacing w:after="0"/>
              <w:rPr>
                <w:sz w:val="24"/>
                <w:szCs w:val="24"/>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 the United States:</w:t>
            </w:r>
          </w:p>
        </w:tc>
        <w:tc>
          <w:tcPr>
            <w:tcW w:w="186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The Blueshirt Group</w:t>
            </w:r>
          </w:p>
        </w:tc>
      </w:tr>
      <w:tr>
        <w:trPr>
          <w:trHeight w:val="178"/>
        </w:trPr>
        <w:tc>
          <w:tcPr>
            <w:tcW w:w="2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900" w:type="dxa"/>
            <w:vAlign w:val="bottom"/>
          </w:tcPr>
          <w:p>
            <w:pPr>
              <w:spacing w:after="0"/>
              <w:rPr>
                <w:sz w:val="15"/>
                <w:szCs w:val="15"/>
                <w:color w:val="auto"/>
              </w:rPr>
            </w:pPr>
          </w:p>
        </w:tc>
        <w:tc>
          <w:tcPr>
            <w:tcW w:w="186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Steven C. Pelayo, CFA</w:t>
            </w:r>
          </w:p>
        </w:tc>
      </w:tr>
      <w:tr>
        <w:trPr>
          <w:trHeight w:val="171"/>
        </w:trPr>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(360)808-5154</w:t>
            </w:r>
          </w:p>
        </w:tc>
      </w:tr>
      <w:tr>
        <w:trPr>
          <w:trHeight w:val="171"/>
        </w:trPr>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Times New Roman" w:cs="Times New Roman" w:eastAsia="Times New Roman" w:hAnsi="Times New Roman"/>
                <w:sz w:val="12"/>
                <w:szCs w:val="12"/>
                <w:i w:val="1"/>
                <w:iCs w:val="1"/>
                <w:color w:val="auto"/>
                <w:w w:val="99"/>
              </w:rPr>
              <w:t>steven@blueshirtgroup.co</w:t>
            </w:r>
          </w:p>
        </w:tc>
      </w:tr>
      <w:tr>
        <w:trPr>
          <w:trHeight w:val="324"/>
        </w:trPr>
        <w:tc>
          <w:tcPr>
            <w:tcW w:w="220" w:type="dxa"/>
            <w:vAlign w:val="bottom"/>
          </w:tcPr>
          <w:p>
            <w:pPr>
              <w:spacing w:after="0"/>
              <w:rPr>
                <w:sz w:val="24"/>
                <w:szCs w:val="24"/>
                <w:color w:val="auto"/>
              </w:rPr>
            </w:pPr>
          </w:p>
        </w:tc>
        <w:tc>
          <w:tcPr>
            <w:tcW w:w="28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In China:</w:t>
            </w:r>
          </w:p>
        </w:tc>
        <w:tc>
          <w:tcPr>
            <w:tcW w:w="186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The Blueshirt Group Asia</w:t>
            </w:r>
          </w:p>
        </w:tc>
      </w:tr>
      <w:tr>
        <w:trPr>
          <w:trHeight w:val="178"/>
        </w:trPr>
        <w:tc>
          <w:tcPr>
            <w:tcW w:w="2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6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Gary Dvorchak, CFA</w:t>
            </w:r>
          </w:p>
        </w:tc>
      </w:tr>
      <w:tr>
        <w:trPr>
          <w:trHeight w:val="171"/>
        </w:trPr>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+86 (138) 1079-1480</w:t>
            </w:r>
          </w:p>
        </w:tc>
      </w:tr>
      <w:tr>
        <w:trPr>
          <w:trHeight w:val="171"/>
        </w:trPr>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Times New Roman" w:cs="Times New Roman" w:eastAsia="Times New Roman" w:hAnsi="Times New Roman"/>
                <w:sz w:val="12"/>
                <w:szCs w:val="12"/>
                <w:i w:val="1"/>
                <w:iCs w:val="1"/>
                <w:color w:val="auto"/>
              </w:rPr>
              <w:t>gary@blueshirtgroup.co</w:t>
            </w:r>
          </w:p>
        </w:tc>
      </w:tr>
    </w:tbl>
    <w:p>
      <w:pPr>
        <w:spacing w:after="0" w:line="36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0"/>
          <w:szCs w:val="10"/>
          <w:color w:val="auto"/>
        </w:rPr>
        <w:t>- 3 -</w:t>
      </w:r>
    </w:p>
    <w:p>
      <w:pPr>
        <w:sectPr>
          <w:pgSz w:w="11900" w:h="16838" w:orient="portrait"/>
          <w:cols w:equalWidth="0" w:num="1">
            <w:col w:w="11308"/>
          </w:cols>
          <w:pgMar w:left="292" w:top="125" w:right="2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59"/>
        </w:trPr>
        <w:tc>
          <w:tcPr>
            <w:tcW w:w="264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tc>
        <w:tc>
          <w:tcPr>
            <w:tcW w:w="0" w:type="dxa"/>
            <w:vAlign w:val="bottom"/>
          </w:tcPr>
          <w:p>
            <w:pPr>
              <w:spacing w:after="0"/>
              <w:rPr>
                <w:sz w:val="1"/>
                <w:szCs w:val="1"/>
                <w:color w:val="auto"/>
              </w:rPr>
            </w:pPr>
          </w:p>
        </w:tc>
      </w:tr>
      <w:tr>
        <w:trPr>
          <w:trHeight w:val="669"/>
        </w:trPr>
        <w:tc>
          <w:tcPr>
            <w:tcW w:w="2640" w:type="dxa"/>
            <w:vAlign w:val="bottom"/>
          </w:tcPr>
          <w:p>
            <w:pPr>
              <w:spacing w:after="0"/>
              <w:rPr>
                <w:sz w:val="24"/>
                <w:szCs w:val="24"/>
                <w:color w:val="auto"/>
              </w:rPr>
            </w:pPr>
          </w:p>
        </w:tc>
        <w:tc>
          <w:tcPr>
            <w:tcW w:w="5280" w:type="dxa"/>
            <w:vAlign w:val="bottom"/>
            <w:gridSpan w:val="2"/>
          </w:tcPr>
          <w:p>
            <w:pPr>
              <w:jc w:val="center"/>
              <w:ind w:left="689"/>
              <w:spacing w:after="0"/>
              <w:rPr>
                <w:sz w:val="20"/>
                <w:szCs w:val="20"/>
                <w:color w:val="auto"/>
              </w:rPr>
            </w:pPr>
            <w:r>
              <w:rPr>
                <w:rFonts w:ascii="Times New Roman" w:cs="Times New Roman" w:eastAsia="Times New Roman" w:hAnsi="Times New Roman"/>
                <w:sz w:val="12"/>
                <w:szCs w:val="12"/>
                <w:b w:val="1"/>
                <w:bCs w:val="1"/>
                <w:color w:val="auto"/>
              </w:rPr>
              <w:t>ACM RESEARCH, INC.</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640" w:type="dxa"/>
            <w:vAlign w:val="bottom"/>
          </w:tcPr>
          <w:p>
            <w:pPr>
              <w:spacing w:after="0"/>
              <w:rPr>
                <w:sz w:val="13"/>
                <w:szCs w:val="13"/>
                <w:color w:val="auto"/>
              </w:rPr>
            </w:pPr>
          </w:p>
        </w:tc>
        <w:tc>
          <w:tcPr>
            <w:tcW w:w="5280" w:type="dxa"/>
            <w:vAlign w:val="bottom"/>
            <w:gridSpan w:val="2"/>
          </w:tcPr>
          <w:p>
            <w:pPr>
              <w:jc w:val="center"/>
              <w:ind w:left="689"/>
              <w:spacing w:after="0"/>
              <w:rPr>
                <w:sz w:val="20"/>
                <w:szCs w:val="20"/>
                <w:color w:val="auto"/>
              </w:rPr>
            </w:pPr>
            <w:r>
              <w:rPr>
                <w:rFonts w:ascii="Times New Roman" w:cs="Times New Roman" w:eastAsia="Times New Roman" w:hAnsi="Times New Roman"/>
                <w:sz w:val="12"/>
                <w:szCs w:val="12"/>
                <w:b w:val="1"/>
                <w:bCs w:val="1"/>
                <w:color w:val="auto"/>
                <w:w w:val="99"/>
              </w:rPr>
              <w:t>Consolidated Balance Sheets</w:t>
            </w: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6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0"/>
                <w:szCs w:val="10"/>
                <w:b w:val="1"/>
                <w:bCs w:val="1"/>
                <w:color w:val="auto"/>
              </w:rPr>
              <w:t>December 31, 2025</w:t>
            </w: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0"/>
                <w:szCs w:val="10"/>
                <w:b w:val="1"/>
                <w:bCs w:val="1"/>
                <w:color w:val="auto"/>
              </w:rPr>
              <w:t>December 31, 2024</w:t>
            </w:r>
          </w:p>
        </w:tc>
        <w:tc>
          <w:tcPr>
            <w:tcW w:w="0" w:type="dxa"/>
            <w:vAlign w:val="bottom"/>
          </w:tcPr>
          <w:p>
            <w:pPr>
              <w:spacing w:after="0"/>
              <w:rPr>
                <w:sz w:val="1"/>
                <w:szCs w:val="1"/>
                <w:color w:val="auto"/>
              </w:rPr>
            </w:pPr>
          </w:p>
        </w:tc>
      </w:tr>
      <w:tr>
        <w:trPr>
          <w:trHeight w:val="123"/>
        </w:trPr>
        <w:tc>
          <w:tcPr>
            <w:tcW w:w="264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0"/>
                <w:szCs w:val="10"/>
                <w:i w:val="1"/>
                <w:iCs w:val="1"/>
                <w:color w:val="auto"/>
              </w:rPr>
              <w:t>(Unaudited)</w:t>
            </w:r>
          </w:p>
        </w:tc>
        <w:tc>
          <w:tcPr>
            <w:tcW w:w="3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64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20" w:type="dxa"/>
            <w:vAlign w:val="bottom"/>
            <w:tcBorders>
              <w:bottom w:val="single" w:sz="8" w:color="auto"/>
            </w:tcBorders>
            <w:gridSpan w:val="3"/>
          </w:tcPr>
          <w:p>
            <w:pPr>
              <w:ind w:left="134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1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26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Current assets:</w:t>
            </w:r>
          </w:p>
        </w:tc>
        <w:tc>
          <w:tcPr>
            <w:tcW w:w="5160" w:type="dxa"/>
            <w:vAlign w:val="bottom"/>
          </w:tcPr>
          <w:p>
            <w:pPr>
              <w:jc w:val="center"/>
              <w:ind w:right="2609"/>
              <w:spacing w:after="0" w:line="109" w:lineRule="exact"/>
              <w:rPr>
                <w:sz w:val="20"/>
                <w:szCs w:val="20"/>
                <w:color w:val="auto"/>
              </w:rPr>
            </w:pPr>
            <w:r>
              <w:rPr>
                <w:rFonts w:ascii="Times New Roman" w:cs="Times New Roman" w:eastAsia="Times New Roman" w:hAnsi="Times New Roman"/>
                <w:sz w:val="10"/>
                <w:szCs w:val="10"/>
                <w:b w:val="1"/>
                <w:bCs w:val="1"/>
                <w:color w:val="auto"/>
                <w:w w:val="97"/>
              </w:rPr>
              <w:t>Assets</w:t>
            </w: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640" w:type="dxa"/>
            <w:vAlign w:val="bottom"/>
            <w:vMerge w:val="continue"/>
          </w:tcPr>
          <w:p>
            <w:pPr>
              <w:spacing w:after="0"/>
              <w:rPr>
                <w:sz w:val="12"/>
                <w:szCs w:val="12"/>
                <w:color w:val="auto"/>
              </w:rPr>
            </w:pPr>
          </w:p>
        </w:tc>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Cash and cash equivalents</w:t>
            </w:r>
          </w:p>
        </w:tc>
        <w:tc>
          <w:tcPr>
            <w:tcW w:w="5280" w:type="dxa"/>
            <w:vAlign w:val="bottom"/>
            <w:gridSpan w:val="2"/>
            <w:shd w:val="clear" w:color="auto" w:fill="CCEEFF"/>
          </w:tcPr>
          <w:p>
            <w:pPr>
              <w:ind w:left="5160"/>
              <w:spacing w:after="0"/>
              <w:rPr>
                <w:sz w:val="20"/>
                <w:szCs w:val="20"/>
                <w:color w:val="auto"/>
              </w:rPr>
            </w:pPr>
            <w:r>
              <w:rPr>
                <w:rFonts w:ascii="Times New Roman" w:cs="Times New Roman" w:eastAsia="Times New Roman" w:hAnsi="Times New Roman"/>
                <w:sz w:val="10"/>
                <w:szCs w:val="10"/>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757,373</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407,445</w:t>
            </w:r>
          </w:p>
        </w:tc>
        <w:tc>
          <w:tcPr>
            <w:tcW w:w="0" w:type="dxa"/>
            <w:vAlign w:val="bottom"/>
          </w:tcPr>
          <w:p>
            <w:pPr>
              <w:spacing w:after="0"/>
              <w:rPr>
                <w:sz w:val="1"/>
                <w:szCs w:val="1"/>
                <w:color w:val="auto"/>
              </w:rPr>
            </w:pPr>
          </w:p>
        </w:tc>
      </w:tr>
      <w:tr>
        <w:trPr>
          <w:trHeight w:val="129"/>
        </w:trPr>
        <w:tc>
          <w:tcPr>
            <w:tcW w:w="2640" w:type="dxa"/>
            <w:vAlign w:val="bottom"/>
          </w:tcPr>
          <w:p>
            <w:pPr>
              <w:spacing w:after="0"/>
              <w:rPr>
                <w:sz w:val="20"/>
                <w:szCs w:val="20"/>
                <w:color w:val="auto"/>
              </w:rPr>
            </w:pPr>
            <w:r>
              <w:rPr>
                <w:rFonts w:ascii="Times New Roman" w:cs="Times New Roman" w:eastAsia="Times New Roman" w:hAnsi="Times New Roman"/>
                <w:sz w:val="10"/>
                <w:szCs w:val="10"/>
                <w:color w:val="auto"/>
              </w:rPr>
              <w:t>Restricted cash</w:t>
            </w:r>
          </w:p>
        </w:tc>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8,589</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3,865</w:t>
            </w:r>
          </w:p>
        </w:tc>
        <w:tc>
          <w:tcPr>
            <w:tcW w:w="0" w:type="dxa"/>
            <w:vAlign w:val="bottom"/>
          </w:tcPr>
          <w:p>
            <w:pPr>
              <w:spacing w:after="0"/>
              <w:rPr>
                <w:sz w:val="1"/>
                <w:szCs w:val="1"/>
                <w:color w:val="auto"/>
              </w:rPr>
            </w:pPr>
          </w:p>
        </w:tc>
      </w:tr>
      <w:tr>
        <w:trPr>
          <w:trHeight w:val="141"/>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Short-term time deposits</w:t>
            </w:r>
          </w:p>
        </w:tc>
        <w:tc>
          <w:tcPr>
            <w:tcW w:w="5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366,591</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17,277</w:t>
            </w:r>
          </w:p>
        </w:tc>
        <w:tc>
          <w:tcPr>
            <w:tcW w:w="0" w:type="dxa"/>
            <w:vAlign w:val="bottom"/>
          </w:tcPr>
          <w:p>
            <w:pPr>
              <w:spacing w:after="0"/>
              <w:rPr>
                <w:sz w:val="1"/>
                <w:szCs w:val="1"/>
                <w:color w:val="auto"/>
              </w:rPr>
            </w:pPr>
          </w:p>
        </w:tc>
      </w:tr>
      <w:tr>
        <w:trPr>
          <w:trHeight w:val="129"/>
        </w:trPr>
        <w:tc>
          <w:tcPr>
            <w:tcW w:w="2640" w:type="dxa"/>
            <w:vAlign w:val="bottom"/>
          </w:tcPr>
          <w:p>
            <w:pPr>
              <w:spacing w:after="0"/>
              <w:rPr>
                <w:sz w:val="20"/>
                <w:szCs w:val="20"/>
                <w:color w:val="auto"/>
              </w:rPr>
            </w:pPr>
            <w:r>
              <w:rPr>
                <w:rFonts w:ascii="Times New Roman" w:cs="Times New Roman" w:eastAsia="Times New Roman" w:hAnsi="Times New Roman"/>
                <w:sz w:val="10"/>
                <w:szCs w:val="10"/>
                <w:color w:val="auto"/>
              </w:rPr>
              <w:t>Short-term investments</w:t>
            </w:r>
          </w:p>
        </w:tc>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35,524</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19,373</w:t>
            </w:r>
          </w:p>
        </w:tc>
        <w:tc>
          <w:tcPr>
            <w:tcW w:w="0" w:type="dxa"/>
            <w:vAlign w:val="bottom"/>
          </w:tcPr>
          <w:p>
            <w:pPr>
              <w:spacing w:after="0"/>
              <w:rPr>
                <w:sz w:val="1"/>
                <w:szCs w:val="1"/>
                <w:color w:val="auto"/>
              </w:rPr>
            </w:pPr>
          </w:p>
        </w:tc>
      </w:tr>
      <w:tr>
        <w:trPr>
          <w:trHeight w:val="141"/>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Accounts receivable, net</w:t>
            </w:r>
          </w:p>
        </w:tc>
        <w:tc>
          <w:tcPr>
            <w:tcW w:w="5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504,250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387,045</w:t>
            </w:r>
          </w:p>
        </w:tc>
        <w:tc>
          <w:tcPr>
            <w:tcW w:w="0" w:type="dxa"/>
            <w:vAlign w:val="bottom"/>
          </w:tcPr>
          <w:p>
            <w:pPr>
              <w:spacing w:after="0"/>
              <w:rPr>
                <w:sz w:val="1"/>
                <w:szCs w:val="1"/>
                <w:color w:val="auto"/>
              </w:rPr>
            </w:pPr>
          </w:p>
        </w:tc>
      </w:tr>
      <w:tr>
        <w:trPr>
          <w:trHeight w:val="129"/>
        </w:trPr>
        <w:tc>
          <w:tcPr>
            <w:tcW w:w="2640" w:type="dxa"/>
            <w:vAlign w:val="bottom"/>
          </w:tcPr>
          <w:p>
            <w:pPr>
              <w:spacing w:after="0"/>
              <w:rPr>
                <w:sz w:val="20"/>
                <w:szCs w:val="20"/>
                <w:color w:val="auto"/>
              </w:rPr>
            </w:pPr>
            <w:r>
              <w:rPr>
                <w:rFonts w:ascii="Times New Roman" w:cs="Times New Roman" w:eastAsia="Times New Roman" w:hAnsi="Times New Roman"/>
                <w:sz w:val="10"/>
                <w:szCs w:val="10"/>
                <w:color w:val="auto"/>
              </w:rPr>
              <w:t>Other receivables</w:t>
            </w:r>
          </w:p>
        </w:tc>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48,655</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41,859</w:t>
            </w:r>
          </w:p>
        </w:tc>
        <w:tc>
          <w:tcPr>
            <w:tcW w:w="0" w:type="dxa"/>
            <w:vAlign w:val="bottom"/>
          </w:tcPr>
          <w:p>
            <w:pPr>
              <w:spacing w:after="0"/>
              <w:rPr>
                <w:sz w:val="1"/>
                <w:szCs w:val="1"/>
                <w:color w:val="auto"/>
              </w:rPr>
            </w:pPr>
          </w:p>
        </w:tc>
      </w:tr>
      <w:tr>
        <w:trPr>
          <w:trHeight w:val="141"/>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Inventories, net</w:t>
            </w:r>
          </w:p>
        </w:tc>
        <w:tc>
          <w:tcPr>
            <w:tcW w:w="5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702,631</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597,984</w:t>
            </w:r>
          </w:p>
        </w:tc>
        <w:tc>
          <w:tcPr>
            <w:tcW w:w="0" w:type="dxa"/>
            <w:vAlign w:val="bottom"/>
          </w:tcPr>
          <w:p>
            <w:pPr>
              <w:spacing w:after="0"/>
              <w:rPr>
                <w:sz w:val="1"/>
                <w:szCs w:val="1"/>
                <w:color w:val="auto"/>
              </w:rPr>
            </w:pPr>
          </w:p>
        </w:tc>
      </w:tr>
      <w:tr>
        <w:trPr>
          <w:trHeight w:val="129"/>
        </w:trPr>
        <w:tc>
          <w:tcPr>
            <w:tcW w:w="2640" w:type="dxa"/>
            <w:vAlign w:val="bottom"/>
          </w:tcPr>
          <w:p>
            <w:pPr>
              <w:spacing w:after="0"/>
              <w:rPr>
                <w:sz w:val="20"/>
                <w:szCs w:val="20"/>
                <w:color w:val="auto"/>
              </w:rPr>
            </w:pPr>
            <w:r>
              <w:rPr>
                <w:rFonts w:ascii="Times New Roman" w:cs="Times New Roman" w:eastAsia="Times New Roman" w:hAnsi="Times New Roman"/>
                <w:sz w:val="10"/>
                <w:szCs w:val="10"/>
                <w:color w:val="auto"/>
              </w:rPr>
              <w:t>Advances to related parties</w:t>
            </w:r>
          </w:p>
        </w:tc>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2,500</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1,024</w:t>
            </w:r>
          </w:p>
        </w:tc>
        <w:tc>
          <w:tcPr>
            <w:tcW w:w="0" w:type="dxa"/>
            <w:vAlign w:val="bottom"/>
          </w:tcPr>
          <w:p>
            <w:pPr>
              <w:spacing w:after="0"/>
              <w:rPr>
                <w:sz w:val="1"/>
                <w:szCs w:val="1"/>
                <w:color w:val="auto"/>
              </w:rPr>
            </w:pPr>
          </w:p>
        </w:tc>
      </w:tr>
      <w:tr>
        <w:trPr>
          <w:trHeight w:val="141"/>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Prepaid expenses and other current assets</w:t>
            </w:r>
          </w:p>
        </w:tc>
        <w:tc>
          <w:tcPr>
            <w:tcW w:w="5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10,567</w:t>
            </w:r>
          </w:p>
        </w:tc>
        <w:tc>
          <w:tcPr>
            <w:tcW w:w="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7,507</w:t>
            </w:r>
          </w:p>
        </w:tc>
        <w:tc>
          <w:tcPr>
            <w:tcW w:w="0" w:type="dxa"/>
            <w:vAlign w:val="bottom"/>
          </w:tcPr>
          <w:p>
            <w:pPr>
              <w:spacing w:after="0"/>
              <w:rPr>
                <w:sz w:val="1"/>
                <w:szCs w:val="1"/>
                <w:color w:val="auto"/>
              </w:rPr>
            </w:pPr>
          </w:p>
        </w:tc>
      </w:tr>
      <w:tr>
        <w:trPr>
          <w:trHeight w:val="118"/>
        </w:trPr>
        <w:tc>
          <w:tcPr>
            <w:tcW w:w="2640" w:type="dxa"/>
            <w:vAlign w:val="bottom"/>
            <w:tcBorders>
              <w:bottom w:val="single" w:sz="8" w:color="CCEEFF"/>
            </w:tcBorders>
          </w:tcPr>
          <w:p>
            <w:pPr>
              <w:ind w:left="300"/>
              <w:spacing w:after="0" w:line="107" w:lineRule="exact"/>
              <w:rPr>
                <w:sz w:val="20"/>
                <w:szCs w:val="20"/>
                <w:color w:val="auto"/>
              </w:rPr>
            </w:pPr>
            <w:r>
              <w:rPr>
                <w:rFonts w:ascii="Times New Roman" w:cs="Times New Roman" w:eastAsia="Times New Roman" w:hAnsi="Times New Roman"/>
                <w:sz w:val="10"/>
                <w:szCs w:val="10"/>
                <w:color w:val="auto"/>
              </w:rPr>
              <w:t>Total current assets</w:t>
            </w:r>
          </w:p>
        </w:tc>
        <w:tc>
          <w:tcPr>
            <w:tcW w:w="5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2,436,680</w:t>
            </w:r>
          </w:p>
        </w:tc>
        <w:tc>
          <w:tcPr>
            <w:tcW w:w="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1,483,379</w:t>
            </w:r>
          </w:p>
        </w:tc>
        <w:tc>
          <w:tcPr>
            <w:tcW w:w="0" w:type="dxa"/>
            <w:vAlign w:val="bottom"/>
          </w:tcPr>
          <w:p>
            <w:pPr>
              <w:spacing w:after="0"/>
              <w:rPr>
                <w:sz w:val="1"/>
                <w:szCs w:val="1"/>
                <w:color w:val="auto"/>
              </w:rPr>
            </w:pPr>
          </w:p>
        </w:tc>
      </w:tr>
      <w:tr>
        <w:trPr>
          <w:trHeight w:val="130"/>
        </w:trPr>
        <w:tc>
          <w:tcPr>
            <w:tcW w:w="26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Property, plant and equipment, net</w:t>
            </w:r>
          </w:p>
        </w:tc>
        <w:tc>
          <w:tcPr>
            <w:tcW w:w="5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314,830</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269,272</w:t>
            </w:r>
          </w:p>
        </w:tc>
        <w:tc>
          <w:tcPr>
            <w:tcW w:w="0" w:type="dxa"/>
            <w:vAlign w:val="bottom"/>
          </w:tcPr>
          <w:p>
            <w:pPr>
              <w:spacing w:after="0"/>
              <w:rPr>
                <w:sz w:val="1"/>
                <w:szCs w:val="1"/>
                <w:color w:val="auto"/>
              </w:rPr>
            </w:pPr>
          </w:p>
        </w:tc>
      </w:tr>
      <w:tr>
        <w:trPr>
          <w:trHeight w:val="129"/>
        </w:trPr>
        <w:tc>
          <w:tcPr>
            <w:tcW w:w="2640" w:type="dxa"/>
            <w:vAlign w:val="bottom"/>
          </w:tcPr>
          <w:p>
            <w:pPr>
              <w:spacing w:after="0"/>
              <w:rPr>
                <w:sz w:val="20"/>
                <w:szCs w:val="20"/>
                <w:color w:val="auto"/>
              </w:rPr>
            </w:pPr>
            <w:r>
              <w:rPr>
                <w:rFonts w:ascii="Times New Roman" w:cs="Times New Roman" w:eastAsia="Times New Roman" w:hAnsi="Times New Roman"/>
                <w:sz w:val="10"/>
                <w:szCs w:val="10"/>
                <w:color w:val="auto"/>
              </w:rPr>
              <w:t>Operating lease right-of-use assets, net</w:t>
            </w:r>
          </w:p>
        </w:tc>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17,925</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14,038</w:t>
            </w:r>
          </w:p>
        </w:tc>
        <w:tc>
          <w:tcPr>
            <w:tcW w:w="0" w:type="dxa"/>
            <w:vAlign w:val="bottom"/>
          </w:tcPr>
          <w:p>
            <w:pPr>
              <w:spacing w:after="0"/>
              <w:rPr>
                <w:sz w:val="1"/>
                <w:szCs w:val="1"/>
                <w:color w:val="auto"/>
              </w:rPr>
            </w:pPr>
          </w:p>
        </w:tc>
      </w:tr>
      <w:tr>
        <w:trPr>
          <w:trHeight w:val="141"/>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Intangible assets, net</w:t>
            </w:r>
          </w:p>
        </w:tc>
        <w:tc>
          <w:tcPr>
            <w:tcW w:w="5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2,847</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3,461</w:t>
            </w:r>
          </w:p>
        </w:tc>
        <w:tc>
          <w:tcPr>
            <w:tcW w:w="0" w:type="dxa"/>
            <w:vAlign w:val="bottom"/>
          </w:tcPr>
          <w:p>
            <w:pPr>
              <w:spacing w:after="0"/>
              <w:rPr>
                <w:sz w:val="1"/>
                <w:szCs w:val="1"/>
                <w:color w:val="auto"/>
              </w:rPr>
            </w:pPr>
          </w:p>
        </w:tc>
      </w:tr>
      <w:tr>
        <w:trPr>
          <w:trHeight w:val="129"/>
        </w:trPr>
        <w:tc>
          <w:tcPr>
            <w:tcW w:w="2640" w:type="dxa"/>
            <w:vAlign w:val="bottom"/>
          </w:tcPr>
          <w:p>
            <w:pPr>
              <w:spacing w:after="0"/>
              <w:rPr>
                <w:sz w:val="20"/>
                <w:szCs w:val="20"/>
                <w:color w:val="auto"/>
              </w:rPr>
            </w:pPr>
            <w:r>
              <w:rPr>
                <w:rFonts w:ascii="Times New Roman" w:cs="Times New Roman" w:eastAsia="Times New Roman" w:hAnsi="Times New Roman"/>
                <w:sz w:val="10"/>
                <w:szCs w:val="10"/>
                <w:color w:val="auto"/>
              </w:rPr>
              <w:t>Long-term time deposits</w:t>
            </w:r>
          </w:p>
        </w:tc>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13,275</w:t>
            </w:r>
          </w:p>
        </w:tc>
        <w:tc>
          <w:tcPr>
            <w:tcW w:w="0" w:type="dxa"/>
            <w:vAlign w:val="bottom"/>
          </w:tcPr>
          <w:p>
            <w:pPr>
              <w:spacing w:after="0"/>
              <w:rPr>
                <w:sz w:val="1"/>
                <w:szCs w:val="1"/>
                <w:color w:val="auto"/>
              </w:rPr>
            </w:pPr>
          </w:p>
        </w:tc>
      </w:tr>
      <w:tr>
        <w:trPr>
          <w:trHeight w:val="141"/>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Deferred tax assets</w:t>
            </w:r>
          </w:p>
        </w:tc>
        <w:tc>
          <w:tcPr>
            <w:tcW w:w="5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29,389</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14,781</w:t>
            </w:r>
          </w:p>
        </w:tc>
        <w:tc>
          <w:tcPr>
            <w:tcW w:w="0" w:type="dxa"/>
            <w:vAlign w:val="bottom"/>
          </w:tcPr>
          <w:p>
            <w:pPr>
              <w:spacing w:after="0"/>
              <w:rPr>
                <w:sz w:val="1"/>
                <w:szCs w:val="1"/>
                <w:color w:val="auto"/>
              </w:rPr>
            </w:pPr>
          </w:p>
        </w:tc>
      </w:tr>
      <w:tr>
        <w:trPr>
          <w:trHeight w:val="129"/>
        </w:trPr>
        <w:tc>
          <w:tcPr>
            <w:tcW w:w="2640" w:type="dxa"/>
            <w:vAlign w:val="bottom"/>
          </w:tcPr>
          <w:p>
            <w:pPr>
              <w:spacing w:after="0"/>
              <w:rPr>
                <w:sz w:val="20"/>
                <w:szCs w:val="20"/>
                <w:color w:val="auto"/>
              </w:rPr>
            </w:pPr>
            <w:r>
              <w:rPr>
                <w:rFonts w:ascii="Times New Roman" w:cs="Times New Roman" w:eastAsia="Times New Roman" w:hAnsi="Times New Roman"/>
                <w:sz w:val="10"/>
                <w:szCs w:val="10"/>
                <w:color w:val="auto"/>
              </w:rPr>
              <w:t>Long-term investments</w:t>
            </w:r>
          </w:p>
        </w:tc>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66,035</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37,063</w:t>
            </w:r>
          </w:p>
        </w:tc>
        <w:tc>
          <w:tcPr>
            <w:tcW w:w="0" w:type="dxa"/>
            <w:vAlign w:val="bottom"/>
          </w:tcPr>
          <w:p>
            <w:pPr>
              <w:spacing w:after="0"/>
              <w:rPr>
                <w:sz w:val="1"/>
                <w:szCs w:val="1"/>
                <w:color w:val="auto"/>
              </w:rPr>
            </w:pPr>
          </w:p>
        </w:tc>
      </w:tr>
      <w:tr>
        <w:trPr>
          <w:trHeight w:val="15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long-term assets</w:t>
            </w:r>
          </w:p>
        </w:tc>
        <w:tc>
          <w:tcPr>
            <w:tcW w:w="51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4,479</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20,452</w:t>
            </w:r>
          </w:p>
        </w:tc>
        <w:tc>
          <w:tcPr>
            <w:tcW w:w="0" w:type="dxa"/>
            <w:vAlign w:val="bottom"/>
          </w:tcPr>
          <w:p>
            <w:pPr>
              <w:spacing w:after="0"/>
              <w:rPr>
                <w:sz w:val="1"/>
                <w:szCs w:val="1"/>
                <w:color w:val="auto"/>
              </w:rPr>
            </w:pPr>
          </w:p>
        </w:tc>
      </w:tr>
      <w:tr>
        <w:trPr>
          <w:trHeight w:val="149"/>
        </w:trPr>
        <w:tc>
          <w:tcPr>
            <w:tcW w:w="264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0"/>
                <w:szCs w:val="10"/>
                <w:b w:val="1"/>
                <w:bCs w:val="1"/>
                <w:color w:val="auto"/>
              </w:rPr>
              <w:t>Total assets</w:t>
            </w:r>
          </w:p>
        </w:tc>
        <w:tc>
          <w:tcPr>
            <w:tcW w:w="5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2,872,185</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1,855,721</w:t>
            </w:r>
          </w:p>
        </w:tc>
        <w:tc>
          <w:tcPr>
            <w:tcW w:w="0" w:type="dxa"/>
            <w:vAlign w:val="bottom"/>
          </w:tcPr>
          <w:p>
            <w:pPr>
              <w:spacing w:after="0"/>
              <w:rPr>
                <w:sz w:val="1"/>
                <w:szCs w:val="1"/>
                <w:color w:val="auto"/>
              </w:rPr>
            </w:pPr>
          </w:p>
        </w:tc>
      </w:tr>
      <w:tr>
        <w:trPr>
          <w:trHeight w:val="126"/>
        </w:trPr>
        <w:tc>
          <w:tcPr>
            <w:tcW w:w="2640" w:type="dxa"/>
            <w:vAlign w:val="bottom"/>
            <w:shd w:val="clear" w:color="auto" w:fill="CCEEFF"/>
          </w:tcPr>
          <w:p>
            <w:pPr>
              <w:spacing w:after="0"/>
              <w:rPr>
                <w:sz w:val="10"/>
                <w:szCs w:val="10"/>
                <w:color w:val="auto"/>
              </w:rPr>
            </w:pPr>
          </w:p>
        </w:tc>
        <w:tc>
          <w:tcPr>
            <w:tcW w:w="5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640" w:type="dxa"/>
            <w:vAlign w:val="bottom"/>
          </w:tcPr>
          <w:p>
            <w:pPr>
              <w:spacing w:after="0"/>
              <w:rPr>
                <w:sz w:val="11"/>
                <w:szCs w:val="11"/>
                <w:color w:val="auto"/>
              </w:rPr>
            </w:pPr>
          </w:p>
        </w:tc>
        <w:tc>
          <w:tcPr>
            <w:tcW w:w="5280" w:type="dxa"/>
            <w:vAlign w:val="bottom"/>
            <w:gridSpan w:val="2"/>
          </w:tcPr>
          <w:p>
            <w:pPr>
              <w:jc w:val="center"/>
              <w:ind w:right="2726"/>
              <w:spacing w:after="0"/>
              <w:rPr>
                <w:sz w:val="20"/>
                <w:szCs w:val="20"/>
                <w:color w:val="auto"/>
              </w:rPr>
            </w:pPr>
            <w:r>
              <w:rPr>
                <w:rFonts w:ascii="Times New Roman" w:cs="Times New Roman" w:eastAsia="Times New Roman" w:hAnsi="Times New Roman"/>
                <w:sz w:val="10"/>
                <w:szCs w:val="10"/>
                <w:b w:val="1"/>
                <w:bCs w:val="1"/>
                <w:color w:val="auto"/>
                <w:w w:val="96"/>
              </w:rPr>
              <w:t>Liabilities and Equity</w:t>
            </w: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Current liabilities:</w:t>
            </w:r>
          </w:p>
        </w:tc>
        <w:tc>
          <w:tcPr>
            <w:tcW w:w="5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640" w:type="dxa"/>
            <w:vAlign w:val="bottom"/>
          </w:tcPr>
          <w:p>
            <w:pPr>
              <w:spacing w:after="0"/>
              <w:rPr>
                <w:sz w:val="20"/>
                <w:szCs w:val="20"/>
                <w:color w:val="auto"/>
              </w:rPr>
            </w:pPr>
            <w:r>
              <w:rPr>
                <w:rFonts w:ascii="Times New Roman" w:cs="Times New Roman" w:eastAsia="Times New Roman" w:hAnsi="Times New Roman"/>
                <w:sz w:val="10"/>
                <w:szCs w:val="10"/>
                <w:color w:val="auto"/>
              </w:rPr>
              <w:t>Short-term borrowings</w:t>
            </w:r>
          </w:p>
        </w:tc>
        <w:tc>
          <w:tcPr>
            <w:tcW w:w="5280" w:type="dxa"/>
            <w:vAlign w:val="bottom"/>
            <w:gridSpan w:val="2"/>
          </w:tcPr>
          <w:p>
            <w:pPr>
              <w:ind w:left="5160"/>
              <w:spacing w:after="0"/>
              <w:rPr>
                <w:sz w:val="20"/>
                <w:szCs w:val="20"/>
                <w:color w:val="auto"/>
              </w:rPr>
            </w:pPr>
            <w:r>
              <w:rPr>
                <w:rFonts w:ascii="Times New Roman" w:cs="Times New Roman" w:eastAsia="Times New Roman" w:hAnsi="Times New Roman"/>
                <w:sz w:val="10"/>
                <w:szCs w:val="10"/>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74,041</w:t>
            </w:r>
          </w:p>
        </w:tc>
        <w:tc>
          <w:tcPr>
            <w:tcW w:w="80" w:type="dxa"/>
            <w:vAlign w:val="bottom"/>
          </w:tcPr>
          <w:p>
            <w:pPr>
              <w:spacing w:after="0"/>
              <w:rPr>
                <w:sz w:val="11"/>
                <w:szCs w:val="11"/>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32,814</w:t>
            </w:r>
          </w:p>
        </w:tc>
        <w:tc>
          <w:tcPr>
            <w:tcW w:w="0" w:type="dxa"/>
            <w:vAlign w:val="bottom"/>
          </w:tcPr>
          <w:p>
            <w:pPr>
              <w:spacing w:after="0"/>
              <w:rPr>
                <w:sz w:val="1"/>
                <w:szCs w:val="1"/>
                <w:color w:val="auto"/>
              </w:rPr>
            </w:pPr>
          </w:p>
        </w:tc>
      </w:tr>
      <w:tr>
        <w:trPr>
          <w:trHeight w:val="141"/>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Current portion of long-term borrowings</w:t>
            </w:r>
          </w:p>
        </w:tc>
        <w:tc>
          <w:tcPr>
            <w:tcW w:w="5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35,082</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44,472</w:t>
            </w:r>
          </w:p>
        </w:tc>
        <w:tc>
          <w:tcPr>
            <w:tcW w:w="0" w:type="dxa"/>
            <w:vAlign w:val="bottom"/>
          </w:tcPr>
          <w:p>
            <w:pPr>
              <w:spacing w:after="0"/>
              <w:rPr>
                <w:sz w:val="1"/>
                <w:szCs w:val="1"/>
                <w:color w:val="auto"/>
              </w:rPr>
            </w:pPr>
          </w:p>
        </w:tc>
      </w:tr>
      <w:tr>
        <w:trPr>
          <w:trHeight w:val="129"/>
        </w:trPr>
        <w:tc>
          <w:tcPr>
            <w:tcW w:w="2640" w:type="dxa"/>
            <w:vAlign w:val="bottom"/>
          </w:tcPr>
          <w:p>
            <w:pPr>
              <w:spacing w:after="0"/>
              <w:rPr>
                <w:sz w:val="20"/>
                <w:szCs w:val="20"/>
                <w:color w:val="auto"/>
              </w:rPr>
            </w:pPr>
            <w:r>
              <w:rPr>
                <w:rFonts w:ascii="Times New Roman" w:cs="Times New Roman" w:eastAsia="Times New Roman" w:hAnsi="Times New Roman"/>
                <w:sz w:val="10"/>
                <w:szCs w:val="10"/>
                <w:color w:val="auto"/>
              </w:rPr>
              <w:t>Related parties accounts payable</w:t>
            </w:r>
          </w:p>
        </w:tc>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32,060</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16,133</w:t>
            </w:r>
          </w:p>
        </w:tc>
        <w:tc>
          <w:tcPr>
            <w:tcW w:w="0" w:type="dxa"/>
            <w:vAlign w:val="bottom"/>
          </w:tcPr>
          <w:p>
            <w:pPr>
              <w:spacing w:after="0"/>
              <w:rPr>
                <w:sz w:val="1"/>
                <w:szCs w:val="1"/>
                <w:color w:val="auto"/>
              </w:rPr>
            </w:pPr>
          </w:p>
        </w:tc>
      </w:tr>
      <w:tr>
        <w:trPr>
          <w:trHeight w:val="141"/>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Accounts payable</w:t>
            </w:r>
          </w:p>
        </w:tc>
        <w:tc>
          <w:tcPr>
            <w:tcW w:w="5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215,440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139,294</w:t>
            </w:r>
          </w:p>
        </w:tc>
        <w:tc>
          <w:tcPr>
            <w:tcW w:w="0" w:type="dxa"/>
            <w:vAlign w:val="bottom"/>
          </w:tcPr>
          <w:p>
            <w:pPr>
              <w:spacing w:after="0"/>
              <w:rPr>
                <w:sz w:val="1"/>
                <w:szCs w:val="1"/>
                <w:color w:val="auto"/>
              </w:rPr>
            </w:pPr>
          </w:p>
        </w:tc>
      </w:tr>
      <w:tr>
        <w:trPr>
          <w:trHeight w:val="129"/>
        </w:trPr>
        <w:tc>
          <w:tcPr>
            <w:tcW w:w="2640" w:type="dxa"/>
            <w:vAlign w:val="bottom"/>
          </w:tcPr>
          <w:p>
            <w:pPr>
              <w:spacing w:after="0"/>
              <w:rPr>
                <w:sz w:val="20"/>
                <w:szCs w:val="20"/>
                <w:color w:val="auto"/>
              </w:rPr>
            </w:pPr>
            <w:r>
              <w:rPr>
                <w:rFonts w:ascii="Times New Roman" w:cs="Times New Roman" w:eastAsia="Times New Roman" w:hAnsi="Times New Roman"/>
                <w:sz w:val="10"/>
                <w:szCs w:val="10"/>
                <w:color w:val="auto"/>
              </w:rPr>
              <w:t>Advances from customers</w:t>
            </w:r>
          </w:p>
        </w:tc>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187,809</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243,949</w:t>
            </w:r>
          </w:p>
        </w:tc>
        <w:tc>
          <w:tcPr>
            <w:tcW w:w="0" w:type="dxa"/>
            <w:vAlign w:val="bottom"/>
          </w:tcPr>
          <w:p>
            <w:pPr>
              <w:spacing w:after="0"/>
              <w:rPr>
                <w:sz w:val="1"/>
                <w:szCs w:val="1"/>
                <w:color w:val="auto"/>
              </w:rPr>
            </w:pPr>
          </w:p>
        </w:tc>
      </w:tr>
      <w:tr>
        <w:trPr>
          <w:trHeight w:val="141"/>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Deferred revenue</w:t>
            </w:r>
          </w:p>
        </w:tc>
        <w:tc>
          <w:tcPr>
            <w:tcW w:w="5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17,388</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8,537</w:t>
            </w:r>
          </w:p>
        </w:tc>
        <w:tc>
          <w:tcPr>
            <w:tcW w:w="0" w:type="dxa"/>
            <w:vAlign w:val="bottom"/>
          </w:tcPr>
          <w:p>
            <w:pPr>
              <w:spacing w:after="0"/>
              <w:rPr>
                <w:sz w:val="1"/>
                <w:szCs w:val="1"/>
                <w:color w:val="auto"/>
              </w:rPr>
            </w:pPr>
          </w:p>
        </w:tc>
      </w:tr>
      <w:tr>
        <w:trPr>
          <w:trHeight w:val="129"/>
        </w:trPr>
        <w:tc>
          <w:tcPr>
            <w:tcW w:w="2640" w:type="dxa"/>
            <w:vAlign w:val="bottom"/>
          </w:tcPr>
          <w:p>
            <w:pPr>
              <w:spacing w:after="0"/>
              <w:rPr>
                <w:sz w:val="20"/>
                <w:szCs w:val="20"/>
                <w:color w:val="auto"/>
              </w:rPr>
            </w:pPr>
            <w:r>
              <w:rPr>
                <w:rFonts w:ascii="Times New Roman" w:cs="Times New Roman" w:eastAsia="Times New Roman" w:hAnsi="Times New Roman"/>
                <w:sz w:val="10"/>
                <w:szCs w:val="10"/>
                <w:color w:val="auto"/>
              </w:rPr>
              <w:t>Income taxes payable</w:t>
            </w:r>
          </w:p>
        </w:tc>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991</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12,779</w:t>
            </w:r>
          </w:p>
        </w:tc>
        <w:tc>
          <w:tcPr>
            <w:tcW w:w="0" w:type="dxa"/>
            <w:vAlign w:val="bottom"/>
          </w:tcPr>
          <w:p>
            <w:pPr>
              <w:spacing w:after="0"/>
              <w:rPr>
                <w:sz w:val="1"/>
                <w:szCs w:val="1"/>
                <w:color w:val="auto"/>
              </w:rPr>
            </w:pPr>
          </w:p>
        </w:tc>
      </w:tr>
      <w:tr>
        <w:trPr>
          <w:trHeight w:val="141"/>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FIN-48 payable</w:t>
            </w:r>
          </w:p>
        </w:tc>
        <w:tc>
          <w:tcPr>
            <w:tcW w:w="5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27,719</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19,466</w:t>
            </w:r>
          </w:p>
        </w:tc>
        <w:tc>
          <w:tcPr>
            <w:tcW w:w="0" w:type="dxa"/>
            <w:vAlign w:val="bottom"/>
          </w:tcPr>
          <w:p>
            <w:pPr>
              <w:spacing w:after="0"/>
              <w:rPr>
                <w:sz w:val="1"/>
                <w:szCs w:val="1"/>
                <w:color w:val="auto"/>
              </w:rPr>
            </w:pPr>
          </w:p>
        </w:tc>
      </w:tr>
      <w:tr>
        <w:trPr>
          <w:trHeight w:val="129"/>
        </w:trPr>
        <w:tc>
          <w:tcPr>
            <w:tcW w:w="2640" w:type="dxa"/>
            <w:vAlign w:val="bottom"/>
          </w:tcPr>
          <w:p>
            <w:pPr>
              <w:spacing w:after="0"/>
              <w:rPr>
                <w:sz w:val="20"/>
                <w:szCs w:val="20"/>
                <w:color w:val="auto"/>
              </w:rPr>
            </w:pPr>
            <w:r>
              <w:rPr>
                <w:rFonts w:ascii="Times New Roman" w:cs="Times New Roman" w:eastAsia="Times New Roman" w:hAnsi="Times New Roman"/>
                <w:sz w:val="10"/>
                <w:szCs w:val="10"/>
                <w:color w:val="auto"/>
              </w:rPr>
              <w:t>Other payables and accrued expenses</w:t>
            </w:r>
          </w:p>
        </w:tc>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150,396</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121,657</w:t>
            </w:r>
          </w:p>
        </w:tc>
        <w:tc>
          <w:tcPr>
            <w:tcW w:w="0" w:type="dxa"/>
            <w:vAlign w:val="bottom"/>
          </w:tcPr>
          <w:p>
            <w:pPr>
              <w:spacing w:after="0"/>
              <w:rPr>
                <w:sz w:val="1"/>
                <w:szCs w:val="1"/>
                <w:color w:val="auto"/>
              </w:rPr>
            </w:pPr>
          </w:p>
        </w:tc>
      </w:tr>
      <w:tr>
        <w:trPr>
          <w:trHeight w:val="141"/>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Current portion of operating lease liabilities</w:t>
            </w:r>
          </w:p>
        </w:tc>
        <w:tc>
          <w:tcPr>
            <w:tcW w:w="5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4,786</w:t>
            </w:r>
          </w:p>
        </w:tc>
        <w:tc>
          <w:tcPr>
            <w:tcW w:w="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2,132</w:t>
            </w:r>
          </w:p>
        </w:tc>
        <w:tc>
          <w:tcPr>
            <w:tcW w:w="0" w:type="dxa"/>
            <w:vAlign w:val="bottom"/>
          </w:tcPr>
          <w:p>
            <w:pPr>
              <w:spacing w:after="0"/>
              <w:rPr>
                <w:sz w:val="1"/>
                <w:szCs w:val="1"/>
                <w:color w:val="auto"/>
              </w:rPr>
            </w:pPr>
          </w:p>
        </w:tc>
      </w:tr>
      <w:tr>
        <w:trPr>
          <w:trHeight w:val="118"/>
        </w:trPr>
        <w:tc>
          <w:tcPr>
            <w:tcW w:w="2640" w:type="dxa"/>
            <w:vAlign w:val="bottom"/>
            <w:tcBorders>
              <w:bottom w:val="single" w:sz="8" w:color="CCEEFF"/>
            </w:tcBorders>
          </w:tcPr>
          <w:p>
            <w:pPr>
              <w:ind w:left="300"/>
              <w:spacing w:after="0" w:line="107" w:lineRule="exact"/>
              <w:rPr>
                <w:sz w:val="20"/>
                <w:szCs w:val="20"/>
                <w:color w:val="auto"/>
              </w:rPr>
            </w:pPr>
            <w:r>
              <w:rPr>
                <w:rFonts w:ascii="Times New Roman" w:cs="Times New Roman" w:eastAsia="Times New Roman" w:hAnsi="Times New Roman"/>
                <w:sz w:val="10"/>
                <w:szCs w:val="10"/>
                <w:color w:val="auto"/>
              </w:rPr>
              <w:t>Total current liabilities</w:t>
            </w:r>
          </w:p>
        </w:tc>
        <w:tc>
          <w:tcPr>
            <w:tcW w:w="5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745,712</w:t>
            </w:r>
          </w:p>
        </w:tc>
        <w:tc>
          <w:tcPr>
            <w:tcW w:w="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641,233</w:t>
            </w:r>
          </w:p>
        </w:tc>
        <w:tc>
          <w:tcPr>
            <w:tcW w:w="0" w:type="dxa"/>
            <w:vAlign w:val="bottom"/>
          </w:tcPr>
          <w:p>
            <w:pPr>
              <w:spacing w:after="0"/>
              <w:rPr>
                <w:sz w:val="1"/>
                <w:szCs w:val="1"/>
                <w:color w:val="auto"/>
              </w:rPr>
            </w:pPr>
          </w:p>
        </w:tc>
      </w:tr>
      <w:tr>
        <w:trPr>
          <w:trHeight w:val="130"/>
        </w:trPr>
        <w:tc>
          <w:tcPr>
            <w:tcW w:w="26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color w:val="auto"/>
              </w:rPr>
              <w:t>Long-term borrowings</w:t>
            </w:r>
          </w:p>
        </w:tc>
        <w:tc>
          <w:tcPr>
            <w:tcW w:w="5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178,930</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105,525</w:t>
            </w:r>
          </w:p>
        </w:tc>
        <w:tc>
          <w:tcPr>
            <w:tcW w:w="0" w:type="dxa"/>
            <w:vAlign w:val="bottom"/>
          </w:tcPr>
          <w:p>
            <w:pPr>
              <w:spacing w:after="0"/>
              <w:rPr>
                <w:sz w:val="1"/>
                <w:szCs w:val="1"/>
                <w:color w:val="auto"/>
              </w:rPr>
            </w:pPr>
          </w:p>
        </w:tc>
      </w:tr>
      <w:tr>
        <w:trPr>
          <w:trHeight w:val="129"/>
        </w:trPr>
        <w:tc>
          <w:tcPr>
            <w:tcW w:w="2640" w:type="dxa"/>
            <w:vAlign w:val="bottom"/>
          </w:tcPr>
          <w:p>
            <w:pPr>
              <w:spacing w:after="0"/>
              <w:rPr>
                <w:sz w:val="20"/>
                <w:szCs w:val="20"/>
                <w:color w:val="auto"/>
              </w:rPr>
            </w:pPr>
            <w:r>
              <w:rPr>
                <w:rFonts w:ascii="Times New Roman" w:cs="Times New Roman" w:eastAsia="Times New Roman" w:hAnsi="Times New Roman"/>
                <w:sz w:val="10"/>
                <w:szCs w:val="10"/>
                <w:color w:val="auto"/>
              </w:rPr>
              <w:t>Long-term operating lease liabilities</w:t>
            </w:r>
          </w:p>
        </w:tc>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5,069</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3,840</w:t>
            </w:r>
          </w:p>
        </w:tc>
        <w:tc>
          <w:tcPr>
            <w:tcW w:w="0" w:type="dxa"/>
            <w:vAlign w:val="bottom"/>
          </w:tcPr>
          <w:p>
            <w:pPr>
              <w:spacing w:after="0"/>
              <w:rPr>
                <w:sz w:val="1"/>
                <w:szCs w:val="1"/>
                <w:color w:val="auto"/>
              </w:rPr>
            </w:pPr>
          </w:p>
        </w:tc>
      </w:tr>
      <w:tr>
        <w:trPr>
          <w:trHeight w:val="141"/>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Other long-term liabilities</w:t>
            </w:r>
          </w:p>
        </w:tc>
        <w:tc>
          <w:tcPr>
            <w:tcW w:w="5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11,965</w:t>
            </w:r>
          </w:p>
        </w:tc>
        <w:tc>
          <w:tcPr>
            <w:tcW w:w="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9,217</w:t>
            </w:r>
          </w:p>
        </w:tc>
        <w:tc>
          <w:tcPr>
            <w:tcW w:w="0" w:type="dxa"/>
            <w:vAlign w:val="bottom"/>
          </w:tcPr>
          <w:p>
            <w:pPr>
              <w:spacing w:after="0"/>
              <w:rPr>
                <w:sz w:val="1"/>
                <w:szCs w:val="1"/>
                <w:color w:val="auto"/>
              </w:rPr>
            </w:pPr>
          </w:p>
        </w:tc>
      </w:tr>
      <w:tr>
        <w:trPr>
          <w:trHeight w:val="118"/>
        </w:trPr>
        <w:tc>
          <w:tcPr>
            <w:tcW w:w="2640" w:type="dxa"/>
            <w:vAlign w:val="bottom"/>
            <w:tcBorders>
              <w:bottom w:val="single" w:sz="8" w:color="CCEEFF"/>
            </w:tcBorders>
          </w:tcPr>
          <w:p>
            <w:pPr>
              <w:ind w:left="560"/>
              <w:spacing w:after="0" w:line="107" w:lineRule="exact"/>
              <w:rPr>
                <w:sz w:val="20"/>
                <w:szCs w:val="20"/>
                <w:color w:val="auto"/>
              </w:rPr>
            </w:pPr>
            <w:r>
              <w:rPr>
                <w:rFonts w:ascii="Times New Roman" w:cs="Times New Roman" w:eastAsia="Times New Roman" w:hAnsi="Times New Roman"/>
                <w:sz w:val="10"/>
                <w:szCs w:val="10"/>
                <w:b w:val="1"/>
                <w:bCs w:val="1"/>
                <w:color w:val="auto"/>
              </w:rPr>
              <w:t>Total liabilities</w:t>
            </w:r>
          </w:p>
        </w:tc>
        <w:tc>
          <w:tcPr>
            <w:tcW w:w="5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941,676</w:t>
            </w:r>
          </w:p>
        </w:tc>
        <w:tc>
          <w:tcPr>
            <w:tcW w:w="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759,815</w:t>
            </w:r>
          </w:p>
        </w:tc>
        <w:tc>
          <w:tcPr>
            <w:tcW w:w="0" w:type="dxa"/>
            <w:vAlign w:val="bottom"/>
          </w:tcPr>
          <w:p>
            <w:pPr>
              <w:spacing w:after="0"/>
              <w:rPr>
                <w:sz w:val="1"/>
                <w:szCs w:val="1"/>
                <w:color w:val="auto"/>
              </w:rPr>
            </w:pPr>
          </w:p>
        </w:tc>
      </w:tr>
      <w:tr>
        <w:trPr>
          <w:trHeight w:val="121"/>
        </w:trPr>
        <w:tc>
          <w:tcPr>
            <w:tcW w:w="2640" w:type="dxa"/>
            <w:vAlign w:val="bottom"/>
            <w:shd w:val="clear" w:color="auto" w:fill="CCEEFF"/>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Commitments and contingencies</w:t>
            </w:r>
          </w:p>
        </w:tc>
        <w:tc>
          <w:tcPr>
            <w:tcW w:w="5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640" w:type="dxa"/>
            <w:vAlign w:val="bottom"/>
          </w:tcPr>
          <w:p>
            <w:pPr>
              <w:spacing w:after="0"/>
              <w:rPr>
                <w:sz w:val="20"/>
                <w:szCs w:val="20"/>
                <w:color w:val="auto"/>
              </w:rPr>
            </w:pPr>
            <w:r>
              <w:rPr>
                <w:rFonts w:ascii="Times New Roman" w:cs="Times New Roman" w:eastAsia="Times New Roman" w:hAnsi="Times New Roman"/>
                <w:sz w:val="10"/>
                <w:szCs w:val="10"/>
                <w:color w:val="auto"/>
              </w:rPr>
              <w:t>Equity:</w:t>
            </w:r>
          </w:p>
        </w:tc>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Stockholders’ equity:</w:t>
            </w:r>
          </w:p>
        </w:tc>
        <w:tc>
          <w:tcPr>
            <w:tcW w:w="5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640" w:type="dxa"/>
            <w:vAlign w:val="bottom"/>
          </w:tcPr>
          <w:p>
            <w:pPr>
              <w:spacing w:after="0"/>
              <w:rPr>
                <w:sz w:val="20"/>
                <w:szCs w:val="20"/>
                <w:color w:val="auto"/>
              </w:rPr>
            </w:pPr>
            <w:r>
              <w:rPr>
                <w:rFonts w:ascii="Times New Roman" w:cs="Times New Roman" w:eastAsia="Times New Roman" w:hAnsi="Times New Roman"/>
                <w:sz w:val="10"/>
                <w:szCs w:val="10"/>
                <w:color w:val="auto"/>
              </w:rPr>
              <w:t>Class A Common stock</w:t>
            </w:r>
          </w:p>
        </w:tc>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0" w:type="dxa"/>
            <w:vAlign w:val="bottom"/>
          </w:tcPr>
          <w:p>
            <w:pPr>
              <w:spacing w:after="0"/>
              <w:rPr>
                <w:sz w:val="1"/>
                <w:szCs w:val="1"/>
                <w:color w:val="auto"/>
              </w:rPr>
            </w:pPr>
          </w:p>
        </w:tc>
      </w:tr>
      <w:tr>
        <w:trPr>
          <w:trHeight w:val="141"/>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Class B Common stock</w:t>
            </w:r>
          </w:p>
        </w:tc>
        <w:tc>
          <w:tcPr>
            <w:tcW w:w="5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29"/>
        </w:trPr>
        <w:tc>
          <w:tcPr>
            <w:tcW w:w="2640" w:type="dxa"/>
            <w:vAlign w:val="bottom"/>
          </w:tcPr>
          <w:p>
            <w:pPr>
              <w:spacing w:after="0"/>
              <w:rPr>
                <w:sz w:val="20"/>
                <w:szCs w:val="20"/>
                <w:color w:val="auto"/>
              </w:rPr>
            </w:pPr>
            <w:r>
              <w:rPr>
                <w:rFonts w:ascii="Times New Roman" w:cs="Times New Roman" w:eastAsia="Times New Roman" w:hAnsi="Times New Roman"/>
                <w:sz w:val="10"/>
                <w:szCs w:val="10"/>
                <w:color w:val="auto"/>
              </w:rPr>
              <w:t>Additional paid-in capital</w:t>
            </w:r>
          </w:p>
        </w:tc>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1,115,504</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677,476</w:t>
            </w:r>
          </w:p>
        </w:tc>
        <w:tc>
          <w:tcPr>
            <w:tcW w:w="0" w:type="dxa"/>
            <w:vAlign w:val="bottom"/>
          </w:tcPr>
          <w:p>
            <w:pPr>
              <w:spacing w:after="0"/>
              <w:rPr>
                <w:sz w:val="1"/>
                <w:szCs w:val="1"/>
                <w:color w:val="auto"/>
              </w:rPr>
            </w:pPr>
          </w:p>
        </w:tc>
      </w:tr>
      <w:tr>
        <w:trPr>
          <w:trHeight w:val="141"/>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Retained earnings</w:t>
            </w:r>
          </w:p>
        </w:tc>
        <w:tc>
          <w:tcPr>
            <w:tcW w:w="5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350,428</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260,000</w:t>
            </w:r>
          </w:p>
        </w:tc>
        <w:tc>
          <w:tcPr>
            <w:tcW w:w="0" w:type="dxa"/>
            <w:vAlign w:val="bottom"/>
          </w:tcPr>
          <w:p>
            <w:pPr>
              <w:spacing w:after="0"/>
              <w:rPr>
                <w:sz w:val="1"/>
                <w:szCs w:val="1"/>
                <w:color w:val="auto"/>
              </w:rPr>
            </w:pPr>
          </w:p>
        </w:tc>
      </w:tr>
      <w:tr>
        <w:trPr>
          <w:trHeight w:val="129"/>
        </w:trPr>
        <w:tc>
          <w:tcPr>
            <w:tcW w:w="2640" w:type="dxa"/>
            <w:vAlign w:val="bottom"/>
          </w:tcPr>
          <w:p>
            <w:pPr>
              <w:spacing w:after="0"/>
              <w:rPr>
                <w:sz w:val="20"/>
                <w:szCs w:val="20"/>
                <w:color w:val="auto"/>
              </w:rPr>
            </w:pPr>
            <w:r>
              <w:rPr>
                <w:rFonts w:ascii="Times New Roman" w:cs="Times New Roman" w:eastAsia="Times New Roman" w:hAnsi="Times New Roman"/>
                <w:sz w:val="10"/>
                <w:szCs w:val="10"/>
                <w:color w:val="auto"/>
              </w:rPr>
              <w:t>Statutory surplus reserve</w:t>
            </w:r>
          </w:p>
        </w:tc>
        <w:tc>
          <w:tcPr>
            <w:tcW w:w="5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34,164</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30,514</w:t>
            </w:r>
          </w:p>
        </w:tc>
        <w:tc>
          <w:tcPr>
            <w:tcW w:w="0" w:type="dxa"/>
            <w:vAlign w:val="bottom"/>
          </w:tcPr>
          <w:p>
            <w:pPr>
              <w:spacing w:after="0"/>
              <w:rPr>
                <w:sz w:val="1"/>
                <w:szCs w:val="1"/>
                <w:color w:val="auto"/>
              </w:rPr>
            </w:pPr>
          </w:p>
        </w:tc>
      </w:tr>
      <w:tr>
        <w:trPr>
          <w:trHeight w:val="141"/>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Accumulated other comprehensive loss</w:t>
            </w:r>
          </w:p>
        </w:tc>
        <w:tc>
          <w:tcPr>
            <w:tcW w:w="5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(35,740)</w:t>
            </w:r>
          </w:p>
        </w:tc>
        <w:tc>
          <w:tcPr>
            <w:tcW w:w="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(63,372)</w:t>
            </w:r>
          </w:p>
        </w:tc>
        <w:tc>
          <w:tcPr>
            <w:tcW w:w="0" w:type="dxa"/>
            <w:vAlign w:val="bottom"/>
          </w:tcPr>
          <w:p>
            <w:pPr>
              <w:spacing w:after="0"/>
              <w:rPr>
                <w:sz w:val="1"/>
                <w:szCs w:val="1"/>
                <w:color w:val="auto"/>
              </w:rPr>
            </w:pPr>
          </w:p>
        </w:tc>
      </w:tr>
      <w:tr>
        <w:trPr>
          <w:trHeight w:val="118"/>
        </w:trPr>
        <w:tc>
          <w:tcPr>
            <w:tcW w:w="2640" w:type="dxa"/>
            <w:vAlign w:val="bottom"/>
            <w:tcBorders>
              <w:bottom w:val="single" w:sz="8" w:color="CCEEFF"/>
            </w:tcBorders>
          </w:tcPr>
          <w:p>
            <w:pPr>
              <w:spacing w:after="0" w:line="107" w:lineRule="exact"/>
              <w:rPr>
                <w:sz w:val="20"/>
                <w:szCs w:val="20"/>
                <w:color w:val="auto"/>
              </w:rPr>
            </w:pPr>
            <w:r>
              <w:rPr>
                <w:rFonts w:ascii="Times New Roman" w:cs="Times New Roman" w:eastAsia="Times New Roman" w:hAnsi="Times New Roman"/>
                <w:sz w:val="10"/>
                <w:szCs w:val="10"/>
                <w:color w:val="auto"/>
              </w:rPr>
              <w:t>Total ACM Research, Inc. stockholders’ equity</w:t>
            </w:r>
          </w:p>
        </w:tc>
        <w:tc>
          <w:tcPr>
            <w:tcW w:w="5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1,464,363</w:t>
            </w:r>
          </w:p>
        </w:tc>
        <w:tc>
          <w:tcPr>
            <w:tcW w:w="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904,625</w:t>
            </w:r>
          </w:p>
        </w:tc>
        <w:tc>
          <w:tcPr>
            <w:tcW w:w="0" w:type="dxa"/>
            <w:vAlign w:val="bottom"/>
          </w:tcPr>
          <w:p>
            <w:pPr>
              <w:spacing w:after="0"/>
              <w:rPr>
                <w:sz w:val="1"/>
                <w:szCs w:val="1"/>
                <w:color w:val="auto"/>
              </w:rPr>
            </w:pPr>
          </w:p>
        </w:tc>
      </w:tr>
      <w:tr>
        <w:trPr>
          <w:trHeight w:val="130"/>
        </w:trPr>
        <w:tc>
          <w:tcPr>
            <w:tcW w:w="264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0"/>
                <w:szCs w:val="10"/>
                <w:b w:val="1"/>
                <w:bCs w:val="1"/>
                <w:color w:val="auto"/>
              </w:rPr>
              <w:t>Non-controlling interests</w:t>
            </w:r>
          </w:p>
        </w:tc>
        <w:tc>
          <w:tcPr>
            <w:tcW w:w="51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466,146</w:t>
            </w:r>
          </w:p>
        </w:tc>
        <w:tc>
          <w:tcPr>
            <w:tcW w:w="8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191,281</w:t>
            </w:r>
          </w:p>
        </w:tc>
        <w:tc>
          <w:tcPr>
            <w:tcW w:w="0" w:type="dxa"/>
            <w:vAlign w:val="bottom"/>
          </w:tcPr>
          <w:p>
            <w:pPr>
              <w:spacing w:after="0"/>
              <w:rPr>
                <w:sz w:val="1"/>
                <w:szCs w:val="1"/>
                <w:color w:val="auto"/>
              </w:rPr>
            </w:pPr>
          </w:p>
        </w:tc>
      </w:tr>
      <w:tr>
        <w:trPr>
          <w:trHeight w:val="132"/>
        </w:trPr>
        <w:tc>
          <w:tcPr>
            <w:tcW w:w="2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color w:val="auto"/>
              </w:rPr>
              <w:t>Total equity</w:t>
            </w:r>
          </w:p>
        </w:tc>
        <w:tc>
          <w:tcPr>
            <w:tcW w:w="5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1,930,509</w:t>
            </w: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1,095,906</w:t>
            </w:r>
          </w:p>
        </w:tc>
        <w:tc>
          <w:tcPr>
            <w:tcW w:w="0" w:type="dxa"/>
            <w:vAlign w:val="bottom"/>
          </w:tcPr>
          <w:p>
            <w:pPr>
              <w:spacing w:after="0"/>
              <w:rPr>
                <w:sz w:val="1"/>
                <w:szCs w:val="1"/>
                <w:color w:val="auto"/>
              </w:rPr>
            </w:pPr>
          </w:p>
        </w:tc>
      </w:tr>
      <w:tr>
        <w:trPr>
          <w:trHeight w:val="154"/>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Total liabilities and equity</w:t>
            </w:r>
          </w:p>
        </w:tc>
        <w:tc>
          <w:tcPr>
            <w:tcW w:w="5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2,872,185</w:t>
            </w:r>
          </w:p>
        </w:tc>
        <w:tc>
          <w:tcPr>
            <w:tcW w:w="8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1,855,721</w:t>
            </w:r>
          </w:p>
        </w:tc>
        <w:tc>
          <w:tcPr>
            <w:tcW w:w="0" w:type="dxa"/>
            <w:vAlign w:val="bottom"/>
          </w:tcPr>
          <w:p>
            <w:pPr>
              <w:spacing w:after="0"/>
              <w:rPr>
                <w:sz w:val="1"/>
                <w:szCs w:val="1"/>
                <w:color w:val="auto"/>
              </w:rPr>
            </w:pPr>
          </w:p>
        </w:tc>
      </w:tr>
      <w:tr>
        <w:trPr>
          <w:trHeight w:val="474"/>
        </w:trPr>
        <w:tc>
          <w:tcPr>
            <w:tcW w:w="2640" w:type="dxa"/>
            <w:vAlign w:val="bottom"/>
          </w:tcPr>
          <w:p>
            <w:pPr>
              <w:spacing w:after="0"/>
              <w:rPr>
                <w:sz w:val="24"/>
                <w:szCs w:val="24"/>
                <w:color w:val="auto"/>
              </w:rPr>
            </w:pPr>
          </w:p>
        </w:tc>
        <w:tc>
          <w:tcPr>
            <w:tcW w:w="5160" w:type="dxa"/>
            <w:vAlign w:val="bottom"/>
          </w:tcPr>
          <w:p>
            <w:pPr>
              <w:jc w:val="center"/>
              <w:ind w:left="789"/>
              <w:spacing w:after="0"/>
              <w:rPr>
                <w:sz w:val="20"/>
                <w:szCs w:val="20"/>
                <w:color w:val="auto"/>
              </w:rPr>
            </w:pPr>
            <w:r>
              <w:rPr>
                <w:rFonts w:ascii="Times New Roman" w:cs="Times New Roman" w:eastAsia="Times New Roman" w:hAnsi="Times New Roman"/>
                <w:sz w:val="10"/>
                <w:szCs w:val="10"/>
                <w:color w:val="auto"/>
                <w:w w:val="95"/>
              </w:rPr>
              <w:t>- 4 -</w:t>
            </w: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25" w:right="29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ACM RESEARCH,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Consolidated Statements of Comprehensive Income</w:t>
      </w:r>
    </w:p>
    <w:p>
      <w:pPr>
        <w:sectPr>
          <w:pgSz w:w="11900" w:h="16838" w:orient="portrait"/>
          <w:cols w:equalWidth="0" w:num="1">
            <w:col w:w="11300"/>
          </w:cols>
          <w:pgMar w:left="300" w:top="125" w:right="299" w:bottom="1440" w:gutter="0" w:footer="0" w:header="0"/>
        </w:sectPr>
      </w:pPr>
    </w:p>
    <w:p>
      <w:pPr>
        <w:spacing w:after="0" w:line="190" w:lineRule="exact"/>
        <w:rPr>
          <w:sz w:val="20"/>
          <w:szCs w:val="20"/>
          <w:color w:val="auto"/>
        </w:rPr>
      </w:pPr>
    </w:p>
    <w:p>
      <w:pPr>
        <w:jc w:val="center"/>
        <w:ind w:left="5120"/>
        <w:spacing w:after="0"/>
        <w:rPr>
          <w:sz w:val="20"/>
          <w:szCs w:val="20"/>
          <w:color w:val="auto"/>
        </w:rPr>
      </w:pPr>
      <w:r>
        <w:rPr>
          <w:rFonts w:ascii="Times New Roman" w:cs="Times New Roman" w:eastAsia="Times New Roman" w:hAnsi="Times New Roman"/>
          <w:sz w:val="10"/>
          <w:szCs w:val="10"/>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17145</wp:posOffset>
            </wp:positionV>
            <wp:extent cx="193167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31670" cy="5715"/>
                    </a:xfrm>
                    <a:prstGeom prst="rect">
                      <a:avLst/>
                    </a:prstGeom>
                    <a:noFill/>
                  </pic:spPr>
                </pic:pic>
              </a:graphicData>
            </a:graphic>
          </wp:anchor>
        </w:drawing>
      </w:r>
    </w:p>
    <w:p>
      <w:pPr>
        <w:spacing w:after="0" w:line="9" w:lineRule="exact"/>
        <w:rPr>
          <w:sz w:val="20"/>
          <w:szCs w:val="20"/>
          <w:color w:val="auto"/>
        </w:rPr>
      </w:pPr>
    </w:p>
    <w:p>
      <w:pPr>
        <w:ind w:left="5780"/>
        <w:spacing w:after="0"/>
        <w:tabs>
          <w:tab w:leader="none" w:pos="7320" w:val="left"/>
        </w:tabs>
        <w:rPr>
          <w:sz w:val="20"/>
          <w:szCs w:val="20"/>
          <w:color w:val="auto"/>
        </w:rPr>
      </w:pPr>
      <w:r>
        <w:rPr>
          <w:rFonts w:ascii="Times New Roman" w:cs="Times New Roman" w:eastAsia="Times New Roman" w:hAnsi="Times New Roman"/>
          <w:sz w:val="10"/>
          <w:szCs w:val="10"/>
          <w:b w:val="1"/>
          <w:bCs w:val="1"/>
          <w:color w:val="auto"/>
        </w:rPr>
        <w:t>2025</w:t>
      </w:r>
      <w:r>
        <w:rPr>
          <w:sz w:val="20"/>
          <w:szCs w:val="20"/>
          <w:color w:val="auto"/>
        </w:rPr>
        <w:tab/>
      </w:r>
      <w:r>
        <w:rPr>
          <w:rFonts w:ascii="Times New Roman" w:cs="Times New Roman" w:eastAsia="Times New Roman" w:hAnsi="Times New Roman"/>
          <w:sz w:val="10"/>
          <w:szCs w:val="10"/>
          <w:b w:val="1"/>
          <w:bCs w:val="1"/>
          <w:color w:val="auto"/>
        </w:rPr>
        <w:t>2024</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0"/>
          <w:szCs w:val="10"/>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-403860</wp:posOffset>
            </wp:positionH>
            <wp:positionV relativeFrom="paragraph">
              <wp:posOffset>17145</wp:posOffset>
            </wp:positionV>
            <wp:extent cx="19259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25955" cy="5715"/>
                    </a:xfrm>
                    <a:prstGeom prst="rect">
                      <a:avLst/>
                    </a:prstGeom>
                    <a:noFill/>
                  </pic:spPr>
                </pic:pic>
              </a:graphicData>
            </a:graphic>
          </wp:anchor>
        </w:drawing>
      </w:r>
    </w:p>
    <w:p>
      <w:pPr>
        <w:spacing w:after="0" w:line="9"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0"/>
          <w:szCs w:val="10"/>
          <w:b w:val="1"/>
          <w:bCs w:val="1"/>
          <w:color w:val="auto"/>
        </w:rPr>
        <w:t>2025</w:t>
      </w:r>
      <w:r>
        <w:rPr>
          <w:sz w:val="20"/>
          <w:szCs w:val="20"/>
          <w:color w:val="auto"/>
        </w:rPr>
        <w:tab/>
      </w:r>
      <w:r>
        <w:rPr>
          <w:rFonts w:ascii="Times New Roman" w:cs="Times New Roman" w:eastAsia="Times New Roman" w:hAnsi="Times New Roman"/>
          <w:sz w:val="10"/>
          <w:szCs w:val="10"/>
          <w:b w:val="1"/>
          <w:bCs w:val="1"/>
          <w:color w:val="auto"/>
        </w:rPr>
        <w:t>2024</w:t>
      </w:r>
    </w:p>
    <w:p>
      <w:pPr>
        <w:spacing w:after="0" w:line="10" w:lineRule="exact"/>
        <w:rPr>
          <w:sz w:val="20"/>
          <w:szCs w:val="20"/>
          <w:color w:val="auto"/>
        </w:rPr>
      </w:pPr>
    </w:p>
    <w:p>
      <w:pPr>
        <w:sectPr>
          <w:pgSz w:w="11900" w:h="16838" w:orient="portrait"/>
          <w:cols w:equalWidth="0" w:num="2">
            <w:col w:w="8180" w:space="720"/>
            <w:col w:w="2400"/>
          </w:cols>
          <w:pgMar w:left="300" w:top="125" w:right="299" w:bottom="144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5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700" w:type="dxa"/>
            <w:vAlign w:val="bottom"/>
            <w:tcBorders>
              <w:top w:val="single" w:sz="8" w:color="auto"/>
            </w:tcBorders>
            <w:gridSpan w:val="3"/>
          </w:tcPr>
          <w:p>
            <w:pPr>
              <w:jc w:val="right"/>
              <w:ind w:right="152"/>
              <w:spacing w:after="0"/>
              <w:rPr>
                <w:sz w:val="20"/>
                <w:szCs w:val="20"/>
                <w:color w:val="auto"/>
              </w:rPr>
            </w:pPr>
            <w:r>
              <w:rPr>
                <w:rFonts w:ascii="Times New Roman" w:cs="Times New Roman" w:eastAsia="Times New Roman" w:hAnsi="Times New Roman"/>
                <w:sz w:val="10"/>
                <w:szCs w:val="10"/>
                <w:i w:val="1"/>
                <w:iCs w:val="1"/>
                <w:color w:val="auto"/>
              </w:rPr>
              <w:t>(Unaudited)</w:t>
            </w:r>
          </w:p>
        </w:tc>
        <w:tc>
          <w:tcPr>
            <w:tcW w:w="11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i w:val="1"/>
                <w:iCs w:val="1"/>
                <w:color w:val="auto"/>
              </w:rPr>
              <w:t>(Unaudited)</w:t>
            </w:r>
          </w:p>
        </w:tc>
        <w:tc>
          <w:tcPr>
            <w:tcW w:w="4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r>
      <w:tr>
        <w:trPr>
          <w:trHeight w:val="136"/>
        </w:trPr>
        <w:tc>
          <w:tcPr>
            <w:tcW w:w="5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160" w:type="dxa"/>
            <w:vAlign w:val="bottom"/>
            <w:gridSpan w:val="3"/>
          </w:tcPr>
          <w:p>
            <w:pPr>
              <w:jc w:val="right"/>
              <w:ind w:right="52"/>
              <w:spacing w:after="0"/>
              <w:rPr>
                <w:sz w:val="20"/>
                <w:szCs w:val="20"/>
                <w:color w:val="auto"/>
              </w:rPr>
            </w:pPr>
            <w:r>
              <w:rPr>
                <w:rFonts w:ascii="Times New Roman" w:cs="Times New Roman" w:eastAsia="Times New Roman" w:hAnsi="Times New Roman"/>
                <w:sz w:val="10"/>
                <w:szCs w:val="10"/>
                <w:i w:val="1"/>
                <w:iCs w:val="1"/>
                <w:color w:val="auto"/>
              </w:rPr>
              <w:t>( In thousands, except share and per share data)</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Revenue</w:t>
            </w:r>
          </w:p>
        </w:tc>
        <w:tc>
          <w:tcPr>
            <w:tcW w:w="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244,430</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223,471</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872"/>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901,309</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782,118</w:t>
            </w:r>
          </w:p>
        </w:tc>
      </w:tr>
      <w:tr>
        <w:trPr>
          <w:trHeight w:val="129"/>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color w:val="auto"/>
              </w:rPr>
              <w:t>Cost of revenue</w:t>
            </w: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144,523</w:t>
            </w:r>
          </w:p>
        </w:tc>
        <w:tc>
          <w:tcPr>
            <w:tcW w:w="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112,656</w:t>
            </w:r>
          </w:p>
        </w:tc>
        <w:tc>
          <w:tcPr>
            <w:tcW w:w="8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501,242</w:t>
            </w:r>
          </w:p>
        </w:tc>
        <w:tc>
          <w:tcPr>
            <w:tcW w:w="1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390,564</w:t>
            </w:r>
          </w:p>
        </w:tc>
      </w:tr>
      <w:tr>
        <w:trPr>
          <w:trHeight w:val="130"/>
        </w:trPr>
        <w:tc>
          <w:tcPr>
            <w:tcW w:w="5140" w:type="dxa"/>
            <w:vAlign w:val="bottom"/>
            <w:shd w:val="clear" w:color="auto" w:fill="CCEEFF"/>
          </w:tcPr>
          <w:p>
            <w:pPr>
              <w:ind w:left="220"/>
              <w:spacing w:after="0" w:line="112" w:lineRule="exact"/>
              <w:rPr>
                <w:sz w:val="20"/>
                <w:szCs w:val="20"/>
                <w:color w:val="auto"/>
              </w:rPr>
            </w:pPr>
            <w:r>
              <w:rPr>
                <w:rFonts w:ascii="Times New Roman" w:cs="Times New Roman" w:eastAsia="Times New Roman" w:hAnsi="Times New Roman"/>
                <w:sz w:val="10"/>
                <w:szCs w:val="10"/>
                <w:b w:val="1"/>
                <w:bCs w:val="1"/>
                <w:color w:val="auto"/>
              </w:rPr>
              <w:t>Gross profit</w:t>
            </w:r>
          </w:p>
        </w:tc>
        <w:tc>
          <w:tcPr>
            <w:tcW w:w="24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99,907</w:t>
            </w:r>
          </w:p>
        </w:tc>
        <w:tc>
          <w:tcPr>
            <w:tcW w:w="8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110,815</w:t>
            </w:r>
          </w:p>
        </w:tc>
        <w:tc>
          <w:tcPr>
            <w:tcW w:w="80" w:type="dxa"/>
            <w:vAlign w:val="bottom"/>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400,067</w:t>
            </w:r>
          </w:p>
        </w:tc>
        <w:tc>
          <w:tcPr>
            <w:tcW w:w="10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391,554</w:t>
            </w:r>
          </w:p>
        </w:tc>
      </w:tr>
      <w:tr>
        <w:trPr>
          <w:trHeight w:val="109"/>
        </w:trPr>
        <w:tc>
          <w:tcPr>
            <w:tcW w:w="514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Operating expenses:</w:t>
            </w: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141"/>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Sales and marketing</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16,143</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18,380</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76,899</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65,447</w:t>
            </w:r>
          </w:p>
        </w:tc>
      </w:tr>
      <w:tr>
        <w:trPr>
          <w:trHeight w:val="129"/>
        </w:trPr>
        <w:tc>
          <w:tcPr>
            <w:tcW w:w="51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Research and development</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44,018</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27,750</w:t>
            </w: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144,989</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105,473</w:t>
            </w:r>
          </w:p>
        </w:tc>
      </w:tr>
      <w:tr>
        <w:trPr>
          <w:trHeight w:val="141"/>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2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16,711</w:t>
            </w:r>
          </w:p>
        </w:tc>
        <w:tc>
          <w:tcPr>
            <w:tcW w:w="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20,696</w:t>
            </w:r>
          </w:p>
        </w:tc>
        <w:tc>
          <w:tcPr>
            <w:tcW w:w="80" w:type="dxa"/>
            <w:vAlign w:val="bottom"/>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68,750</w:t>
            </w:r>
          </w:p>
        </w:tc>
        <w:tc>
          <w:tcPr>
            <w:tcW w:w="10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69,636</w:t>
            </w:r>
          </w:p>
        </w:tc>
      </w:tr>
      <w:tr>
        <w:trPr>
          <w:trHeight w:val="118"/>
        </w:trPr>
        <w:tc>
          <w:tcPr>
            <w:tcW w:w="5140" w:type="dxa"/>
            <w:vAlign w:val="bottom"/>
            <w:tcBorders>
              <w:bottom w:val="single" w:sz="8" w:color="CCEEFF"/>
            </w:tcBorders>
          </w:tcPr>
          <w:p>
            <w:pPr>
              <w:ind w:left="220"/>
              <w:spacing w:after="0" w:line="106" w:lineRule="exact"/>
              <w:rPr>
                <w:sz w:val="20"/>
                <w:szCs w:val="20"/>
                <w:color w:val="auto"/>
              </w:rPr>
            </w:pPr>
            <w:r>
              <w:rPr>
                <w:rFonts w:ascii="Times New Roman" w:cs="Times New Roman" w:eastAsia="Times New Roman" w:hAnsi="Times New Roman"/>
                <w:sz w:val="10"/>
                <w:szCs w:val="10"/>
                <w:b w:val="1"/>
                <w:bCs w:val="1"/>
                <w:color w:val="auto"/>
              </w:rPr>
              <w:t>Total operating expenses</w:t>
            </w: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76,872</w:t>
            </w:r>
          </w:p>
        </w:tc>
        <w:tc>
          <w:tcPr>
            <w:tcW w:w="8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66,826</w:t>
            </w:r>
          </w:p>
        </w:tc>
        <w:tc>
          <w:tcPr>
            <w:tcW w:w="8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290,638</w:t>
            </w:r>
          </w:p>
        </w:tc>
        <w:tc>
          <w:tcPr>
            <w:tcW w:w="10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240,556</w:t>
            </w:r>
          </w:p>
        </w:tc>
      </w:tr>
      <w:tr>
        <w:trPr>
          <w:trHeight w:val="130"/>
        </w:trPr>
        <w:tc>
          <w:tcPr>
            <w:tcW w:w="5140" w:type="dxa"/>
            <w:vAlign w:val="bottom"/>
            <w:shd w:val="clear" w:color="auto" w:fill="CCEEFF"/>
          </w:tcPr>
          <w:p>
            <w:pPr>
              <w:ind w:left="220"/>
              <w:spacing w:after="0" w:line="112" w:lineRule="exact"/>
              <w:rPr>
                <w:sz w:val="20"/>
                <w:szCs w:val="20"/>
                <w:color w:val="auto"/>
              </w:rPr>
            </w:pPr>
            <w:r>
              <w:rPr>
                <w:rFonts w:ascii="Times New Roman" w:cs="Times New Roman" w:eastAsia="Times New Roman" w:hAnsi="Times New Roman"/>
                <w:sz w:val="10"/>
                <w:szCs w:val="10"/>
                <w:b w:val="1"/>
                <w:bCs w:val="1"/>
                <w:color w:val="auto"/>
              </w:rPr>
              <w:t>Income from operations</w:t>
            </w:r>
          </w:p>
        </w:tc>
        <w:tc>
          <w:tcPr>
            <w:tcW w:w="24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23,035</w:t>
            </w:r>
          </w:p>
        </w:tc>
        <w:tc>
          <w:tcPr>
            <w:tcW w:w="8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43,989</w:t>
            </w:r>
          </w:p>
        </w:tc>
        <w:tc>
          <w:tcPr>
            <w:tcW w:w="80" w:type="dxa"/>
            <w:vAlign w:val="bottom"/>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109,429</w:t>
            </w:r>
          </w:p>
        </w:tc>
        <w:tc>
          <w:tcPr>
            <w:tcW w:w="10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150,998</w:t>
            </w:r>
          </w:p>
        </w:tc>
      </w:tr>
      <w:tr>
        <w:trPr>
          <w:trHeight w:val="118"/>
        </w:trPr>
        <w:tc>
          <w:tcPr>
            <w:tcW w:w="5140" w:type="dxa"/>
            <w:vAlign w:val="bottom"/>
          </w:tcPr>
          <w:p>
            <w:pPr>
              <w:spacing w:after="0" w:line="104" w:lineRule="exact"/>
              <w:rPr>
                <w:sz w:val="20"/>
                <w:szCs w:val="20"/>
                <w:color w:val="auto"/>
              </w:rPr>
            </w:pPr>
            <w:r>
              <w:rPr>
                <w:rFonts w:ascii="Times New Roman" w:cs="Times New Roman" w:eastAsia="Times New Roman" w:hAnsi="Times New Roman"/>
                <w:sz w:val="10"/>
                <w:szCs w:val="10"/>
                <w:color w:val="auto"/>
              </w:rPr>
              <w:t>Interest income</w:t>
            </w:r>
          </w:p>
        </w:tc>
        <w:tc>
          <w:tcPr>
            <w:tcW w:w="240" w:type="dxa"/>
            <w:vAlign w:val="bottom"/>
          </w:tcPr>
          <w:p>
            <w:pPr>
              <w:spacing w:after="0"/>
              <w:rPr>
                <w:sz w:val="10"/>
                <w:szCs w:val="1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4,187</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2,813</w:t>
            </w: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14,639</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9,935</w:t>
            </w:r>
          </w:p>
        </w:tc>
      </w:tr>
      <w:tr>
        <w:trPr>
          <w:trHeight w:val="14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Interest expense</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(1,789)</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(1,228)</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(6,955)</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(4,151)</w:t>
            </w:r>
          </w:p>
        </w:tc>
      </w:tr>
      <w:tr>
        <w:trPr>
          <w:trHeight w:val="129"/>
        </w:trPr>
        <w:tc>
          <w:tcPr>
            <w:tcW w:w="5140" w:type="dxa"/>
            <w:vAlign w:val="bottom"/>
          </w:tcPr>
          <w:p>
            <w:pPr>
              <w:spacing w:after="0"/>
              <w:rPr>
                <w:sz w:val="20"/>
                <w:szCs w:val="20"/>
                <w:color w:val="auto"/>
              </w:rPr>
            </w:pPr>
            <w:r>
              <w:rPr>
                <w:rFonts w:ascii="Times New Roman" w:cs="Times New Roman" w:eastAsia="Times New Roman" w:hAnsi="Times New Roman"/>
                <w:sz w:val="10"/>
                <w:szCs w:val="10"/>
                <w:color w:val="auto"/>
              </w:rPr>
              <w:t>Realized gain on short-term investments</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112</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1,344</w:t>
            </w: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1,788</w:t>
            </w:r>
          </w:p>
        </w:tc>
      </w:tr>
      <w:tr>
        <w:trPr>
          <w:trHeight w:val="14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Unrealized gain (loss) on short-term investments</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(2,849)</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2,124</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17,455</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973</w:t>
            </w:r>
          </w:p>
        </w:tc>
      </w:tr>
      <w:tr>
        <w:trPr>
          <w:trHeight w:val="129"/>
        </w:trPr>
        <w:tc>
          <w:tcPr>
            <w:tcW w:w="5140" w:type="dxa"/>
            <w:vAlign w:val="bottom"/>
          </w:tcPr>
          <w:p>
            <w:pPr>
              <w:spacing w:after="0"/>
              <w:rPr>
                <w:sz w:val="20"/>
                <w:szCs w:val="20"/>
                <w:color w:val="auto"/>
              </w:rPr>
            </w:pPr>
            <w:r>
              <w:rPr>
                <w:rFonts w:ascii="Times New Roman" w:cs="Times New Roman" w:eastAsia="Times New Roman" w:hAnsi="Times New Roman"/>
                <w:sz w:val="10"/>
                <w:szCs w:val="10"/>
                <w:color w:val="auto"/>
              </w:rPr>
              <w:t>Other expense, net</w:t>
            </w:r>
          </w:p>
        </w:tc>
        <w:tc>
          <w:tcPr>
            <w:tcW w:w="24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(5,813)</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7,061</w:t>
            </w: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(9,832)</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6,334</w:t>
            </w:r>
          </w:p>
        </w:tc>
      </w:tr>
      <w:tr>
        <w:trPr>
          <w:trHeight w:val="141"/>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Income from equity method investments</w:t>
            </w:r>
          </w:p>
        </w:tc>
        <w:tc>
          <w:tcPr>
            <w:tcW w:w="2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3,895</w:t>
            </w:r>
          </w:p>
        </w:tc>
        <w:tc>
          <w:tcPr>
            <w:tcW w:w="8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322</w:t>
            </w:r>
          </w:p>
        </w:tc>
        <w:tc>
          <w:tcPr>
            <w:tcW w:w="80" w:type="dxa"/>
            <w:vAlign w:val="bottom"/>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10,290</w:t>
            </w:r>
          </w:p>
        </w:tc>
        <w:tc>
          <w:tcPr>
            <w:tcW w:w="100" w:type="dxa"/>
            <w:vAlign w:val="bottom"/>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423</w:t>
            </w:r>
          </w:p>
        </w:tc>
      </w:tr>
      <w:tr>
        <w:trPr>
          <w:trHeight w:val="118"/>
        </w:trPr>
        <w:tc>
          <w:tcPr>
            <w:tcW w:w="5140" w:type="dxa"/>
            <w:vAlign w:val="bottom"/>
            <w:tcBorders>
              <w:bottom w:val="single" w:sz="8" w:color="CCEEFF"/>
            </w:tcBorders>
          </w:tcPr>
          <w:p>
            <w:pPr>
              <w:ind w:left="220"/>
              <w:spacing w:after="0" w:line="106" w:lineRule="exact"/>
              <w:rPr>
                <w:sz w:val="20"/>
                <w:szCs w:val="20"/>
                <w:color w:val="auto"/>
              </w:rPr>
            </w:pPr>
            <w:r>
              <w:rPr>
                <w:rFonts w:ascii="Times New Roman" w:cs="Times New Roman" w:eastAsia="Times New Roman" w:hAnsi="Times New Roman"/>
                <w:sz w:val="10"/>
                <w:szCs w:val="10"/>
                <w:b w:val="1"/>
                <w:bCs w:val="1"/>
                <w:color w:val="auto"/>
              </w:rPr>
              <w:t>Income before income taxes</w:t>
            </w: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20,778</w:t>
            </w:r>
          </w:p>
        </w:tc>
        <w:tc>
          <w:tcPr>
            <w:tcW w:w="8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56,425</w:t>
            </w:r>
          </w:p>
        </w:tc>
        <w:tc>
          <w:tcPr>
            <w:tcW w:w="8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135,192</w:t>
            </w:r>
          </w:p>
        </w:tc>
        <w:tc>
          <w:tcPr>
            <w:tcW w:w="10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166,300</w:t>
            </w:r>
          </w:p>
        </w:tc>
      </w:tr>
      <w:tr>
        <w:trPr>
          <w:trHeight w:val="130"/>
        </w:trPr>
        <w:tc>
          <w:tcPr>
            <w:tcW w:w="514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0"/>
                <w:szCs w:val="10"/>
                <w:color w:val="auto"/>
              </w:rPr>
              <w:t>Income tax expense</w:t>
            </w:r>
          </w:p>
        </w:tc>
        <w:tc>
          <w:tcPr>
            <w:tcW w:w="24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(6,566)</w:t>
            </w:r>
          </w:p>
        </w:tc>
        <w:tc>
          <w:tcPr>
            <w:tcW w:w="8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(17,319)</w:t>
            </w:r>
          </w:p>
        </w:tc>
        <w:tc>
          <w:tcPr>
            <w:tcW w:w="80" w:type="dxa"/>
            <w:vAlign w:val="bottom"/>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(13,299)</w:t>
            </w:r>
          </w:p>
        </w:tc>
        <w:tc>
          <w:tcPr>
            <w:tcW w:w="10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(35,031)</w:t>
            </w:r>
          </w:p>
        </w:tc>
      </w:tr>
      <w:tr>
        <w:trPr>
          <w:trHeight w:val="118"/>
        </w:trPr>
        <w:tc>
          <w:tcPr>
            <w:tcW w:w="5140" w:type="dxa"/>
            <w:vAlign w:val="bottom"/>
            <w:tcBorders>
              <w:bottom w:val="single" w:sz="8" w:color="CCEEFF"/>
            </w:tcBorders>
          </w:tcPr>
          <w:p>
            <w:pPr>
              <w:ind w:left="220"/>
              <w:spacing w:after="0" w:line="106" w:lineRule="exact"/>
              <w:rPr>
                <w:sz w:val="20"/>
                <w:szCs w:val="20"/>
                <w:color w:val="auto"/>
              </w:rPr>
            </w:pPr>
            <w:r>
              <w:rPr>
                <w:rFonts w:ascii="Times New Roman" w:cs="Times New Roman" w:eastAsia="Times New Roman" w:hAnsi="Times New Roman"/>
                <w:sz w:val="10"/>
                <w:szCs w:val="10"/>
                <w:b w:val="1"/>
                <w:bCs w:val="1"/>
                <w:color w:val="auto"/>
              </w:rPr>
              <w:t>Net income</w:t>
            </w: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14,212</w:t>
            </w:r>
          </w:p>
        </w:tc>
        <w:tc>
          <w:tcPr>
            <w:tcW w:w="8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39,106</w:t>
            </w:r>
          </w:p>
        </w:tc>
        <w:tc>
          <w:tcPr>
            <w:tcW w:w="8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121,893</w:t>
            </w:r>
          </w:p>
        </w:tc>
        <w:tc>
          <w:tcPr>
            <w:tcW w:w="10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131,269</w:t>
            </w:r>
          </w:p>
        </w:tc>
      </w:tr>
      <w:tr>
        <w:trPr>
          <w:trHeight w:val="130"/>
        </w:trPr>
        <w:tc>
          <w:tcPr>
            <w:tcW w:w="514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0"/>
                <w:szCs w:val="10"/>
                <w:color w:val="auto"/>
              </w:rPr>
              <w:t>Less: Net income attributable to non-controlling interests</w:t>
            </w:r>
          </w:p>
        </w:tc>
        <w:tc>
          <w:tcPr>
            <w:tcW w:w="24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6,163</w:t>
            </w:r>
          </w:p>
        </w:tc>
        <w:tc>
          <w:tcPr>
            <w:tcW w:w="8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8,026</w:t>
            </w:r>
          </w:p>
        </w:tc>
        <w:tc>
          <w:tcPr>
            <w:tcW w:w="80" w:type="dxa"/>
            <w:vAlign w:val="bottom"/>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27,815</w:t>
            </w:r>
          </w:p>
        </w:tc>
        <w:tc>
          <w:tcPr>
            <w:tcW w:w="10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27,642</w:t>
            </w:r>
          </w:p>
        </w:tc>
      </w:tr>
      <w:tr>
        <w:trPr>
          <w:trHeight w:val="142"/>
        </w:trPr>
        <w:tc>
          <w:tcPr>
            <w:tcW w:w="5140" w:type="dxa"/>
            <w:vAlign w:val="bottom"/>
            <w:tcBorders>
              <w:bottom w:val="single" w:sz="8" w:color="CCEEFF"/>
            </w:tcBorders>
          </w:tcPr>
          <w:p>
            <w:pPr>
              <w:ind w:left="220"/>
              <w:spacing w:after="0" w:line="106" w:lineRule="exact"/>
              <w:rPr>
                <w:sz w:val="20"/>
                <w:szCs w:val="20"/>
                <w:color w:val="auto"/>
              </w:rPr>
            </w:pPr>
            <w:r>
              <w:rPr>
                <w:rFonts w:ascii="Times New Roman" w:cs="Times New Roman" w:eastAsia="Times New Roman" w:hAnsi="Times New Roman"/>
                <w:sz w:val="10"/>
                <w:szCs w:val="10"/>
                <w:b w:val="1"/>
                <w:bCs w:val="1"/>
                <w:color w:val="auto"/>
              </w:rPr>
              <w:t>Net income attributable to ACM Research, Inc.</w:t>
            </w:r>
          </w:p>
        </w:tc>
        <w:tc>
          <w:tcPr>
            <w:tcW w:w="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8,049</w:t>
            </w:r>
          </w:p>
        </w:tc>
        <w:tc>
          <w:tcPr>
            <w:tcW w:w="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31,080</w:t>
            </w:r>
          </w:p>
        </w:tc>
        <w:tc>
          <w:tcPr>
            <w:tcW w:w="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94,078</w:t>
            </w:r>
          </w:p>
        </w:tc>
        <w:tc>
          <w:tcPr>
            <w:tcW w:w="1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103,627</w:t>
            </w:r>
          </w:p>
        </w:tc>
      </w:tr>
      <w:tr>
        <w:trPr>
          <w:trHeight w:val="115"/>
        </w:trPr>
        <w:tc>
          <w:tcPr>
            <w:tcW w:w="514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0"/>
                <w:szCs w:val="10"/>
                <w:color w:val="auto"/>
              </w:rPr>
              <w:t>Comprehensive income (loss):</w:t>
            </w:r>
          </w:p>
        </w:tc>
        <w:tc>
          <w:tcPr>
            <w:tcW w:w="2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r>
      <w:tr>
        <w:trPr>
          <w:trHeight w:val="129"/>
        </w:trPr>
        <w:tc>
          <w:tcPr>
            <w:tcW w:w="51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Net income</w:t>
            </w:r>
          </w:p>
        </w:tc>
        <w:tc>
          <w:tcPr>
            <w:tcW w:w="2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14,212</w:t>
            </w:r>
          </w:p>
        </w:tc>
        <w:tc>
          <w:tcPr>
            <w:tcW w:w="80" w:type="dxa"/>
            <w:vAlign w:val="bottom"/>
          </w:tcPr>
          <w:p>
            <w:pPr>
              <w:spacing w:after="0"/>
              <w:rPr>
                <w:sz w:val="11"/>
                <w:szCs w:val="11"/>
                <w:color w:val="auto"/>
              </w:rPr>
            </w:pPr>
          </w:p>
        </w:tc>
        <w:tc>
          <w:tcPr>
            <w:tcW w:w="380" w:type="dxa"/>
            <w:vAlign w:val="bottom"/>
          </w:tcPr>
          <w:p>
            <w:pPr>
              <w:jc w:val="right"/>
              <w:ind w:right="27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39,106</w:t>
            </w:r>
          </w:p>
        </w:tc>
        <w:tc>
          <w:tcPr>
            <w:tcW w:w="80" w:type="dxa"/>
            <w:vAlign w:val="bottom"/>
          </w:tcPr>
          <w:p>
            <w:pPr>
              <w:spacing w:after="0"/>
              <w:rPr>
                <w:sz w:val="11"/>
                <w:szCs w:val="11"/>
                <w:color w:val="auto"/>
              </w:rPr>
            </w:pPr>
          </w:p>
        </w:tc>
        <w:tc>
          <w:tcPr>
            <w:tcW w:w="980" w:type="dxa"/>
            <w:vAlign w:val="bottom"/>
          </w:tcPr>
          <w:p>
            <w:pPr>
              <w:jc w:val="right"/>
              <w:ind w:right="872"/>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121,893</w:t>
            </w:r>
          </w:p>
        </w:tc>
        <w:tc>
          <w:tcPr>
            <w:tcW w:w="100" w:type="dxa"/>
            <w:vAlign w:val="bottom"/>
          </w:tcPr>
          <w:p>
            <w:pPr>
              <w:spacing w:after="0"/>
              <w:rPr>
                <w:sz w:val="11"/>
                <w:szCs w:val="11"/>
                <w:color w:val="auto"/>
              </w:rPr>
            </w:pPr>
          </w:p>
        </w:tc>
        <w:tc>
          <w:tcPr>
            <w:tcW w:w="520" w:type="dxa"/>
            <w:vAlign w:val="bottom"/>
          </w:tcPr>
          <w:p>
            <w:pPr>
              <w:jc w:val="right"/>
              <w:ind w:right="412"/>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131,269</w:t>
            </w:r>
          </w:p>
        </w:tc>
      </w:tr>
      <w:tr>
        <w:trPr>
          <w:trHeight w:val="141"/>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Foreign currency translation adjustment, net of tax of nil</w:t>
            </w:r>
          </w:p>
        </w:tc>
        <w:tc>
          <w:tcPr>
            <w:tcW w:w="24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17,781</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(26,104)</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33,335</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(15,728)</w:t>
            </w:r>
          </w:p>
        </w:tc>
      </w:tr>
      <w:tr>
        <w:trPr>
          <w:trHeight w:val="129"/>
        </w:trPr>
        <w:tc>
          <w:tcPr>
            <w:tcW w:w="5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0"/>
                <w:szCs w:val="10"/>
                <w:color w:val="auto"/>
              </w:rPr>
              <w:t>Unrealized gain on available-for-sale investments, net of tax</w:t>
            </w:r>
          </w:p>
        </w:tc>
        <w:tc>
          <w:tcPr>
            <w:tcW w:w="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428</w:t>
            </w:r>
          </w:p>
        </w:tc>
        <w:tc>
          <w:tcPr>
            <w:tcW w:w="8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2,391</w:t>
            </w:r>
          </w:p>
        </w:tc>
        <w:tc>
          <w:tcPr>
            <w:tcW w:w="10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428</w:t>
            </w:r>
          </w:p>
        </w:tc>
      </w:tr>
      <w:tr>
        <w:trPr>
          <w:trHeight w:val="130"/>
        </w:trPr>
        <w:tc>
          <w:tcPr>
            <w:tcW w:w="5140" w:type="dxa"/>
            <w:vAlign w:val="bottom"/>
            <w:shd w:val="clear" w:color="auto" w:fill="CCEEFF"/>
          </w:tcPr>
          <w:p>
            <w:pPr>
              <w:ind w:left="220"/>
              <w:spacing w:after="0" w:line="112" w:lineRule="exact"/>
              <w:rPr>
                <w:sz w:val="20"/>
                <w:szCs w:val="20"/>
                <w:color w:val="auto"/>
              </w:rPr>
            </w:pPr>
            <w:r>
              <w:rPr>
                <w:rFonts w:ascii="Times New Roman" w:cs="Times New Roman" w:eastAsia="Times New Roman" w:hAnsi="Times New Roman"/>
                <w:sz w:val="10"/>
                <w:szCs w:val="10"/>
                <w:b w:val="1"/>
                <w:bCs w:val="1"/>
                <w:color w:val="auto"/>
              </w:rPr>
              <w:t>Comprehensive Income</w:t>
            </w:r>
          </w:p>
        </w:tc>
        <w:tc>
          <w:tcPr>
            <w:tcW w:w="24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31,993</w:t>
            </w:r>
          </w:p>
        </w:tc>
        <w:tc>
          <w:tcPr>
            <w:tcW w:w="8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13,430</w:t>
            </w:r>
          </w:p>
        </w:tc>
        <w:tc>
          <w:tcPr>
            <w:tcW w:w="80" w:type="dxa"/>
            <w:vAlign w:val="bottom"/>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157,619</w:t>
            </w:r>
          </w:p>
        </w:tc>
        <w:tc>
          <w:tcPr>
            <w:tcW w:w="100" w:type="dxa"/>
            <w:vAlign w:val="bottom"/>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115,969</w:t>
            </w:r>
          </w:p>
        </w:tc>
      </w:tr>
      <w:tr>
        <w:trPr>
          <w:trHeight w:val="118"/>
        </w:trPr>
        <w:tc>
          <w:tcPr>
            <w:tcW w:w="5140" w:type="dxa"/>
            <w:vAlign w:val="bottom"/>
            <w:tcBorders>
              <w:bottom w:val="single" w:sz="8" w:color="CCEEFF"/>
            </w:tcBorders>
          </w:tcPr>
          <w:p>
            <w:pPr>
              <w:spacing w:after="0" w:line="104" w:lineRule="exact"/>
              <w:rPr>
                <w:sz w:val="20"/>
                <w:szCs w:val="20"/>
                <w:color w:val="auto"/>
              </w:rPr>
            </w:pPr>
            <w:r>
              <w:rPr>
                <w:rFonts w:ascii="Times New Roman" w:cs="Times New Roman" w:eastAsia="Times New Roman" w:hAnsi="Times New Roman"/>
                <w:sz w:val="10"/>
                <w:szCs w:val="10"/>
                <w:color w:val="auto"/>
              </w:rPr>
              <w:t>Less: Comprehensive income attributable to non-controlling interests</w:t>
            </w: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10,685</w:t>
            </w:r>
          </w:p>
        </w:tc>
        <w:tc>
          <w:tcPr>
            <w:tcW w:w="8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4,907</w:t>
            </w:r>
          </w:p>
        </w:tc>
        <w:tc>
          <w:tcPr>
            <w:tcW w:w="80" w:type="dxa"/>
            <w:vAlign w:val="bottom"/>
            <w:tcBorders>
              <w:bottom w:val="single" w:sz="8" w:color="CCEEFF"/>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35,909</w:t>
            </w:r>
          </w:p>
        </w:tc>
        <w:tc>
          <w:tcPr>
            <w:tcW w:w="10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26,365</w:t>
            </w:r>
          </w:p>
        </w:tc>
      </w:tr>
      <w:tr>
        <w:trPr>
          <w:trHeight w:val="146"/>
        </w:trPr>
        <w:tc>
          <w:tcPr>
            <w:tcW w:w="5140" w:type="dxa"/>
            <w:vAlign w:val="bottom"/>
            <w:tcBorders>
              <w:bottom w:val="single" w:sz="8" w:color="CCEEFF"/>
            </w:tcBorders>
            <w:shd w:val="clear" w:color="auto" w:fill="CCEEFF"/>
          </w:tcPr>
          <w:p>
            <w:pPr>
              <w:ind w:left="220"/>
              <w:spacing w:after="0" w:line="112" w:lineRule="exact"/>
              <w:rPr>
                <w:sz w:val="20"/>
                <w:szCs w:val="20"/>
                <w:color w:val="auto"/>
              </w:rPr>
            </w:pPr>
            <w:r>
              <w:rPr>
                <w:rFonts w:ascii="Times New Roman" w:cs="Times New Roman" w:eastAsia="Times New Roman" w:hAnsi="Times New Roman"/>
                <w:sz w:val="10"/>
                <w:szCs w:val="10"/>
                <w:b w:val="1"/>
                <w:bCs w:val="1"/>
                <w:color w:val="auto"/>
              </w:rPr>
              <w:t>Comprehensive income attributable to ACM Research, Inc.</w:t>
            </w: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21,308</w:t>
            </w: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8,523</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121,710</w:t>
            </w: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89,604</w:t>
            </w:r>
          </w:p>
        </w:tc>
      </w:tr>
      <w:tr>
        <w:trPr>
          <w:trHeight w:val="162"/>
        </w:trPr>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35"/>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Net income attributable to ACM Research, Inc. per common share:</w:t>
            </w: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53"/>
        </w:trPr>
        <w:tc>
          <w:tcPr>
            <w:tcW w:w="5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0"/>
                <w:szCs w:val="10"/>
                <w:color w:val="auto"/>
              </w:rPr>
              <w:t>Basic</w:t>
            </w:r>
          </w:p>
        </w:tc>
        <w:tc>
          <w:tcPr>
            <w:tcW w:w="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0.12</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0.49</w:t>
            </w: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872"/>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1.47</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1.67</w:t>
            </w:r>
          </w:p>
        </w:tc>
      </w:tr>
      <w:tr>
        <w:trPr>
          <w:trHeight w:val="149"/>
        </w:trPr>
        <w:tc>
          <w:tcPr>
            <w:tcW w:w="5140" w:type="dxa"/>
            <w:vAlign w:val="bottom"/>
            <w:tcBorders>
              <w:bottom w:val="single" w:sz="8" w:color="CCEEFF"/>
            </w:tcBorders>
            <w:shd w:val="clear" w:color="auto" w:fill="CCEEFF"/>
          </w:tcPr>
          <w:p>
            <w:pPr>
              <w:ind w:left="120"/>
              <w:spacing w:after="0" w:line="104" w:lineRule="exact"/>
              <w:rPr>
                <w:sz w:val="20"/>
                <w:szCs w:val="20"/>
                <w:color w:val="auto"/>
              </w:rPr>
            </w:pPr>
            <w:r>
              <w:rPr>
                <w:rFonts w:ascii="Times New Roman" w:cs="Times New Roman" w:eastAsia="Times New Roman" w:hAnsi="Times New Roman"/>
                <w:sz w:val="10"/>
                <w:szCs w:val="10"/>
                <w:color w:val="auto"/>
              </w:rPr>
              <w:t>Diluted</w:t>
            </w: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0.11</w:t>
            </w: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0.46</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872"/>
              <w:spacing w:after="0"/>
              <w:rPr>
                <w:sz w:val="20"/>
                <w:szCs w:val="20"/>
                <w:color w:val="auto"/>
              </w:rPr>
            </w:pPr>
            <w:r>
              <w:rPr>
                <w:rFonts w:ascii="Times New Roman" w:cs="Times New Roman" w:eastAsia="Times New Roman" w:hAnsi="Times New Roman"/>
                <w:sz w:val="10"/>
                <w:szCs w:val="10"/>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1.37</w:t>
            </w: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1.53</w:t>
            </w:r>
          </w:p>
        </w:tc>
      </w:tr>
      <w:tr>
        <w:trPr>
          <w:trHeight w:val="162"/>
        </w:trPr>
        <w:tc>
          <w:tcPr>
            <w:tcW w:w="5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35"/>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Weighted average common shares outstanding used in computing per share amounts:</w:t>
            </w:r>
          </w:p>
        </w:tc>
        <w:tc>
          <w:tcPr>
            <w:tcW w:w="2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53"/>
        </w:trPr>
        <w:tc>
          <w:tcPr>
            <w:tcW w:w="5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0"/>
                <w:szCs w:val="10"/>
                <w:color w:val="auto"/>
              </w:rPr>
              <w:t>Basic</w:t>
            </w: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65,098,928</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62,794,259</w:t>
            </w: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3"/>
              </w:rPr>
              <w:t>64,184,776</w:t>
            </w:r>
          </w:p>
        </w:tc>
        <w:tc>
          <w:tcPr>
            <w:tcW w:w="1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62,212,569</w:t>
            </w:r>
          </w:p>
        </w:tc>
      </w:tr>
      <w:tr>
        <w:trPr>
          <w:trHeight w:val="149"/>
        </w:trPr>
        <w:tc>
          <w:tcPr>
            <w:tcW w:w="5140" w:type="dxa"/>
            <w:vAlign w:val="bottom"/>
            <w:tcBorders>
              <w:bottom w:val="single" w:sz="8" w:color="CCEEFF"/>
            </w:tcBorders>
            <w:shd w:val="clear" w:color="auto" w:fill="CCEEFF"/>
          </w:tcPr>
          <w:p>
            <w:pPr>
              <w:ind w:left="120"/>
              <w:spacing w:after="0" w:line="104" w:lineRule="exact"/>
              <w:rPr>
                <w:sz w:val="20"/>
                <w:szCs w:val="20"/>
                <w:color w:val="auto"/>
              </w:rPr>
            </w:pPr>
            <w:r>
              <w:rPr>
                <w:rFonts w:ascii="Times New Roman" w:cs="Times New Roman" w:eastAsia="Times New Roman" w:hAnsi="Times New Roman"/>
                <w:sz w:val="10"/>
                <w:szCs w:val="10"/>
                <w:color w:val="auto"/>
              </w:rPr>
              <w:t>Diluted</w:t>
            </w:r>
          </w:p>
        </w:tc>
        <w:tc>
          <w:tcPr>
            <w:tcW w:w="2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68,794,518</w:t>
            </w:r>
          </w:p>
        </w:tc>
        <w:tc>
          <w:tcPr>
            <w:tcW w:w="8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66,518,704</w:t>
            </w:r>
          </w:p>
        </w:tc>
        <w:tc>
          <w:tcPr>
            <w:tcW w:w="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3"/>
              </w:rPr>
              <w:t>67,311,893</w:t>
            </w:r>
          </w:p>
        </w:tc>
        <w:tc>
          <w:tcPr>
            <w:tcW w:w="10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66,237,424</w:t>
            </w:r>
          </w:p>
        </w:tc>
      </w:tr>
      <w:tr>
        <w:trPr>
          <w:trHeight w:val="622"/>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852"/>
              <w:spacing w:after="0"/>
              <w:rPr>
                <w:sz w:val="20"/>
                <w:szCs w:val="20"/>
                <w:color w:val="auto"/>
              </w:rPr>
            </w:pPr>
            <w:r>
              <w:rPr>
                <w:rFonts w:ascii="Times New Roman" w:cs="Times New Roman" w:eastAsia="Times New Roman" w:hAnsi="Times New Roman"/>
                <w:sz w:val="10"/>
                <w:szCs w:val="10"/>
                <w:color w:val="auto"/>
              </w:rPr>
              <w:t>- 5 -</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300"/>
          </w:cols>
          <w:pgMar w:left="300" w:top="125" w:right="299" w:bottom="144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Single wafer cleaning, Tahoe and semi-critical cleaning equipment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ECP (front-end and packaging), furnace and other technologies</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Advanced packaging (excluding ECP), services &amp; spares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Total Revenue By Product Category</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0" w:lineRule="exact"/>
        <w:rPr>
          <w:sz w:val="20"/>
          <w:szCs w:val="20"/>
          <w:color w:val="auto"/>
        </w:rPr>
      </w:pPr>
    </w:p>
    <w:p>
      <w:pPr>
        <w:spacing w:after="0" w:line="346" w:lineRule="exact"/>
        <w:rPr>
          <w:sz w:val="20"/>
          <w:szCs w:val="20"/>
          <w:color w:val="auto"/>
        </w:rPr>
      </w:pPr>
    </w:p>
    <w:p>
      <w:pPr>
        <w:jc w:val="center"/>
        <w:ind w:right="4360"/>
        <w:spacing w:after="0"/>
        <w:rPr>
          <w:sz w:val="20"/>
          <w:szCs w:val="20"/>
          <w:color w:val="auto"/>
        </w:rPr>
      </w:pPr>
      <w:r>
        <w:rPr>
          <w:rFonts w:ascii="Times New Roman" w:cs="Times New Roman" w:eastAsia="Times New Roman" w:hAnsi="Times New Roman"/>
          <w:sz w:val="12"/>
          <w:szCs w:val="12"/>
          <w:b w:val="1"/>
          <w:bCs w:val="1"/>
          <w:color w:val="auto"/>
        </w:rPr>
        <w:t>ACM RESEARCH, INC.</w:t>
      </w:r>
    </w:p>
    <w:p>
      <w:pPr>
        <w:spacing w:after="0" w:line="21" w:lineRule="exact"/>
        <w:rPr>
          <w:sz w:val="20"/>
          <w:szCs w:val="20"/>
          <w:color w:val="auto"/>
        </w:rPr>
      </w:pPr>
    </w:p>
    <w:p>
      <w:pPr>
        <w:jc w:val="center"/>
        <w:ind w:right="4360"/>
        <w:spacing w:after="0"/>
        <w:rPr>
          <w:sz w:val="20"/>
          <w:szCs w:val="20"/>
          <w:color w:val="auto"/>
        </w:rPr>
      </w:pPr>
      <w:r>
        <w:rPr>
          <w:rFonts w:ascii="Times New Roman" w:cs="Times New Roman" w:eastAsia="Times New Roman" w:hAnsi="Times New Roman"/>
          <w:sz w:val="11"/>
          <w:szCs w:val="11"/>
          <w:b w:val="1"/>
          <w:bCs w:val="1"/>
          <w:color w:val="auto"/>
        </w:rPr>
        <w:t>Total Revenue by Product Category and by Region</w:t>
      </w:r>
    </w:p>
    <w:p>
      <w:pPr>
        <w:spacing w:after="0" w:line="172" w:lineRule="exact"/>
        <w:rPr>
          <w:sz w:val="20"/>
          <w:szCs w:val="20"/>
          <w:color w:val="auto"/>
        </w:rPr>
      </w:pPr>
    </w:p>
    <w:tbl>
      <w:tblPr>
        <w:tblLayout w:type="fixed"/>
        <w:tblInd w:w="1240" w:type="dxa"/>
        <w:tblCellMar>
          <w:top w:w="0" w:type="dxa"/>
          <w:left w:w="0" w:type="dxa"/>
          <w:bottom w:w="0" w:type="dxa"/>
          <w:right w:w="0" w:type="dxa"/>
        </w:tblCellMar>
      </w:tblPr>
      <w:tr>
        <w:trPr>
          <w:trHeight w:val="134"/>
        </w:trPr>
        <w:tc>
          <w:tcPr>
            <w:tcW w:w="260" w:type="dxa"/>
            <w:vAlign w:val="bottom"/>
          </w:tcPr>
          <w:p>
            <w:pPr>
              <w:spacing w:after="0"/>
              <w:rPr>
                <w:sz w:val="11"/>
                <w:szCs w:val="11"/>
                <w:color w:val="auto"/>
              </w:rPr>
            </w:pPr>
          </w:p>
        </w:tc>
        <w:tc>
          <w:tcPr>
            <w:tcW w:w="2200" w:type="dxa"/>
            <w:vAlign w:val="bottom"/>
            <w:gridSpan w:val="5"/>
          </w:tcPr>
          <w:p>
            <w:pPr>
              <w:ind w:left="200"/>
              <w:spacing w:after="0"/>
              <w:rPr>
                <w:sz w:val="20"/>
                <w:szCs w:val="20"/>
                <w:color w:val="auto"/>
              </w:rPr>
            </w:pPr>
            <w:r>
              <w:rPr>
                <w:rFonts w:ascii="Times New Roman" w:cs="Times New Roman" w:eastAsia="Times New Roman" w:hAnsi="Times New Roman"/>
                <w:sz w:val="10"/>
                <w:szCs w:val="10"/>
                <w:b w:val="1"/>
                <w:bCs w:val="1"/>
                <w:color w:val="auto"/>
              </w:rPr>
              <w:t>Three Months Ended December 31,</w:t>
            </w:r>
          </w:p>
        </w:tc>
        <w:tc>
          <w:tcPr>
            <w:tcW w:w="360" w:type="dxa"/>
            <w:vAlign w:val="bottom"/>
          </w:tcPr>
          <w:p>
            <w:pPr>
              <w:spacing w:after="0"/>
              <w:rPr>
                <w:sz w:val="11"/>
                <w:szCs w:val="11"/>
                <w:color w:val="auto"/>
              </w:rPr>
            </w:pPr>
          </w:p>
        </w:tc>
        <w:tc>
          <w:tcPr>
            <w:tcW w:w="2000" w:type="dxa"/>
            <w:vAlign w:val="bottom"/>
            <w:gridSpan w:val="4"/>
          </w:tcPr>
          <w:p>
            <w:pPr>
              <w:jc w:val="right"/>
              <w:ind w:right="592"/>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r>
      <w:tr>
        <w:trPr>
          <w:trHeight w:val="142"/>
        </w:trPr>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23"/>
        </w:trPr>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3"/>
          </w:tcPr>
          <w:p>
            <w:pPr>
              <w:jc w:val="right"/>
              <w:ind w:right="112"/>
              <w:spacing w:after="0"/>
              <w:rPr>
                <w:sz w:val="20"/>
                <w:szCs w:val="20"/>
                <w:color w:val="auto"/>
              </w:rPr>
            </w:pPr>
            <w:r>
              <w:rPr>
                <w:rFonts w:ascii="Times New Roman" w:cs="Times New Roman" w:eastAsia="Times New Roman" w:hAnsi="Times New Roman"/>
                <w:sz w:val="10"/>
                <w:szCs w:val="10"/>
                <w:i w:val="1"/>
                <w:iCs w:val="1"/>
                <w:color w:val="auto"/>
              </w:rPr>
              <w:t>(Unaudited)</w:t>
            </w: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36"/>
        </w:trPr>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r>
        <w:trPr>
          <w:trHeight w:val="121"/>
        </w:trPr>
        <w:tc>
          <w:tcPr>
            <w:tcW w:w="26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159,864</w:t>
            </w:r>
          </w:p>
        </w:tc>
        <w:tc>
          <w:tcPr>
            <w:tcW w:w="80" w:type="dxa"/>
            <w:vAlign w:val="bottom"/>
          </w:tcPr>
          <w:p>
            <w:pPr>
              <w:spacing w:after="0"/>
              <w:rPr>
                <w:sz w:val="10"/>
                <w:szCs w:val="10"/>
                <w:color w:val="auto"/>
              </w:rPr>
            </w:pPr>
          </w:p>
        </w:tc>
        <w:tc>
          <w:tcPr>
            <w:tcW w:w="2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155,211</w:t>
            </w:r>
          </w:p>
        </w:tc>
        <w:tc>
          <w:tcPr>
            <w:tcW w:w="80" w:type="dxa"/>
            <w:vAlign w:val="bottom"/>
          </w:tcPr>
          <w:p>
            <w:pPr>
              <w:spacing w:after="0"/>
              <w:rPr>
                <w:sz w:val="10"/>
                <w:szCs w:val="10"/>
                <w:color w:val="auto"/>
              </w:rPr>
            </w:pPr>
          </w:p>
        </w:tc>
        <w:tc>
          <w:tcPr>
            <w:tcW w:w="360" w:type="dxa"/>
            <w:vAlign w:val="bottom"/>
          </w:tcPr>
          <w:p>
            <w:pPr>
              <w:jc w:val="right"/>
              <w:ind w:right="252"/>
              <w:spacing w:after="0"/>
              <w:rPr>
                <w:sz w:val="20"/>
                <w:szCs w:val="20"/>
                <w:color w:val="auto"/>
              </w:rPr>
            </w:pPr>
            <w:r>
              <w:rPr>
                <w:rFonts w:ascii="Times New Roman" w:cs="Times New Roman" w:eastAsia="Times New Roman" w:hAnsi="Times New Roman"/>
                <w:sz w:val="10"/>
                <w:szCs w:val="1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625,964</w:t>
            </w:r>
          </w:p>
        </w:tc>
        <w:tc>
          <w:tcPr>
            <w:tcW w:w="80" w:type="dxa"/>
            <w:vAlign w:val="bottom"/>
          </w:tcPr>
          <w:p>
            <w:pPr>
              <w:spacing w:after="0"/>
              <w:rPr>
                <w:sz w:val="10"/>
                <w:szCs w:val="10"/>
                <w:color w:val="auto"/>
              </w:rPr>
            </w:pPr>
          </w:p>
        </w:tc>
        <w:tc>
          <w:tcPr>
            <w:tcW w:w="260" w:type="dxa"/>
            <w:vAlign w:val="bottom"/>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578,887</w:t>
            </w:r>
          </w:p>
        </w:tc>
      </w:tr>
      <w:tr>
        <w:trPr>
          <w:trHeight w:val="130"/>
        </w:trPr>
        <w:tc>
          <w:tcPr>
            <w:tcW w:w="2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64,052</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51,695</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199,551</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151,057</w:t>
            </w:r>
          </w:p>
        </w:tc>
      </w:tr>
      <w:tr>
        <w:trPr>
          <w:trHeight w:val="143"/>
        </w:trPr>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20,514</w:t>
            </w: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16,565</w:t>
            </w:r>
          </w:p>
        </w:tc>
        <w:tc>
          <w:tcPr>
            <w:tcW w:w="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75,794</w:t>
            </w: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52,174</w:t>
            </w:r>
          </w:p>
        </w:tc>
      </w:tr>
      <w:tr>
        <w:trPr>
          <w:trHeight w:val="128"/>
        </w:trPr>
        <w:tc>
          <w:tcPr>
            <w:tcW w:w="2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244,430</w:t>
            </w:r>
          </w:p>
        </w:tc>
        <w:tc>
          <w:tcPr>
            <w:tcW w:w="80" w:type="dxa"/>
            <w:vAlign w:val="bottom"/>
          </w:tcPr>
          <w:p>
            <w:pPr>
              <w:spacing w:after="0"/>
              <w:rPr>
                <w:sz w:val="11"/>
                <w:szCs w:val="11"/>
                <w:color w:val="auto"/>
              </w:rPr>
            </w:pPr>
          </w:p>
        </w:tc>
        <w:tc>
          <w:tcPr>
            <w:tcW w:w="2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223,471</w:t>
            </w:r>
          </w:p>
        </w:tc>
        <w:tc>
          <w:tcPr>
            <w:tcW w:w="80" w:type="dxa"/>
            <w:vAlign w:val="bottom"/>
          </w:tcPr>
          <w:p>
            <w:pPr>
              <w:spacing w:after="0"/>
              <w:rPr>
                <w:sz w:val="11"/>
                <w:szCs w:val="11"/>
                <w:color w:val="auto"/>
              </w:rPr>
            </w:pPr>
          </w:p>
        </w:tc>
        <w:tc>
          <w:tcPr>
            <w:tcW w:w="3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901,309</w:t>
            </w:r>
          </w:p>
        </w:tc>
        <w:tc>
          <w:tcPr>
            <w:tcW w:w="80" w:type="dxa"/>
            <w:vAlign w:val="bottom"/>
          </w:tcPr>
          <w:p>
            <w:pPr>
              <w:spacing w:after="0"/>
              <w:rPr>
                <w:sz w:val="11"/>
                <w:szCs w:val="11"/>
                <w:color w:val="auto"/>
              </w:rPr>
            </w:pPr>
          </w:p>
        </w:tc>
        <w:tc>
          <w:tcPr>
            <w:tcW w:w="2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782,118</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-376555</wp:posOffset>
            </wp:positionV>
            <wp:extent cx="6612255" cy="914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91440"/>
                    </a:xfrm>
                    <a:prstGeom prst="rect">
                      <a:avLst/>
                    </a:prstGeom>
                    <a:noFill/>
                  </pic:spPr>
                </pic:pic>
              </a:graphicData>
            </a:graphic>
          </wp:anchor>
        </w:drawing>
        <w:drawing>
          <wp:anchor simplePos="0" relativeHeight="251657728" behindDoc="1" locked="0" layoutInCell="0" allowOverlap="1">
            <wp:simplePos x="0" y="0"/>
            <wp:positionH relativeFrom="column">
              <wp:posOffset>-2760345</wp:posOffset>
            </wp:positionH>
            <wp:positionV relativeFrom="paragraph">
              <wp:posOffset>-199390</wp:posOffset>
            </wp:positionV>
            <wp:extent cx="6612255" cy="85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57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20" w:space="720"/>
            <w:col w:w="6960"/>
          </w:cols>
          <w:pgMar w:left="300" w:top="125" w:right="29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8"/>
          <w:szCs w:val="8"/>
          <w:color w:val="auto"/>
        </w:rPr>
        <w:t>- 6 -</w:t>
      </w:r>
    </w:p>
    <w:p>
      <w:pPr>
        <w:sectPr>
          <w:pgSz w:w="11900" w:h="16838" w:orient="portrait"/>
          <w:cols w:equalWidth="0" w:num="1">
            <w:col w:w="11300"/>
          </w:cols>
          <w:pgMar w:left="300" w:top="125" w:right="299" w:bottom="1440" w:gutter="0" w:footer="0" w:header="0"/>
          <w:type w:val="continuous"/>
        </w:sectPr>
      </w:pPr>
    </w:p>
    <w:bookmarkStart w:id="11" w:name="page12"/>
    <w:bookmarkEnd w:id="11"/>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0" w:lineRule="exact"/>
        <w:rPr>
          <w:sz w:val="20"/>
          <w:szCs w:val="20"/>
          <w:color w:val="auto"/>
        </w:rPr>
      </w:pPr>
    </w:p>
    <w:p>
      <w:pPr>
        <w:spacing w:after="0" w:line="34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2"/>
          <w:szCs w:val="12"/>
          <w:b w:val="1"/>
          <w:bCs w:val="1"/>
          <w:color w:val="auto"/>
        </w:rPr>
        <w:t>ACM RESEARCH, INC.</w:t>
      </w:r>
    </w:p>
    <w:p>
      <w:pPr>
        <w:spacing w:after="0" w:line="2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2"/>
          <w:szCs w:val="12"/>
          <w:b w:val="1"/>
          <w:bCs w:val="1"/>
          <w:color w:val="auto"/>
        </w:rPr>
        <w:t>Reconciliation of GAAP to Non-GAAP Financial Measures</w:t>
      </w:r>
    </w:p>
    <w:p>
      <w:pPr>
        <w:spacing w:after="0" w:line="139"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2"/>
          <w:szCs w:val="12"/>
          <w:color w:val="auto"/>
        </w:rPr>
        <w:t>As described under “Use of Non-GAAP Financial Measures” above, ACM presents non-GAAP gross margin, operating expenses, operating income, net income attributable to ACM Research, Inc., and basic and diluted earnings per share as supplemental measures to GAAP financial measures, each of which excludes stock-based compensation (“SBC”) from the equivalent GAAP financial line items. In addition, non-GAAP net income attributable to ACM Research, Inc., and basic and diluted earnings per share exclude unrealized gain (loss) on short-term investments. The following tables reconcile</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- 7 -</w:t>
      </w:r>
    </w:p>
    <w:p>
      <w:pPr>
        <w:sectPr>
          <w:pgSz w:w="11900" w:h="16838" w:orient="portrait"/>
          <w:cols w:equalWidth="0" w:num="1">
            <w:col w:w="11300"/>
          </w:cols>
          <w:pgMar w:left="300" w:top="125" w:right="299" w:bottom="1440" w:gutter="0" w:footer="0" w:header="0"/>
        </w:sectPr>
      </w:pPr>
    </w:p>
    <w:bookmarkStart w:id="12" w:name="page13"/>
    <w:bookmarkEnd w:id="12"/>
    <w:p>
      <w:pPr>
        <w:ind w:left="10680"/>
        <w:spacing w:after="0"/>
        <w:rPr>
          <w:sz w:val="20"/>
          <w:szCs w:val="20"/>
          <w:color w:val="auto"/>
        </w:rPr>
      </w:pPr>
      <w:r>
        <w:rPr>
          <w:rFonts w:ascii="Times New Roman" w:cs="Times New Roman" w:eastAsia="Times New Roman" w:hAnsi="Times New Roman"/>
          <w:sz w:val="11"/>
          <w:szCs w:val="11"/>
          <w:b w:val="1"/>
          <w:bCs w:val="1"/>
          <w:color w:val="auto"/>
        </w:rPr>
        <w:t>Exhibit 99.1</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gross margin, operating expenses, operating income, net income attributable to ACM Research, Inc., and basic and diluted earnings per share to the related non-GAAP financial measures: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7"/>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6"/>
              </w:rPr>
              <w:t>Three Months Ended December 31,</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center"/>
              <w:ind w:right="872"/>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5"/>
          </w:tcPr>
          <w:p>
            <w:pPr>
              <w:jc w:val="center"/>
              <w:ind w:right="892"/>
              <w:spacing w:after="0"/>
              <w:rPr>
                <w:sz w:val="20"/>
                <w:szCs w:val="20"/>
                <w:color w:val="auto"/>
              </w:rPr>
            </w:pPr>
            <w:r>
              <w:rPr>
                <w:rFonts w:ascii="Times New Roman" w:cs="Times New Roman" w:eastAsia="Times New Roman" w:hAnsi="Times New Roman"/>
                <w:sz w:val="10"/>
                <w:szCs w:val="10"/>
                <w:b w:val="1"/>
                <w:bCs w:val="1"/>
                <w:color w:val="auto"/>
                <w:w w:val="89"/>
              </w:rPr>
              <w:t>2024</w:t>
            </w: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gridSpan w:val="2"/>
          </w:tcPr>
          <w:p>
            <w:pPr>
              <w:jc w:val="right"/>
              <w:ind w:right="400"/>
              <w:spacing w:after="0" w:line="113" w:lineRule="exact"/>
              <w:rPr>
                <w:sz w:val="20"/>
                <w:szCs w:val="20"/>
                <w:color w:val="auto"/>
              </w:rPr>
            </w:pPr>
            <w:r>
              <w:rPr>
                <w:rFonts w:ascii="Times New Roman" w:cs="Times New Roman" w:eastAsia="Times New Roman" w:hAnsi="Times New Roman"/>
                <w:sz w:val="10"/>
                <w:szCs w:val="10"/>
                <w:b w:val="1"/>
                <w:bCs w:val="1"/>
                <w:color w:val="auto"/>
              </w:rPr>
              <w:t>Actual</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SBC</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jc w:val="center"/>
              <w:ind w:right="80"/>
              <w:spacing w:after="0" w:line="113" w:lineRule="exact"/>
              <w:rPr>
                <w:sz w:val="20"/>
                <w:szCs w:val="20"/>
                <w:color w:val="auto"/>
              </w:rPr>
            </w:pPr>
            <w:r>
              <w:rPr>
                <w:rFonts w:ascii="Times New Roman" w:cs="Times New Roman" w:eastAsia="Times New Roman" w:hAnsi="Times New Roman"/>
                <w:sz w:val="10"/>
                <w:szCs w:val="10"/>
                <w:b w:val="1"/>
                <w:bCs w:val="1"/>
                <w:color w:val="auto"/>
                <w:w w:val="96"/>
              </w:rPr>
              <w:t>Other non-</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tcPr>
          <w:p>
            <w:pPr>
              <w:jc w:val="right"/>
              <w:ind w:right="360"/>
              <w:spacing w:after="0" w:line="113" w:lineRule="exact"/>
              <w:rPr>
                <w:sz w:val="20"/>
                <w:szCs w:val="20"/>
                <w:color w:val="auto"/>
              </w:rPr>
            </w:pPr>
            <w:r>
              <w:rPr>
                <w:rFonts w:ascii="Times New Roman" w:cs="Times New Roman" w:eastAsia="Times New Roman" w:hAnsi="Times New Roman"/>
                <w:sz w:val="10"/>
                <w:szCs w:val="10"/>
                <w:b w:val="1"/>
                <w:bCs w:val="1"/>
                <w:color w:val="auto"/>
              </w:rPr>
              <w:t>Adjusted</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0" w:type="dxa"/>
            <w:vAlign w:val="bottom"/>
            <w:gridSpan w:val="2"/>
          </w:tcPr>
          <w:p>
            <w:pPr>
              <w:jc w:val="right"/>
              <w:ind w:right="400"/>
              <w:spacing w:after="0" w:line="113" w:lineRule="exact"/>
              <w:rPr>
                <w:sz w:val="20"/>
                <w:szCs w:val="20"/>
                <w:color w:val="auto"/>
              </w:rPr>
            </w:pPr>
            <w:r>
              <w:rPr>
                <w:rFonts w:ascii="Times New Roman" w:cs="Times New Roman" w:eastAsia="Times New Roman" w:hAnsi="Times New Roman"/>
                <w:sz w:val="10"/>
                <w:szCs w:val="10"/>
                <w:b w:val="1"/>
                <w:bCs w:val="1"/>
                <w:color w:val="auto"/>
              </w:rPr>
              <w:t>Actual</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SBC</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120" w:type="dxa"/>
            <w:vAlign w:val="bottom"/>
            <w:gridSpan w:val="2"/>
          </w:tcPr>
          <w:p>
            <w:pPr>
              <w:jc w:val="center"/>
              <w:ind w:right="140"/>
              <w:spacing w:after="0" w:line="113" w:lineRule="exact"/>
              <w:rPr>
                <w:sz w:val="20"/>
                <w:szCs w:val="20"/>
                <w:color w:val="auto"/>
              </w:rPr>
            </w:pPr>
            <w:r>
              <w:rPr>
                <w:rFonts w:ascii="Times New Roman" w:cs="Times New Roman" w:eastAsia="Times New Roman" w:hAnsi="Times New Roman"/>
                <w:sz w:val="10"/>
                <w:szCs w:val="10"/>
                <w:b w:val="1"/>
                <w:bCs w:val="1"/>
                <w:color w:val="auto"/>
                <w:w w:val="96"/>
              </w:rPr>
              <w:t>Other non-</w:t>
            </w: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jc w:val="center"/>
              <w:ind w:right="112"/>
              <w:spacing w:after="0" w:line="113" w:lineRule="exact"/>
              <w:rPr>
                <w:sz w:val="20"/>
                <w:szCs w:val="20"/>
                <w:color w:val="auto"/>
              </w:rPr>
            </w:pPr>
            <w:r>
              <w:rPr>
                <w:rFonts w:ascii="Times New Roman" w:cs="Times New Roman" w:eastAsia="Times New Roman" w:hAnsi="Times New Roman"/>
                <w:sz w:val="10"/>
                <w:szCs w:val="10"/>
                <w:b w:val="1"/>
                <w:bCs w:val="1"/>
                <w:color w:val="auto"/>
                <w:w w:val="97"/>
              </w:rPr>
              <w:t>Adjusted</w:t>
            </w:r>
          </w:p>
        </w:tc>
        <w:tc>
          <w:tcPr>
            <w:tcW w:w="0" w:type="dxa"/>
            <w:vAlign w:val="bottom"/>
          </w:tcPr>
          <w:p>
            <w:pPr>
              <w:spacing w:after="0"/>
              <w:rPr>
                <w:sz w:val="1"/>
                <w:szCs w:val="1"/>
                <w:color w:val="auto"/>
              </w:rPr>
            </w:pPr>
          </w:p>
        </w:tc>
      </w:tr>
      <w:tr>
        <w:trPr>
          <w:trHeight w:val="62"/>
        </w:trPr>
        <w:tc>
          <w:tcPr>
            <w:tcW w:w="2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(GAAP)</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operating adjustments</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(Non-GAAP)</w:t>
            </w: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(GAAP)</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operating adjustments</w:t>
            </w: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vMerge w:val="restart"/>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6"/>
              </w:rPr>
              <w:t>(Non-GAAP)</w:t>
            </w:r>
          </w:p>
        </w:tc>
        <w:tc>
          <w:tcPr>
            <w:tcW w:w="0" w:type="dxa"/>
            <w:vAlign w:val="bottom"/>
          </w:tcPr>
          <w:p>
            <w:pPr>
              <w:spacing w:after="0"/>
              <w:rPr>
                <w:sz w:val="1"/>
                <w:szCs w:val="1"/>
                <w:color w:val="auto"/>
              </w:rPr>
            </w:pPr>
          </w:p>
        </w:tc>
      </w:tr>
      <w:tr>
        <w:trPr>
          <w:trHeight w:val="63"/>
        </w:trPr>
        <w:tc>
          <w:tcPr>
            <w:tcW w:w="2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
        </w:trPr>
        <w:tc>
          <w:tcPr>
            <w:tcW w:w="2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2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5"/>
          </w:tcPr>
          <w:p>
            <w:pPr>
              <w:jc w:val="center"/>
              <w:ind w:left="632"/>
              <w:spacing w:after="0"/>
              <w:rPr>
                <w:sz w:val="20"/>
                <w:szCs w:val="20"/>
                <w:color w:val="auto"/>
              </w:rPr>
            </w:pPr>
            <w:r>
              <w:rPr>
                <w:rFonts w:ascii="Times New Roman" w:cs="Times New Roman" w:eastAsia="Times New Roman" w:hAnsi="Times New Roman"/>
                <w:sz w:val="10"/>
                <w:szCs w:val="10"/>
                <w:i w:val="1"/>
                <w:iCs w:val="1"/>
                <w:color w:val="auto"/>
                <w:w w:val="94"/>
              </w:rPr>
              <w:t>(Unaudited)</w:t>
            </w: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3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7"/>
          </w:tcPr>
          <w:p>
            <w:pPr>
              <w:jc w:val="center"/>
              <w:ind w:right="140"/>
              <w:spacing w:after="0"/>
              <w:rPr>
                <w:sz w:val="20"/>
                <w:szCs w:val="20"/>
                <w:color w:val="auto"/>
              </w:rPr>
            </w:pPr>
            <w:r>
              <w:rPr>
                <w:rFonts w:ascii="Times New Roman" w:cs="Times New Roman" w:eastAsia="Times New Roman" w:hAnsi="Times New Roman"/>
                <w:sz w:val="10"/>
                <w:szCs w:val="10"/>
                <w:i w:val="1"/>
                <w:iCs w:val="1"/>
                <w:color w:val="auto"/>
                <w:w w:val="95"/>
              </w:rPr>
              <w:t>(In thousands except per share data)</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340" w:type="dxa"/>
            <w:vAlign w:val="bottom"/>
            <w:shd w:val="clear" w:color="auto" w:fill="CCEEFF"/>
          </w:tcPr>
          <w:p>
            <w:pPr>
              <w:ind w:left="60"/>
              <w:spacing w:after="0" w:line="112" w:lineRule="exact"/>
              <w:rPr>
                <w:sz w:val="20"/>
                <w:szCs w:val="20"/>
                <w:color w:val="auto"/>
              </w:rPr>
            </w:pPr>
            <w:r>
              <w:rPr>
                <w:rFonts w:ascii="Times New Roman" w:cs="Times New Roman" w:eastAsia="Times New Roman" w:hAnsi="Times New Roman"/>
                <w:sz w:val="10"/>
                <w:szCs w:val="10"/>
                <w:color w:val="auto"/>
              </w:rPr>
              <w:t>Revenue</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244,430</w:t>
            </w:r>
          </w:p>
        </w:tc>
        <w:tc>
          <w:tcPr>
            <w:tcW w:w="60" w:type="dxa"/>
            <w:vAlign w:val="bottom"/>
            <w:shd w:val="clear" w:color="auto" w:fill="CCEEFF"/>
          </w:tcPr>
          <w:p>
            <w:pPr>
              <w:spacing w:after="0"/>
              <w:rPr>
                <w:sz w:val="11"/>
                <w:szCs w:val="11"/>
                <w:color w:val="auto"/>
              </w:rPr>
            </w:pPr>
          </w:p>
        </w:tc>
        <w:tc>
          <w:tcPr>
            <w:tcW w:w="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0"/>
                <w:szCs w:val="10"/>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1"/>
                <w:szCs w:val="11"/>
                <w:color w:val="auto"/>
              </w:rPr>
            </w:pPr>
          </w:p>
        </w:tc>
        <w:tc>
          <w:tcPr>
            <w:tcW w:w="220" w:type="dxa"/>
            <w:vAlign w:val="bottom"/>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244,430</w:t>
            </w:r>
          </w:p>
        </w:tc>
        <w:tc>
          <w:tcPr>
            <w:tcW w:w="40" w:type="dxa"/>
            <w:vAlign w:val="bottom"/>
            <w:shd w:val="clear" w:color="auto" w:fill="CCEEFF"/>
          </w:tcPr>
          <w:p>
            <w:pPr>
              <w:spacing w:after="0"/>
              <w:rPr>
                <w:sz w:val="11"/>
                <w:szCs w:val="11"/>
                <w:color w:val="auto"/>
              </w:rPr>
            </w:pPr>
          </w:p>
        </w:tc>
        <w:tc>
          <w:tcPr>
            <w:tcW w:w="340" w:type="dxa"/>
            <w:vAlign w:val="bottom"/>
            <w:gridSpan w:val="3"/>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223,471</w:t>
            </w:r>
          </w:p>
        </w:tc>
        <w:tc>
          <w:tcPr>
            <w:tcW w:w="60" w:type="dxa"/>
            <w:vAlign w:val="bottom"/>
            <w:shd w:val="clear" w:color="auto" w:fill="CCEEFF"/>
          </w:tcPr>
          <w:p>
            <w:pPr>
              <w:spacing w:after="0"/>
              <w:rPr>
                <w:sz w:val="11"/>
                <w:szCs w:val="11"/>
                <w:color w:val="auto"/>
              </w:rPr>
            </w:pPr>
          </w:p>
        </w:tc>
        <w:tc>
          <w:tcPr>
            <w:tcW w:w="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1"/>
                <w:szCs w:val="11"/>
                <w:color w:val="auto"/>
              </w:rPr>
            </w:pPr>
          </w:p>
        </w:tc>
        <w:tc>
          <w:tcPr>
            <w:tcW w:w="160" w:type="dxa"/>
            <w:vAlign w:val="bottom"/>
            <w:gridSpan w:val="4"/>
            <w:shd w:val="clear" w:color="auto" w:fill="CCEEFF"/>
          </w:tcPr>
          <w:p>
            <w:pPr>
              <w:jc w:val="center"/>
              <w:ind w:left="52"/>
              <w:spacing w:after="0"/>
              <w:rPr>
                <w:sz w:val="20"/>
                <w:szCs w:val="20"/>
                <w:color w:val="auto"/>
              </w:rPr>
            </w:pPr>
            <w:r>
              <w:rPr>
                <w:rFonts w:ascii="Times New Roman" w:cs="Times New Roman" w:eastAsia="Times New Roman" w:hAnsi="Times New Roman"/>
                <w:sz w:val="10"/>
                <w:szCs w:val="10"/>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223,471</w:t>
            </w:r>
          </w:p>
        </w:tc>
        <w:tc>
          <w:tcPr>
            <w:tcW w:w="0" w:type="dxa"/>
            <w:vAlign w:val="bottom"/>
          </w:tcPr>
          <w:p>
            <w:pPr>
              <w:spacing w:after="0"/>
              <w:rPr>
                <w:sz w:val="1"/>
                <w:szCs w:val="1"/>
                <w:color w:val="auto"/>
              </w:rPr>
            </w:pPr>
          </w:p>
        </w:tc>
      </w:tr>
      <w:tr>
        <w:trPr>
          <w:trHeight w:val="129"/>
        </w:trPr>
        <w:tc>
          <w:tcPr>
            <w:tcW w:w="23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0"/>
                <w:szCs w:val="10"/>
                <w:color w:val="auto"/>
              </w:rPr>
              <w:t>Cost of revenue</w:t>
            </w:r>
          </w:p>
        </w:tc>
        <w:tc>
          <w:tcPr>
            <w:tcW w:w="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(144,523)</w:t>
            </w: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(205)</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(144,318)</w:t>
            </w: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(112,656)</w:t>
            </w: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(365)</w:t>
            </w: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(112,291)</w:t>
            </w:r>
          </w:p>
        </w:tc>
        <w:tc>
          <w:tcPr>
            <w:tcW w:w="0" w:type="dxa"/>
            <w:vAlign w:val="bottom"/>
          </w:tcPr>
          <w:p>
            <w:pPr>
              <w:spacing w:after="0"/>
              <w:rPr>
                <w:sz w:val="1"/>
                <w:szCs w:val="1"/>
                <w:color w:val="auto"/>
              </w:rPr>
            </w:pPr>
          </w:p>
        </w:tc>
      </w:tr>
      <w:tr>
        <w:trPr>
          <w:trHeight w:val="130"/>
        </w:trPr>
        <w:tc>
          <w:tcPr>
            <w:tcW w:w="2340" w:type="dxa"/>
            <w:vAlign w:val="bottom"/>
            <w:shd w:val="clear" w:color="auto" w:fill="CCEEFF"/>
          </w:tcPr>
          <w:p>
            <w:pPr>
              <w:ind w:left="220"/>
              <w:spacing w:after="0" w:line="110" w:lineRule="exact"/>
              <w:rPr>
                <w:sz w:val="20"/>
                <w:szCs w:val="20"/>
                <w:color w:val="auto"/>
              </w:rPr>
            </w:pPr>
            <w:r>
              <w:rPr>
                <w:rFonts w:ascii="Times New Roman" w:cs="Times New Roman" w:eastAsia="Times New Roman" w:hAnsi="Times New Roman"/>
                <w:sz w:val="10"/>
                <w:szCs w:val="10"/>
                <w:color w:val="auto"/>
              </w:rPr>
              <w:t>Gross profit</w:t>
            </w:r>
          </w:p>
        </w:tc>
        <w:tc>
          <w:tcPr>
            <w:tcW w:w="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99,907</w:t>
            </w:r>
          </w:p>
        </w:tc>
        <w:tc>
          <w:tcPr>
            <w:tcW w:w="60" w:type="dxa"/>
            <w:vAlign w:val="bottom"/>
            <w:tcBorders>
              <w:bottom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(205)</w:t>
            </w:r>
          </w:p>
        </w:tc>
        <w:tc>
          <w:tcPr>
            <w:tcW w:w="8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100,112</w:t>
            </w:r>
          </w:p>
        </w:tc>
        <w:tc>
          <w:tcPr>
            <w:tcW w:w="40" w:type="dxa"/>
            <w:vAlign w:val="bottom"/>
            <w:tcBorders>
              <w:bottom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110,815</w:t>
            </w:r>
          </w:p>
        </w:tc>
        <w:tc>
          <w:tcPr>
            <w:tcW w:w="60" w:type="dxa"/>
            <w:vAlign w:val="bottom"/>
            <w:tcBorders>
              <w:bottom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(365)</w:t>
            </w:r>
          </w:p>
        </w:tc>
        <w:tc>
          <w:tcPr>
            <w:tcW w:w="4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111,180</w:t>
            </w:r>
          </w:p>
        </w:tc>
        <w:tc>
          <w:tcPr>
            <w:tcW w:w="0" w:type="dxa"/>
            <w:vAlign w:val="bottom"/>
          </w:tcPr>
          <w:p>
            <w:pPr>
              <w:spacing w:after="0"/>
              <w:rPr>
                <w:sz w:val="1"/>
                <w:szCs w:val="1"/>
                <w:color w:val="auto"/>
              </w:rPr>
            </w:pPr>
          </w:p>
        </w:tc>
      </w:tr>
      <w:tr>
        <w:trPr>
          <w:trHeight w:val="118"/>
        </w:trPr>
        <w:tc>
          <w:tcPr>
            <w:tcW w:w="2340" w:type="dxa"/>
            <w:vAlign w:val="bottom"/>
          </w:tcPr>
          <w:p>
            <w:pPr>
              <w:ind w:left="220"/>
              <w:spacing w:after="0" w:line="104" w:lineRule="exact"/>
              <w:rPr>
                <w:sz w:val="20"/>
                <w:szCs w:val="20"/>
                <w:color w:val="auto"/>
              </w:rPr>
            </w:pPr>
            <w:r>
              <w:rPr>
                <w:rFonts w:ascii="Times New Roman" w:cs="Times New Roman" w:eastAsia="Times New Roman" w:hAnsi="Times New Roman"/>
                <w:sz w:val="10"/>
                <w:szCs w:val="10"/>
                <w:color w:val="auto"/>
              </w:rPr>
              <w:t>Gross margin</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40.9 %</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0.1 %</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41.0 %</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49.6 %</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0.2 %</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49.8 %</w:t>
            </w:r>
          </w:p>
        </w:tc>
        <w:tc>
          <w:tcPr>
            <w:tcW w:w="0" w:type="dxa"/>
            <w:vAlign w:val="bottom"/>
          </w:tcPr>
          <w:p>
            <w:pPr>
              <w:spacing w:after="0"/>
              <w:rPr>
                <w:sz w:val="1"/>
                <w:szCs w:val="1"/>
                <w:color w:val="auto"/>
              </w:rPr>
            </w:pPr>
          </w:p>
        </w:tc>
      </w:tr>
      <w:tr>
        <w:trPr>
          <w:trHeight w:val="141"/>
        </w:trPr>
        <w:tc>
          <w:tcPr>
            <w:tcW w:w="2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Operating expenses:</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34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Sales and marketing</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(16,143)</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(775)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(15,368)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(18,380)</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(1,907)</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(16,473)</w:t>
            </w:r>
          </w:p>
        </w:tc>
        <w:tc>
          <w:tcPr>
            <w:tcW w:w="0" w:type="dxa"/>
            <w:vAlign w:val="bottom"/>
          </w:tcPr>
          <w:p>
            <w:pPr>
              <w:spacing w:after="0"/>
              <w:rPr>
                <w:sz w:val="1"/>
                <w:szCs w:val="1"/>
                <w:color w:val="auto"/>
              </w:rPr>
            </w:pPr>
          </w:p>
        </w:tc>
      </w:tr>
      <w:tr>
        <w:trPr>
          <w:trHeight w:val="141"/>
        </w:trPr>
        <w:tc>
          <w:tcPr>
            <w:tcW w:w="2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Research and development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(44,018)</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(1,513)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(42,505)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(27,750)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(2,030)</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(25,720)</w:t>
            </w:r>
          </w:p>
        </w:tc>
        <w:tc>
          <w:tcPr>
            <w:tcW w:w="0" w:type="dxa"/>
            <w:vAlign w:val="bottom"/>
          </w:tcPr>
          <w:p>
            <w:pPr>
              <w:spacing w:after="0"/>
              <w:rPr>
                <w:sz w:val="1"/>
                <w:szCs w:val="1"/>
                <w:color w:val="auto"/>
              </w:rPr>
            </w:pPr>
          </w:p>
        </w:tc>
      </w:tr>
      <w:tr>
        <w:trPr>
          <w:trHeight w:val="129"/>
        </w:trPr>
        <w:tc>
          <w:tcPr>
            <w:tcW w:w="2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(16,711)</w:t>
            </w: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(3,935)</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(12,776)</w:t>
            </w: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(20,696)</w:t>
            </w: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(4,482)</w:t>
            </w: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(16,214)</w:t>
            </w:r>
          </w:p>
        </w:tc>
        <w:tc>
          <w:tcPr>
            <w:tcW w:w="0" w:type="dxa"/>
            <w:vAlign w:val="bottom"/>
          </w:tcPr>
          <w:p>
            <w:pPr>
              <w:spacing w:after="0"/>
              <w:rPr>
                <w:sz w:val="1"/>
                <w:szCs w:val="1"/>
                <w:color w:val="auto"/>
              </w:rPr>
            </w:pPr>
          </w:p>
        </w:tc>
      </w:tr>
      <w:tr>
        <w:trPr>
          <w:trHeight w:val="130"/>
        </w:trPr>
        <w:tc>
          <w:tcPr>
            <w:tcW w:w="2340" w:type="dxa"/>
            <w:vAlign w:val="bottom"/>
            <w:shd w:val="clear" w:color="auto" w:fill="CCEEFF"/>
          </w:tcPr>
          <w:p>
            <w:pPr>
              <w:ind w:left="220"/>
              <w:spacing w:after="0" w:line="110" w:lineRule="exact"/>
              <w:rPr>
                <w:sz w:val="20"/>
                <w:szCs w:val="20"/>
                <w:color w:val="auto"/>
              </w:rPr>
            </w:pPr>
            <w:r>
              <w:rPr>
                <w:rFonts w:ascii="Times New Roman" w:cs="Times New Roman" w:eastAsia="Times New Roman" w:hAnsi="Times New Roman"/>
                <w:sz w:val="10"/>
                <w:szCs w:val="10"/>
                <w:color w:val="auto"/>
              </w:rPr>
              <w:t>Total operating expenses</w:t>
            </w:r>
          </w:p>
        </w:tc>
        <w:tc>
          <w:tcPr>
            <w:tcW w:w="6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(76,872)</w:t>
            </w:r>
          </w:p>
        </w:tc>
        <w:tc>
          <w:tcPr>
            <w:tcW w:w="60" w:type="dxa"/>
            <w:vAlign w:val="bottom"/>
            <w:tcBorders>
              <w:bottom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(6,223)</w:t>
            </w:r>
          </w:p>
        </w:tc>
        <w:tc>
          <w:tcPr>
            <w:tcW w:w="8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(70,649)</w:t>
            </w:r>
          </w:p>
        </w:tc>
        <w:tc>
          <w:tcPr>
            <w:tcW w:w="40" w:type="dxa"/>
            <w:vAlign w:val="bottom"/>
            <w:tcBorders>
              <w:bottom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(66,826)</w:t>
            </w:r>
          </w:p>
        </w:tc>
        <w:tc>
          <w:tcPr>
            <w:tcW w:w="60" w:type="dxa"/>
            <w:vAlign w:val="bottom"/>
            <w:tcBorders>
              <w:bottom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(8,419)</w:t>
            </w:r>
          </w:p>
        </w:tc>
        <w:tc>
          <w:tcPr>
            <w:tcW w:w="40" w:type="dxa"/>
            <w:vAlign w:val="bottom"/>
            <w:tcBorders>
              <w:bottom w:val="single" w:sz="8" w:color="auto"/>
            </w:tcBorders>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2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(58,407)</w:t>
            </w:r>
          </w:p>
        </w:tc>
        <w:tc>
          <w:tcPr>
            <w:tcW w:w="0" w:type="dxa"/>
            <w:vAlign w:val="bottom"/>
          </w:tcPr>
          <w:p>
            <w:pPr>
              <w:spacing w:after="0"/>
              <w:rPr>
                <w:sz w:val="1"/>
                <w:szCs w:val="1"/>
                <w:color w:val="auto"/>
              </w:rPr>
            </w:pPr>
          </w:p>
        </w:tc>
      </w:tr>
      <w:tr>
        <w:trPr>
          <w:trHeight w:val="118"/>
        </w:trPr>
        <w:tc>
          <w:tcPr>
            <w:tcW w:w="2340" w:type="dxa"/>
            <w:vAlign w:val="bottom"/>
            <w:tcBorders>
              <w:bottom w:val="single" w:sz="8" w:color="CCEEFF"/>
            </w:tcBorders>
          </w:tcPr>
          <w:p>
            <w:pPr>
              <w:ind w:left="60"/>
              <w:spacing w:after="0" w:line="104" w:lineRule="exact"/>
              <w:rPr>
                <w:sz w:val="20"/>
                <w:szCs w:val="20"/>
                <w:color w:val="auto"/>
              </w:rPr>
            </w:pPr>
            <w:r>
              <w:rPr>
                <w:rFonts w:ascii="Times New Roman" w:cs="Times New Roman" w:eastAsia="Times New Roman" w:hAnsi="Times New Roman"/>
                <w:sz w:val="10"/>
                <w:szCs w:val="10"/>
                <w:color w:val="auto"/>
              </w:rPr>
              <w:t>Income (loss) from operations</w:t>
            </w:r>
          </w:p>
        </w:tc>
        <w:tc>
          <w:tcPr>
            <w:tcW w:w="6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23,035</w:t>
            </w: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(6,428)</w:t>
            </w: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color w:val="auto"/>
              </w:rPr>
              <w:t>29,463</w:t>
            </w: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43,989</w:t>
            </w: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(8,784)</w:t>
            </w: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52,773</w:t>
            </w:r>
          </w:p>
        </w:tc>
        <w:tc>
          <w:tcPr>
            <w:tcW w:w="0" w:type="dxa"/>
            <w:vAlign w:val="bottom"/>
          </w:tcPr>
          <w:p>
            <w:pPr>
              <w:spacing w:after="0"/>
              <w:rPr>
                <w:sz w:val="1"/>
                <w:szCs w:val="1"/>
                <w:color w:val="auto"/>
              </w:rPr>
            </w:pPr>
          </w:p>
        </w:tc>
      </w:tr>
      <w:tr>
        <w:trPr>
          <w:trHeight w:val="130"/>
        </w:trPr>
        <w:tc>
          <w:tcPr>
            <w:tcW w:w="2340" w:type="dxa"/>
            <w:vAlign w:val="bottom"/>
            <w:shd w:val="clear" w:color="auto" w:fill="CCEEFF"/>
          </w:tcPr>
          <w:p>
            <w:pPr>
              <w:ind w:left="220"/>
              <w:spacing w:after="0" w:line="110" w:lineRule="exact"/>
              <w:rPr>
                <w:sz w:val="20"/>
                <w:szCs w:val="20"/>
                <w:color w:val="auto"/>
              </w:rPr>
            </w:pPr>
            <w:r>
              <w:rPr>
                <w:rFonts w:ascii="Times New Roman" w:cs="Times New Roman" w:eastAsia="Times New Roman" w:hAnsi="Times New Roman"/>
                <w:sz w:val="10"/>
                <w:szCs w:val="10"/>
                <w:color w:val="auto"/>
              </w:rPr>
              <w:t>Unrealized gain (loss) on short-term investments</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(2,849)</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(2,849)</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2,124</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2,124</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Net income (loss) attributable to ACM Research, Inc.</w:t>
            </w:r>
          </w:p>
        </w:tc>
        <w:tc>
          <w:tcPr>
            <w:tcW w:w="24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8,049</w:t>
            </w:r>
          </w:p>
        </w:tc>
        <w:tc>
          <w:tcPr>
            <w:tcW w:w="60" w:type="dxa"/>
            <w:vAlign w:val="bottom"/>
          </w:tcPr>
          <w:p>
            <w:pPr>
              <w:spacing w:after="0"/>
              <w:rPr>
                <w:sz w:val="14"/>
                <w:szCs w:val="14"/>
                <w:color w:val="auto"/>
              </w:rPr>
            </w:pPr>
          </w:p>
        </w:tc>
        <w:tc>
          <w:tcPr>
            <w:tcW w:w="28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(6,428)</w:t>
            </w:r>
          </w:p>
        </w:tc>
        <w:tc>
          <w:tcPr>
            <w:tcW w:w="80" w:type="dxa"/>
            <w:vAlign w:val="bottom"/>
          </w:tcPr>
          <w:p>
            <w:pPr>
              <w:spacing w:after="0"/>
              <w:rPr>
                <w:sz w:val="14"/>
                <w:szCs w:val="14"/>
                <w:color w:val="auto"/>
              </w:rPr>
            </w:pPr>
          </w:p>
        </w:tc>
        <w:tc>
          <w:tcPr>
            <w:tcW w:w="160" w:type="dxa"/>
            <w:vAlign w:val="bottom"/>
            <w:gridSpan w:val="2"/>
          </w:tcPr>
          <w:p>
            <w:pPr>
              <w:jc w:val="center"/>
              <w:ind w:left="12"/>
              <w:spacing w:after="0"/>
              <w:rPr>
                <w:sz w:val="20"/>
                <w:szCs w:val="20"/>
                <w:color w:val="auto"/>
              </w:rPr>
            </w:pPr>
            <w:r>
              <w:rPr>
                <w:rFonts w:ascii="Times New Roman" w:cs="Times New Roman" w:eastAsia="Times New Roman" w:hAnsi="Times New Roman"/>
                <w:sz w:val="10"/>
                <w:szCs w:val="10"/>
                <w:b w:val="1"/>
                <w:bCs w:val="1"/>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(2,849)</w:t>
            </w:r>
          </w:p>
        </w:tc>
        <w:tc>
          <w:tcPr>
            <w:tcW w:w="220" w:type="dxa"/>
            <w:vAlign w:val="bottom"/>
            <w:gridSpan w:val="3"/>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17,326</w:t>
            </w:r>
          </w:p>
        </w:tc>
        <w:tc>
          <w:tcPr>
            <w:tcW w:w="40" w:type="dxa"/>
            <w:vAlign w:val="bottom"/>
          </w:tcPr>
          <w:p>
            <w:pPr>
              <w:spacing w:after="0"/>
              <w:rPr>
                <w:sz w:val="14"/>
                <w:szCs w:val="14"/>
                <w:color w:val="auto"/>
              </w:rPr>
            </w:pPr>
          </w:p>
        </w:tc>
        <w:tc>
          <w:tcPr>
            <w:tcW w:w="340" w:type="dxa"/>
            <w:vAlign w:val="bottom"/>
            <w:gridSpan w:val="3"/>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31,080</w:t>
            </w:r>
          </w:p>
        </w:tc>
        <w:tc>
          <w:tcPr>
            <w:tcW w:w="60" w:type="dxa"/>
            <w:vAlign w:val="bottom"/>
          </w:tcPr>
          <w:p>
            <w:pPr>
              <w:spacing w:after="0"/>
              <w:rPr>
                <w:sz w:val="14"/>
                <w:szCs w:val="14"/>
                <w:color w:val="auto"/>
              </w:rPr>
            </w:pPr>
          </w:p>
        </w:tc>
        <w:tc>
          <w:tcPr>
            <w:tcW w:w="280" w:type="dxa"/>
            <w:vAlign w:val="bottom"/>
            <w:gridSpan w:val="3"/>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(8,784)</w:t>
            </w:r>
          </w:p>
        </w:tc>
        <w:tc>
          <w:tcPr>
            <w:tcW w:w="40" w:type="dxa"/>
            <w:vAlign w:val="bottom"/>
          </w:tcPr>
          <w:p>
            <w:pPr>
              <w:spacing w:after="0"/>
              <w:rPr>
                <w:sz w:val="14"/>
                <w:szCs w:val="14"/>
                <w:color w:val="auto"/>
              </w:rPr>
            </w:pPr>
          </w:p>
        </w:tc>
        <w:tc>
          <w:tcPr>
            <w:tcW w:w="160" w:type="dxa"/>
            <w:vAlign w:val="bottom"/>
            <w:gridSpan w:val="4"/>
          </w:tcPr>
          <w:p>
            <w:pPr>
              <w:jc w:val="center"/>
              <w:ind w:left="52"/>
              <w:spacing w:after="0"/>
              <w:rPr>
                <w:sz w:val="20"/>
                <w:szCs w:val="20"/>
                <w:color w:val="auto"/>
              </w:rPr>
            </w:pPr>
            <w:r>
              <w:rPr>
                <w:rFonts w:ascii="Times New Roman" w:cs="Times New Roman" w:eastAsia="Times New Roman" w:hAnsi="Times New Roman"/>
                <w:sz w:val="10"/>
                <w:szCs w:val="10"/>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2,124</w:t>
            </w:r>
          </w:p>
        </w:tc>
        <w:tc>
          <w:tcPr>
            <w:tcW w:w="80" w:type="dxa"/>
            <w:vAlign w:val="bottom"/>
          </w:tcPr>
          <w:p>
            <w:pPr>
              <w:spacing w:after="0"/>
              <w:rPr>
                <w:sz w:val="14"/>
                <w:szCs w:val="14"/>
                <w:color w:val="auto"/>
              </w:rPr>
            </w:pPr>
          </w:p>
        </w:tc>
        <w:tc>
          <w:tcPr>
            <w:tcW w:w="160" w:type="dxa"/>
            <w:vAlign w:val="bottom"/>
            <w:gridSpan w:val="2"/>
          </w:tcPr>
          <w:p>
            <w:pPr>
              <w:jc w:val="right"/>
              <w:ind w:right="7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37,740</w:t>
            </w:r>
          </w:p>
        </w:tc>
        <w:tc>
          <w:tcPr>
            <w:tcW w:w="0" w:type="dxa"/>
            <w:vAlign w:val="bottom"/>
          </w:tcPr>
          <w:p>
            <w:pPr>
              <w:spacing w:after="0"/>
              <w:rPr>
                <w:sz w:val="1"/>
                <w:szCs w:val="1"/>
                <w:color w:val="auto"/>
              </w:rPr>
            </w:pPr>
          </w:p>
        </w:tc>
      </w:tr>
      <w:tr>
        <w:trPr>
          <w:trHeight w:val="133"/>
        </w:trPr>
        <w:tc>
          <w:tcPr>
            <w:tcW w:w="2340" w:type="dxa"/>
            <w:vAlign w:val="bottom"/>
            <w:tcBorders>
              <w:top w:val="single" w:sz="8" w:color="CCEEFF"/>
            </w:tcBorders>
            <w:shd w:val="clear" w:color="auto" w:fill="CCEEFF"/>
          </w:tcPr>
          <w:p>
            <w:pPr>
              <w:ind w:left="120"/>
              <w:spacing w:after="0" w:line="104" w:lineRule="exact"/>
              <w:rPr>
                <w:sz w:val="20"/>
                <w:szCs w:val="20"/>
                <w:color w:val="auto"/>
              </w:rPr>
            </w:pPr>
            <w:r>
              <w:rPr>
                <w:rFonts w:ascii="Times New Roman" w:cs="Times New Roman" w:eastAsia="Times New Roman" w:hAnsi="Times New Roman"/>
                <w:sz w:val="10"/>
                <w:szCs w:val="10"/>
                <w:color w:val="auto"/>
              </w:rPr>
              <w:t>Basic EPS</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0.12</w:t>
            </w:r>
          </w:p>
        </w:tc>
        <w:tc>
          <w:tcPr>
            <w:tcW w:w="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0.27</w:t>
            </w:r>
          </w:p>
        </w:tc>
        <w:tc>
          <w:tcPr>
            <w:tcW w:w="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0.49</w:t>
            </w:r>
          </w:p>
        </w:tc>
        <w:tc>
          <w:tcPr>
            <w:tcW w:w="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0.60</w:t>
            </w:r>
          </w:p>
        </w:tc>
        <w:tc>
          <w:tcPr>
            <w:tcW w:w="0" w:type="dxa"/>
            <w:vAlign w:val="bottom"/>
          </w:tcPr>
          <w:p>
            <w:pPr>
              <w:spacing w:after="0"/>
              <w:rPr>
                <w:sz w:val="1"/>
                <w:szCs w:val="1"/>
                <w:color w:val="auto"/>
              </w:rPr>
            </w:pPr>
          </w:p>
        </w:tc>
      </w:tr>
      <w:tr>
        <w:trPr>
          <w:trHeight w:val="123"/>
        </w:trPr>
        <w:tc>
          <w:tcPr>
            <w:tcW w:w="2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Diluted EPS</w:t>
            </w:r>
          </w:p>
        </w:tc>
        <w:tc>
          <w:tcPr>
            <w:tcW w:w="24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0.11</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gridSpan w:val="3"/>
          </w:tcPr>
          <w:p>
            <w:pPr>
              <w:jc w:val="right"/>
              <w:ind w:right="3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0.25</w:t>
            </w:r>
          </w:p>
        </w:tc>
        <w:tc>
          <w:tcPr>
            <w:tcW w:w="40" w:type="dxa"/>
            <w:vAlign w:val="bottom"/>
          </w:tcPr>
          <w:p>
            <w:pPr>
              <w:spacing w:after="0"/>
              <w:rPr>
                <w:sz w:val="10"/>
                <w:szCs w:val="10"/>
                <w:color w:val="auto"/>
              </w:rPr>
            </w:pPr>
          </w:p>
        </w:tc>
        <w:tc>
          <w:tcPr>
            <w:tcW w:w="340" w:type="dxa"/>
            <w:vAlign w:val="bottom"/>
            <w:gridSpan w:val="3"/>
          </w:tcPr>
          <w:p>
            <w:pPr>
              <w:jc w:val="right"/>
              <w:ind w:right="15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0.46</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gridSpan w:val="2"/>
          </w:tcPr>
          <w:p>
            <w:pPr>
              <w:jc w:val="right"/>
              <w:ind w:right="76"/>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0.56</w:t>
            </w:r>
          </w:p>
        </w:tc>
        <w:tc>
          <w:tcPr>
            <w:tcW w:w="0" w:type="dxa"/>
            <w:vAlign w:val="bottom"/>
          </w:tcPr>
          <w:p>
            <w:pPr>
              <w:spacing w:after="0"/>
              <w:rPr>
                <w:sz w:val="1"/>
                <w:szCs w:val="1"/>
                <w:color w:val="auto"/>
              </w:rPr>
            </w:pPr>
          </w:p>
        </w:tc>
      </w:tr>
      <w:tr>
        <w:trPr>
          <w:trHeight w:val="363"/>
        </w:trPr>
        <w:tc>
          <w:tcPr>
            <w:tcW w:w="23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7"/>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w w:val="96"/>
              </w:rPr>
              <w:t>Year Ended December 31,</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3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5"/>
          </w:tcPr>
          <w:p>
            <w:pPr>
              <w:jc w:val="right"/>
              <w:ind w:right="952"/>
              <w:spacing w:after="0"/>
              <w:rPr>
                <w:sz w:val="20"/>
                <w:szCs w:val="20"/>
                <w:color w:val="auto"/>
              </w:rPr>
            </w:pPr>
            <w:r>
              <w:rPr>
                <w:rFonts w:ascii="Times New Roman" w:cs="Times New Roman" w:eastAsia="Times New Roman" w:hAnsi="Times New Roman"/>
                <w:sz w:val="10"/>
                <w:szCs w:val="10"/>
                <w:b w:val="1"/>
                <w:bCs w:val="1"/>
                <w:color w:val="auto"/>
                <w:w w:val="89"/>
              </w:rPr>
              <w:t>2024</w:t>
            </w: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gridSpan w:val="2"/>
          </w:tcPr>
          <w:p>
            <w:pPr>
              <w:jc w:val="right"/>
              <w:ind w:right="460"/>
              <w:spacing w:after="0" w:line="104" w:lineRule="exact"/>
              <w:rPr>
                <w:sz w:val="20"/>
                <w:szCs w:val="20"/>
                <w:color w:val="auto"/>
              </w:rPr>
            </w:pPr>
            <w:r>
              <w:rPr>
                <w:rFonts w:ascii="Times New Roman" w:cs="Times New Roman" w:eastAsia="Times New Roman" w:hAnsi="Times New Roman"/>
                <w:sz w:val="10"/>
                <w:szCs w:val="10"/>
                <w:b w:val="1"/>
                <w:bCs w:val="1"/>
                <w:color w:val="auto"/>
              </w:rPr>
              <w:t>Actual</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SBC</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tcPr>
          <w:p>
            <w:pPr>
              <w:jc w:val="center"/>
              <w:ind w:right="200"/>
              <w:spacing w:after="0" w:line="104" w:lineRule="exact"/>
              <w:rPr>
                <w:sz w:val="20"/>
                <w:szCs w:val="20"/>
                <w:color w:val="auto"/>
              </w:rPr>
            </w:pPr>
            <w:r>
              <w:rPr>
                <w:rFonts w:ascii="Times New Roman" w:cs="Times New Roman" w:eastAsia="Times New Roman" w:hAnsi="Times New Roman"/>
                <w:sz w:val="10"/>
                <w:szCs w:val="10"/>
                <w:b w:val="1"/>
                <w:bCs w:val="1"/>
                <w:color w:val="auto"/>
                <w:w w:val="96"/>
              </w:rPr>
              <w:t>Other non-</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gridSpan w:val="2"/>
          </w:tcPr>
          <w:p>
            <w:pPr>
              <w:jc w:val="right"/>
              <w:ind w:right="380"/>
              <w:spacing w:after="0" w:line="104" w:lineRule="exact"/>
              <w:rPr>
                <w:sz w:val="20"/>
                <w:szCs w:val="20"/>
                <w:color w:val="auto"/>
              </w:rPr>
            </w:pPr>
            <w:r>
              <w:rPr>
                <w:rFonts w:ascii="Times New Roman" w:cs="Times New Roman" w:eastAsia="Times New Roman" w:hAnsi="Times New Roman"/>
                <w:sz w:val="10"/>
                <w:szCs w:val="10"/>
                <w:b w:val="1"/>
                <w:bCs w:val="1"/>
                <w:color w:val="auto"/>
              </w:rPr>
              <w:t>Adjusted</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gridSpan w:val="2"/>
          </w:tcPr>
          <w:p>
            <w:pPr>
              <w:jc w:val="right"/>
              <w:ind w:right="460"/>
              <w:spacing w:after="0" w:line="104" w:lineRule="exact"/>
              <w:rPr>
                <w:sz w:val="20"/>
                <w:szCs w:val="20"/>
                <w:color w:val="auto"/>
              </w:rPr>
            </w:pPr>
            <w:r>
              <w:rPr>
                <w:rFonts w:ascii="Times New Roman" w:cs="Times New Roman" w:eastAsia="Times New Roman" w:hAnsi="Times New Roman"/>
                <w:sz w:val="10"/>
                <w:szCs w:val="10"/>
                <w:b w:val="1"/>
                <w:bCs w:val="1"/>
                <w:color w:val="auto"/>
              </w:rPr>
              <w:t>Actual</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SBC</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20" w:type="dxa"/>
            <w:vAlign w:val="bottom"/>
            <w:gridSpan w:val="2"/>
          </w:tcPr>
          <w:p>
            <w:pPr>
              <w:jc w:val="center"/>
              <w:ind w:right="220"/>
              <w:spacing w:after="0" w:line="104" w:lineRule="exact"/>
              <w:rPr>
                <w:sz w:val="20"/>
                <w:szCs w:val="20"/>
                <w:color w:val="auto"/>
              </w:rPr>
            </w:pPr>
            <w:r>
              <w:rPr>
                <w:rFonts w:ascii="Times New Roman" w:cs="Times New Roman" w:eastAsia="Times New Roman" w:hAnsi="Times New Roman"/>
                <w:sz w:val="10"/>
                <w:szCs w:val="10"/>
                <w:b w:val="1"/>
                <w:bCs w:val="1"/>
                <w:color w:val="auto"/>
                <w:w w:val="96"/>
              </w:rPr>
              <w:t>Other non-</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jc w:val="center"/>
              <w:ind w:right="112"/>
              <w:spacing w:after="0" w:line="104" w:lineRule="exact"/>
              <w:rPr>
                <w:sz w:val="20"/>
                <w:szCs w:val="20"/>
                <w:color w:val="auto"/>
              </w:rPr>
            </w:pPr>
            <w:r>
              <w:rPr>
                <w:rFonts w:ascii="Times New Roman" w:cs="Times New Roman" w:eastAsia="Times New Roman" w:hAnsi="Times New Roman"/>
                <w:sz w:val="10"/>
                <w:szCs w:val="10"/>
                <w:b w:val="1"/>
                <w:bCs w:val="1"/>
                <w:color w:val="auto"/>
                <w:w w:val="97"/>
              </w:rPr>
              <w:t>Adjusted</w:t>
            </w:r>
          </w:p>
        </w:tc>
        <w:tc>
          <w:tcPr>
            <w:tcW w:w="0" w:type="dxa"/>
            <w:vAlign w:val="bottom"/>
          </w:tcPr>
          <w:p>
            <w:pPr>
              <w:spacing w:after="0"/>
              <w:rPr>
                <w:sz w:val="1"/>
                <w:szCs w:val="1"/>
                <w:color w:val="auto"/>
              </w:rPr>
            </w:pPr>
          </w:p>
        </w:tc>
      </w:tr>
      <w:tr>
        <w:trPr>
          <w:trHeight w:val="71"/>
        </w:trPr>
        <w:tc>
          <w:tcPr>
            <w:tcW w:w="2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(GAAP)</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operating adjustments</w:t>
            </w: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0"/>
                <w:szCs w:val="10"/>
                <w:b w:val="1"/>
                <w:bCs w:val="1"/>
                <w:color w:val="auto"/>
              </w:rPr>
              <w:t>(Non-GAAP)</w:t>
            </w: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0"/>
                <w:szCs w:val="10"/>
                <w:b w:val="1"/>
                <w:bCs w:val="1"/>
                <w:color w:val="auto"/>
              </w:rPr>
              <w:t>(GAAP)</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5"/>
              </w:rPr>
              <w:t>operating adjustments</w:t>
            </w: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vMerge w:val="restart"/>
          </w:tcPr>
          <w:p>
            <w:pPr>
              <w:jc w:val="center"/>
              <w:ind w:right="112"/>
              <w:spacing w:after="0"/>
              <w:rPr>
                <w:sz w:val="20"/>
                <w:szCs w:val="20"/>
                <w:color w:val="auto"/>
              </w:rPr>
            </w:pPr>
            <w:r>
              <w:rPr>
                <w:rFonts w:ascii="Times New Roman" w:cs="Times New Roman" w:eastAsia="Times New Roman" w:hAnsi="Times New Roman"/>
                <w:sz w:val="10"/>
                <w:szCs w:val="10"/>
                <w:b w:val="1"/>
                <w:bCs w:val="1"/>
                <w:color w:val="auto"/>
                <w:w w:val="96"/>
              </w:rPr>
              <w:t>(Non-GAAP)</w:t>
            </w:r>
          </w:p>
        </w:tc>
        <w:tc>
          <w:tcPr>
            <w:tcW w:w="0" w:type="dxa"/>
            <w:vAlign w:val="bottom"/>
          </w:tcPr>
          <w:p>
            <w:pPr>
              <w:spacing w:after="0"/>
              <w:rPr>
                <w:sz w:val="1"/>
                <w:szCs w:val="1"/>
                <w:color w:val="auto"/>
              </w:rPr>
            </w:pPr>
          </w:p>
        </w:tc>
      </w:tr>
      <w:tr>
        <w:trPr>
          <w:trHeight w:val="54"/>
        </w:trPr>
        <w:tc>
          <w:tcPr>
            <w:tcW w:w="2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5"/>
        </w:trPr>
        <w:tc>
          <w:tcPr>
            <w:tcW w:w="2340" w:type="dxa"/>
            <w:vAlign w:val="bottom"/>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5"/>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4"/>
        </w:trPr>
        <w:tc>
          <w:tcPr>
            <w:tcW w:w="2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5"/>
          </w:tcPr>
          <w:p>
            <w:pPr>
              <w:jc w:val="center"/>
              <w:ind w:left="572"/>
              <w:spacing w:after="0"/>
              <w:rPr>
                <w:sz w:val="20"/>
                <w:szCs w:val="20"/>
                <w:color w:val="auto"/>
              </w:rPr>
            </w:pPr>
            <w:r>
              <w:rPr>
                <w:rFonts w:ascii="Times New Roman" w:cs="Times New Roman" w:eastAsia="Times New Roman" w:hAnsi="Times New Roman"/>
                <w:sz w:val="10"/>
                <w:szCs w:val="10"/>
                <w:i w:val="1"/>
                <w:iCs w:val="1"/>
                <w:color w:val="auto"/>
                <w:w w:val="98"/>
              </w:rPr>
              <w:t>(Unaudited)</w:t>
            </w: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3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gridSpan w:val="7"/>
          </w:tcPr>
          <w:p>
            <w:pPr>
              <w:jc w:val="center"/>
              <w:ind w:right="180"/>
              <w:spacing w:after="0"/>
              <w:rPr>
                <w:sz w:val="20"/>
                <w:szCs w:val="20"/>
                <w:color w:val="auto"/>
              </w:rPr>
            </w:pPr>
            <w:r>
              <w:rPr>
                <w:rFonts w:ascii="Times New Roman" w:cs="Times New Roman" w:eastAsia="Times New Roman" w:hAnsi="Times New Roman"/>
                <w:sz w:val="10"/>
                <w:szCs w:val="10"/>
                <w:i w:val="1"/>
                <w:iCs w:val="1"/>
                <w:color w:val="auto"/>
                <w:w w:val="95"/>
              </w:rPr>
              <w:t>(In thousands except per share data)</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340" w:type="dxa"/>
            <w:vAlign w:val="bottom"/>
            <w:shd w:val="clear" w:color="auto" w:fill="CCEEFF"/>
          </w:tcPr>
          <w:p>
            <w:pPr>
              <w:ind w:left="60"/>
              <w:spacing w:after="0" w:line="112" w:lineRule="exact"/>
              <w:rPr>
                <w:sz w:val="20"/>
                <w:szCs w:val="20"/>
                <w:color w:val="auto"/>
              </w:rPr>
            </w:pPr>
            <w:r>
              <w:rPr>
                <w:rFonts w:ascii="Times New Roman" w:cs="Times New Roman" w:eastAsia="Times New Roman" w:hAnsi="Times New Roman"/>
                <w:sz w:val="10"/>
                <w:szCs w:val="10"/>
                <w:color w:val="auto"/>
              </w:rPr>
              <w:t>Revenue</w:t>
            </w:r>
          </w:p>
        </w:tc>
        <w:tc>
          <w:tcPr>
            <w:tcW w:w="24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901,309</w:t>
            </w:r>
          </w:p>
        </w:tc>
        <w:tc>
          <w:tcPr>
            <w:tcW w:w="60" w:type="dxa"/>
            <w:vAlign w:val="bottom"/>
            <w:shd w:val="clear" w:color="auto" w:fill="CCEEFF"/>
          </w:tcPr>
          <w:p>
            <w:pPr>
              <w:spacing w:after="0"/>
              <w:rPr>
                <w:sz w:val="11"/>
                <w:szCs w:val="11"/>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gridSpan w:val="3"/>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901,309</w:t>
            </w:r>
          </w:p>
        </w:tc>
        <w:tc>
          <w:tcPr>
            <w:tcW w:w="40" w:type="dxa"/>
            <w:vAlign w:val="bottom"/>
            <w:shd w:val="clear" w:color="auto" w:fill="CCEEFF"/>
          </w:tcPr>
          <w:p>
            <w:pPr>
              <w:spacing w:after="0"/>
              <w:rPr>
                <w:sz w:val="11"/>
                <w:szCs w:val="11"/>
                <w:color w:val="auto"/>
              </w:rPr>
            </w:pPr>
          </w:p>
        </w:tc>
        <w:tc>
          <w:tcPr>
            <w:tcW w:w="340" w:type="dxa"/>
            <w:vAlign w:val="bottom"/>
            <w:gridSpan w:val="3"/>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782,118</w:t>
            </w:r>
          </w:p>
        </w:tc>
        <w:tc>
          <w:tcPr>
            <w:tcW w:w="60" w:type="dxa"/>
            <w:vAlign w:val="bottom"/>
            <w:shd w:val="clear" w:color="auto" w:fill="CCEEFF"/>
          </w:tcPr>
          <w:p>
            <w:pPr>
              <w:spacing w:after="0"/>
              <w:rPr>
                <w:sz w:val="11"/>
                <w:szCs w:val="11"/>
                <w:color w:val="auto"/>
              </w:rPr>
            </w:pPr>
          </w:p>
        </w:tc>
        <w:tc>
          <w:tcPr>
            <w:tcW w:w="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782,118</w:t>
            </w:r>
          </w:p>
        </w:tc>
        <w:tc>
          <w:tcPr>
            <w:tcW w:w="0" w:type="dxa"/>
            <w:vAlign w:val="bottom"/>
          </w:tcPr>
          <w:p>
            <w:pPr>
              <w:spacing w:after="0"/>
              <w:rPr>
                <w:sz w:val="1"/>
                <w:szCs w:val="1"/>
                <w:color w:val="auto"/>
              </w:rPr>
            </w:pPr>
          </w:p>
        </w:tc>
      </w:tr>
      <w:tr>
        <w:trPr>
          <w:trHeight w:val="129"/>
        </w:trPr>
        <w:tc>
          <w:tcPr>
            <w:tcW w:w="234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Cost of revenue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(501,242)</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(1,343)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(499,899)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(390,564)</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(2,385)</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(388,179)</w:t>
            </w:r>
          </w:p>
        </w:tc>
        <w:tc>
          <w:tcPr>
            <w:tcW w:w="0" w:type="dxa"/>
            <w:vAlign w:val="bottom"/>
          </w:tcPr>
          <w:p>
            <w:pPr>
              <w:spacing w:after="0"/>
              <w:rPr>
                <w:sz w:val="1"/>
                <w:szCs w:val="1"/>
                <w:color w:val="auto"/>
              </w:rPr>
            </w:pPr>
          </w:p>
        </w:tc>
      </w:tr>
      <w:tr>
        <w:trPr>
          <w:trHeight w:val="130"/>
        </w:trPr>
        <w:tc>
          <w:tcPr>
            <w:tcW w:w="2340" w:type="dxa"/>
            <w:vAlign w:val="bottom"/>
            <w:tcBorders>
              <w:top w:val="single" w:sz="8" w:color="CCEEFF"/>
            </w:tcBorders>
            <w:shd w:val="clear" w:color="auto" w:fill="CCEEFF"/>
          </w:tcPr>
          <w:p>
            <w:pPr>
              <w:ind w:left="220"/>
              <w:spacing w:after="0" w:line="110" w:lineRule="exact"/>
              <w:rPr>
                <w:sz w:val="20"/>
                <w:szCs w:val="20"/>
                <w:color w:val="auto"/>
              </w:rPr>
            </w:pPr>
            <w:r>
              <w:rPr>
                <w:rFonts w:ascii="Times New Roman" w:cs="Times New Roman" w:eastAsia="Times New Roman" w:hAnsi="Times New Roman"/>
                <w:sz w:val="10"/>
                <w:szCs w:val="10"/>
                <w:color w:val="auto"/>
              </w:rPr>
              <w:t>Gross profit</w:t>
            </w: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400,067</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(1,343)</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100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401,410</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391,554</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(2,385)</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10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393,939</w:t>
            </w:r>
          </w:p>
        </w:tc>
        <w:tc>
          <w:tcPr>
            <w:tcW w:w="0" w:type="dxa"/>
            <w:vAlign w:val="bottom"/>
          </w:tcPr>
          <w:p>
            <w:pPr>
              <w:spacing w:after="0"/>
              <w:rPr>
                <w:sz w:val="1"/>
                <w:szCs w:val="1"/>
                <w:color w:val="auto"/>
              </w:rPr>
            </w:pPr>
          </w:p>
        </w:tc>
      </w:tr>
      <w:tr>
        <w:trPr>
          <w:trHeight w:val="118"/>
        </w:trPr>
        <w:tc>
          <w:tcPr>
            <w:tcW w:w="2340" w:type="dxa"/>
            <w:vAlign w:val="bottom"/>
          </w:tcPr>
          <w:p>
            <w:pPr>
              <w:ind w:left="220"/>
              <w:spacing w:after="0" w:line="104" w:lineRule="exact"/>
              <w:rPr>
                <w:sz w:val="20"/>
                <w:szCs w:val="20"/>
                <w:color w:val="auto"/>
              </w:rPr>
            </w:pPr>
            <w:r>
              <w:rPr>
                <w:rFonts w:ascii="Times New Roman" w:cs="Times New Roman" w:eastAsia="Times New Roman" w:hAnsi="Times New Roman"/>
                <w:sz w:val="10"/>
                <w:szCs w:val="10"/>
                <w:color w:val="auto"/>
              </w:rPr>
              <w:t>Gross margin</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44.4 %</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0.1 %</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44.5 %</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50.1 %</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0.3 %</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50.4 %</w:t>
            </w:r>
          </w:p>
        </w:tc>
        <w:tc>
          <w:tcPr>
            <w:tcW w:w="0" w:type="dxa"/>
            <w:vAlign w:val="bottom"/>
          </w:tcPr>
          <w:p>
            <w:pPr>
              <w:spacing w:after="0"/>
              <w:rPr>
                <w:sz w:val="1"/>
                <w:szCs w:val="1"/>
                <w:color w:val="auto"/>
              </w:rPr>
            </w:pPr>
          </w:p>
        </w:tc>
      </w:tr>
      <w:tr>
        <w:trPr>
          <w:trHeight w:val="141"/>
        </w:trPr>
        <w:tc>
          <w:tcPr>
            <w:tcW w:w="2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Operating expenses:</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34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Sales and marketing</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(76,899)</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(6,629)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(70,270)</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(65,447)</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(10,552)</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(54,895)</w:t>
            </w:r>
          </w:p>
        </w:tc>
        <w:tc>
          <w:tcPr>
            <w:tcW w:w="0" w:type="dxa"/>
            <w:vAlign w:val="bottom"/>
          </w:tcPr>
          <w:p>
            <w:pPr>
              <w:spacing w:after="0"/>
              <w:rPr>
                <w:sz w:val="1"/>
                <w:szCs w:val="1"/>
                <w:color w:val="auto"/>
              </w:rPr>
            </w:pPr>
          </w:p>
        </w:tc>
      </w:tr>
      <w:tr>
        <w:trPr>
          <w:trHeight w:val="141"/>
        </w:trPr>
        <w:tc>
          <w:tcPr>
            <w:tcW w:w="2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Research and development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(144,989)</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(8,783)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(136,206)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(105,473)</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(14,112)</w:t>
            </w: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(91,361)</w:t>
            </w:r>
          </w:p>
        </w:tc>
        <w:tc>
          <w:tcPr>
            <w:tcW w:w="0" w:type="dxa"/>
            <w:vAlign w:val="bottom"/>
          </w:tcPr>
          <w:p>
            <w:pPr>
              <w:spacing w:after="0"/>
              <w:rPr>
                <w:sz w:val="1"/>
                <w:szCs w:val="1"/>
                <w:color w:val="auto"/>
              </w:rPr>
            </w:pPr>
          </w:p>
        </w:tc>
      </w:tr>
      <w:tr>
        <w:trPr>
          <w:trHeight w:val="129"/>
        </w:trPr>
        <w:tc>
          <w:tcPr>
            <w:tcW w:w="234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General and administrative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(68,750)</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(16,822)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(51,928)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(69,636)</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(22,527)</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(47,109)</w:t>
            </w:r>
          </w:p>
        </w:tc>
        <w:tc>
          <w:tcPr>
            <w:tcW w:w="0" w:type="dxa"/>
            <w:vAlign w:val="bottom"/>
          </w:tcPr>
          <w:p>
            <w:pPr>
              <w:spacing w:after="0"/>
              <w:rPr>
                <w:sz w:val="1"/>
                <w:szCs w:val="1"/>
                <w:color w:val="auto"/>
              </w:rPr>
            </w:pPr>
          </w:p>
        </w:tc>
      </w:tr>
      <w:tr>
        <w:trPr>
          <w:trHeight w:val="130"/>
        </w:trPr>
        <w:tc>
          <w:tcPr>
            <w:tcW w:w="2340" w:type="dxa"/>
            <w:vAlign w:val="bottom"/>
            <w:tcBorders>
              <w:top w:val="single" w:sz="8" w:color="CCEEFF"/>
            </w:tcBorders>
            <w:shd w:val="clear" w:color="auto" w:fill="CCEEFF"/>
          </w:tcPr>
          <w:p>
            <w:pPr>
              <w:ind w:left="220"/>
              <w:spacing w:after="0" w:line="110" w:lineRule="exact"/>
              <w:rPr>
                <w:sz w:val="20"/>
                <w:szCs w:val="20"/>
                <w:color w:val="auto"/>
              </w:rPr>
            </w:pPr>
            <w:r>
              <w:rPr>
                <w:rFonts w:ascii="Times New Roman" w:cs="Times New Roman" w:eastAsia="Times New Roman" w:hAnsi="Times New Roman"/>
                <w:sz w:val="10"/>
                <w:szCs w:val="10"/>
                <w:color w:val="auto"/>
              </w:rPr>
              <w:t>Total operating expenses</w:t>
            </w: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(290,638)</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(32,234)</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100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(258,404)</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bottom w:val="single" w:sz="8" w:color="auto"/>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(240,556)</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(47,191)</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10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(193,365)</w:t>
            </w:r>
          </w:p>
        </w:tc>
        <w:tc>
          <w:tcPr>
            <w:tcW w:w="0" w:type="dxa"/>
            <w:vAlign w:val="bottom"/>
          </w:tcPr>
          <w:p>
            <w:pPr>
              <w:spacing w:after="0"/>
              <w:rPr>
                <w:sz w:val="1"/>
                <w:szCs w:val="1"/>
                <w:color w:val="auto"/>
              </w:rPr>
            </w:pPr>
          </w:p>
        </w:tc>
      </w:tr>
      <w:tr>
        <w:trPr>
          <w:trHeight w:val="118"/>
        </w:trPr>
        <w:tc>
          <w:tcPr>
            <w:tcW w:w="2340" w:type="dxa"/>
            <w:vAlign w:val="bottom"/>
            <w:tcBorders>
              <w:bottom w:val="single" w:sz="8" w:color="CCEEFF"/>
            </w:tcBorders>
          </w:tcPr>
          <w:p>
            <w:pPr>
              <w:ind w:left="60"/>
              <w:spacing w:after="0" w:line="104" w:lineRule="exact"/>
              <w:rPr>
                <w:sz w:val="20"/>
                <w:szCs w:val="20"/>
                <w:color w:val="auto"/>
              </w:rPr>
            </w:pPr>
            <w:r>
              <w:rPr>
                <w:rFonts w:ascii="Times New Roman" w:cs="Times New Roman" w:eastAsia="Times New Roman" w:hAnsi="Times New Roman"/>
                <w:sz w:val="10"/>
                <w:szCs w:val="10"/>
                <w:color w:val="auto"/>
              </w:rPr>
              <w:t>Income (loss) from operations</w:t>
            </w: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109,429</w:t>
            </w: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(33,577)</w:t>
            </w: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143,006</w:t>
            </w: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150,998</w:t>
            </w: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(49,576)</w:t>
            </w:r>
          </w:p>
        </w:tc>
        <w:tc>
          <w:tcPr>
            <w:tcW w:w="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200,574</w:t>
            </w:r>
          </w:p>
        </w:tc>
        <w:tc>
          <w:tcPr>
            <w:tcW w:w="0" w:type="dxa"/>
            <w:vAlign w:val="bottom"/>
          </w:tcPr>
          <w:p>
            <w:pPr>
              <w:spacing w:after="0"/>
              <w:rPr>
                <w:sz w:val="1"/>
                <w:szCs w:val="1"/>
                <w:color w:val="auto"/>
              </w:rPr>
            </w:pPr>
          </w:p>
        </w:tc>
      </w:tr>
      <w:tr>
        <w:trPr>
          <w:trHeight w:val="130"/>
        </w:trPr>
        <w:tc>
          <w:tcPr>
            <w:tcW w:w="2340" w:type="dxa"/>
            <w:vAlign w:val="bottom"/>
            <w:shd w:val="clear" w:color="auto" w:fill="CCEEFF"/>
          </w:tcPr>
          <w:p>
            <w:pPr>
              <w:ind w:left="220"/>
              <w:spacing w:after="0" w:line="110" w:lineRule="exact"/>
              <w:rPr>
                <w:sz w:val="20"/>
                <w:szCs w:val="20"/>
                <w:color w:val="auto"/>
              </w:rPr>
            </w:pPr>
            <w:r>
              <w:rPr>
                <w:rFonts w:ascii="Times New Roman" w:cs="Times New Roman" w:eastAsia="Times New Roman" w:hAnsi="Times New Roman"/>
                <w:sz w:val="10"/>
                <w:szCs w:val="10"/>
                <w:color w:val="auto"/>
              </w:rPr>
              <w:t>Unrealized gain on short-term investments</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17,455</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17,455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973</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973</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Net income (loss) attributable to ACM Research, Inc.</w:t>
            </w:r>
          </w:p>
        </w:tc>
        <w:tc>
          <w:tcPr>
            <w:tcW w:w="240" w:type="dxa"/>
            <w:vAlign w:val="bottom"/>
            <w:gridSpan w:val="2"/>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94,078</w:t>
            </w:r>
          </w:p>
        </w:tc>
        <w:tc>
          <w:tcPr>
            <w:tcW w:w="60" w:type="dxa"/>
            <w:vAlign w:val="bottom"/>
          </w:tcPr>
          <w:p>
            <w:pPr>
              <w:spacing w:after="0"/>
              <w:rPr>
                <w:sz w:val="14"/>
                <w:szCs w:val="14"/>
                <w:color w:val="auto"/>
              </w:rPr>
            </w:pP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00" w:type="dxa"/>
            <w:vAlign w:val="bottom"/>
          </w:tcPr>
          <w:p>
            <w:pPr>
              <w:spacing w:after="0"/>
              <w:rPr>
                <w:sz w:val="14"/>
                <w:szCs w:val="14"/>
                <w:color w:val="auto"/>
              </w:rPr>
            </w:pPr>
          </w:p>
        </w:tc>
        <w:tc>
          <w:tcPr>
            <w:tcW w:w="68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(33,577)</w:t>
            </w:r>
          </w:p>
        </w:tc>
        <w:tc>
          <w:tcPr>
            <w:tcW w:w="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 w:type="dxa"/>
            <w:vAlign w:val="bottom"/>
          </w:tcPr>
          <w:p>
            <w:pPr>
              <w:spacing w:after="0"/>
              <w:rPr>
                <w:sz w:val="14"/>
                <w:szCs w:val="14"/>
                <w:color w:val="auto"/>
              </w:rPr>
            </w:pPr>
          </w:p>
        </w:tc>
        <w:tc>
          <w:tcPr>
            <w:tcW w:w="100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17,455</w:t>
            </w:r>
          </w:p>
        </w:tc>
        <w:tc>
          <w:tcPr>
            <w:tcW w:w="20" w:type="dxa"/>
            <w:vAlign w:val="bottom"/>
          </w:tcPr>
          <w:p>
            <w:pPr>
              <w:spacing w:after="0"/>
              <w:rPr>
                <w:sz w:val="14"/>
                <w:szCs w:val="14"/>
                <w:color w:val="auto"/>
              </w:rPr>
            </w:pPr>
          </w:p>
        </w:tc>
        <w:tc>
          <w:tcPr>
            <w:tcW w:w="220" w:type="dxa"/>
            <w:vAlign w:val="bottom"/>
            <w:gridSpan w:val="3"/>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110,200</w:t>
            </w:r>
          </w:p>
        </w:tc>
        <w:tc>
          <w:tcPr>
            <w:tcW w:w="40" w:type="dxa"/>
            <w:vAlign w:val="bottom"/>
          </w:tcPr>
          <w:p>
            <w:pPr>
              <w:spacing w:after="0"/>
              <w:rPr>
                <w:sz w:val="14"/>
                <w:szCs w:val="14"/>
                <w:color w:val="auto"/>
              </w:rPr>
            </w:pPr>
          </w:p>
        </w:tc>
        <w:tc>
          <w:tcPr>
            <w:tcW w:w="340" w:type="dxa"/>
            <w:vAlign w:val="bottom"/>
            <w:gridSpan w:val="3"/>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103,627</w:t>
            </w:r>
          </w:p>
        </w:tc>
        <w:tc>
          <w:tcPr>
            <w:tcW w:w="60" w:type="dxa"/>
            <w:vAlign w:val="bottom"/>
          </w:tcPr>
          <w:p>
            <w:pPr>
              <w:spacing w:after="0"/>
              <w:rPr>
                <w:sz w:val="14"/>
                <w:szCs w:val="14"/>
                <w:color w:val="auto"/>
              </w:rPr>
            </w:pPr>
          </w:p>
        </w:tc>
        <w:tc>
          <w:tcPr>
            <w:tcW w:w="280" w:type="dxa"/>
            <w:vAlign w:val="bottom"/>
            <w:gridSpan w:val="3"/>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w:t>
            </w:r>
          </w:p>
        </w:tc>
        <w:tc>
          <w:tcPr>
            <w:tcW w:w="70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(49,576)</w:t>
            </w:r>
          </w:p>
        </w:tc>
        <w:tc>
          <w:tcPr>
            <w:tcW w:w="40" w:type="dxa"/>
            <w:vAlign w:val="bottom"/>
          </w:tcPr>
          <w:p>
            <w:pPr>
              <w:spacing w:after="0"/>
              <w:rPr>
                <w:sz w:val="14"/>
                <w:szCs w:val="14"/>
                <w:color w:val="auto"/>
              </w:rPr>
            </w:pPr>
          </w:p>
        </w:tc>
        <w:tc>
          <w:tcPr>
            <w:tcW w:w="10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60" w:type="dxa"/>
            <w:vAlign w:val="bottom"/>
          </w:tcPr>
          <w:p>
            <w:pPr>
              <w:spacing w:after="0"/>
              <w:rPr>
                <w:sz w:val="14"/>
                <w:szCs w:val="14"/>
                <w:color w:val="auto"/>
              </w:rPr>
            </w:pPr>
          </w:p>
        </w:tc>
        <w:tc>
          <w:tcPr>
            <w:tcW w:w="104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973</w:t>
            </w:r>
          </w:p>
        </w:tc>
        <w:tc>
          <w:tcPr>
            <w:tcW w:w="80" w:type="dxa"/>
            <w:vAlign w:val="bottom"/>
          </w:tcPr>
          <w:p>
            <w:pPr>
              <w:spacing w:after="0"/>
              <w:rPr>
                <w:sz w:val="14"/>
                <w:szCs w:val="14"/>
                <w:color w:val="auto"/>
              </w:rPr>
            </w:pPr>
          </w:p>
        </w:tc>
        <w:tc>
          <w:tcPr>
            <w:tcW w:w="160" w:type="dxa"/>
            <w:vAlign w:val="bottom"/>
            <w:gridSpan w:val="2"/>
          </w:tcPr>
          <w:p>
            <w:pPr>
              <w:jc w:val="right"/>
              <w:ind w:right="76"/>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152,230</w:t>
            </w:r>
          </w:p>
        </w:tc>
        <w:tc>
          <w:tcPr>
            <w:tcW w:w="0" w:type="dxa"/>
            <w:vAlign w:val="bottom"/>
          </w:tcPr>
          <w:p>
            <w:pPr>
              <w:spacing w:after="0"/>
              <w:rPr>
                <w:sz w:val="1"/>
                <w:szCs w:val="1"/>
                <w:color w:val="auto"/>
              </w:rPr>
            </w:pPr>
          </w:p>
        </w:tc>
      </w:tr>
      <w:tr>
        <w:trPr>
          <w:trHeight w:val="133"/>
        </w:trPr>
        <w:tc>
          <w:tcPr>
            <w:tcW w:w="2340" w:type="dxa"/>
            <w:vAlign w:val="bottom"/>
            <w:tcBorders>
              <w:top w:val="single" w:sz="8" w:color="CCEEFF"/>
            </w:tcBorders>
            <w:shd w:val="clear" w:color="auto" w:fill="CCEEFF"/>
          </w:tcPr>
          <w:p>
            <w:pPr>
              <w:ind w:left="120"/>
              <w:spacing w:after="0" w:line="104" w:lineRule="exact"/>
              <w:rPr>
                <w:sz w:val="20"/>
                <w:szCs w:val="20"/>
                <w:color w:val="auto"/>
              </w:rPr>
            </w:pPr>
            <w:r>
              <w:rPr>
                <w:rFonts w:ascii="Times New Roman" w:cs="Times New Roman" w:eastAsia="Times New Roman" w:hAnsi="Times New Roman"/>
                <w:sz w:val="10"/>
                <w:szCs w:val="10"/>
                <w:color w:val="auto"/>
              </w:rPr>
              <w:t>Basic EPS</w:t>
            </w:r>
          </w:p>
        </w:tc>
        <w:tc>
          <w:tcPr>
            <w:tcW w:w="240" w:type="dxa"/>
            <w:vAlign w:val="bottom"/>
            <w:tcBorders>
              <w:top w:val="single" w:sz="8" w:color="auto"/>
            </w:tcBorders>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1.47</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1.72</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gridSpan w:val="2"/>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1.67</w:t>
            </w: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5"/>
                <w:szCs w:val="5"/>
                <w:color w:val="auto"/>
                <w:w w:val="78"/>
              </w:rPr>
              <w:t>$</w:t>
            </w:r>
          </w:p>
        </w:tc>
        <w:tc>
          <w:tcPr>
            <w:tcW w:w="90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2.45</w:t>
            </w:r>
          </w:p>
        </w:tc>
        <w:tc>
          <w:tcPr>
            <w:tcW w:w="0" w:type="dxa"/>
            <w:vAlign w:val="bottom"/>
          </w:tcPr>
          <w:p>
            <w:pPr>
              <w:spacing w:after="0"/>
              <w:rPr>
                <w:sz w:val="1"/>
                <w:szCs w:val="1"/>
                <w:color w:val="auto"/>
              </w:rPr>
            </w:pPr>
          </w:p>
        </w:tc>
      </w:tr>
      <w:tr>
        <w:trPr>
          <w:trHeight w:val="123"/>
        </w:trPr>
        <w:tc>
          <w:tcPr>
            <w:tcW w:w="2340" w:type="dxa"/>
            <w:vAlign w:val="bottom"/>
          </w:tcPr>
          <w:p>
            <w:pPr>
              <w:ind w:left="120"/>
              <w:spacing w:after="0"/>
              <w:rPr>
                <w:sz w:val="20"/>
                <w:szCs w:val="20"/>
                <w:color w:val="auto"/>
              </w:rPr>
            </w:pPr>
            <w:r>
              <w:rPr>
                <w:rFonts w:ascii="Times New Roman" w:cs="Times New Roman" w:eastAsia="Times New Roman" w:hAnsi="Times New Roman"/>
                <w:sz w:val="10"/>
                <w:szCs w:val="10"/>
                <w:color w:val="auto"/>
              </w:rPr>
              <w:t>Diluted EPS</w:t>
            </w:r>
          </w:p>
        </w:tc>
        <w:tc>
          <w:tcPr>
            <w:tcW w:w="240" w:type="dxa"/>
            <w:vAlign w:val="bottom"/>
            <w:gridSpan w:val="2"/>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1.37</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gridSpan w:val="3"/>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1.61</w:t>
            </w:r>
          </w:p>
        </w:tc>
        <w:tc>
          <w:tcPr>
            <w:tcW w:w="40" w:type="dxa"/>
            <w:vAlign w:val="bottom"/>
          </w:tcPr>
          <w:p>
            <w:pPr>
              <w:spacing w:after="0"/>
              <w:rPr>
                <w:sz w:val="10"/>
                <w:szCs w:val="10"/>
                <w:color w:val="auto"/>
              </w:rPr>
            </w:pPr>
          </w:p>
        </w:tc>
        <w:tc>
          <w:tcPr>
            <w:tcW w:w="340" w:type="dxa"/>
            <w:vAlign w:val="bottom"/>
            <w:gridSpan w:val="3"/>
          </w:tcPr>
          <w:p>
            <w:pPr>
              <w:jc w:val="right"/>
              <w:ind w:right="192"/>
              <w:spacing w:after="0"/>
              <w:rPr>
                <w:sz w:val="20"/>
                <w:szCs w:val="20"/>
                <w:color w:val="auto"/>
              </w:rPr>
            </w:pPr>
            <w:r>
              <w:rPr>
                <w:rFonts w:ascii="Times New Roman" w:cs="Times New Roman" w:eastAsia="Times New Roman" w:hAnsi="Times New Roman"/>
                <w:sz w:val="10"/>
                <w:szCs w:val="10"/>
                <w:color w:val="auto"/>
              </w:rPr>
              <w:t>$</w:t>
            </w:r>
          </w:p>
        </w:tc>
        <w:tc>
          <w:tcPr>
            <w:tcW w:w="7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1.53</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gridSpan w:val="2"/>
          </w:tcPr>
          <w:p>
            <w:pPr>
              <w:jc w:val="right"/>
              <w:ind w:right="76"/>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1520825</wp:posOffset>
            </wp:positionH>
            <wp:positionV relativeFrom="paragraph">
              <wp:posOffset>-2218690</wp:posOffset>
            </wp:positionV>
            <wp:extent cx="565213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2135" cy="12700"/>
                    </a:xfrm>
                    <a:prstGeom prst="rect">
                      <a:avLst/>
                    </a:prstGeom>
                    <a:noFill/>
                  </pic:spPr>
                </pic:pic>
              </a:graphicData>
            </a:graphic>
          </wp:anchor>
        </w:drawing>
        <w:drawing>
          <wp:anchor simplePos="0" relativeHeight="251657728" behindDoc="1" locked="0" layoutInCell="0" allowOverlap="1">
            <wp:simplePos x="0" y="0"/>
            <wp:positionH relativeFrom="column">
              <wp:posOffset>1486535</wp:posOffset>
            </wp:positionH>
            <wp:positionV relativeFrom="paragraph">
              <wp:posOffset>-277495</wp:posOffset>
            </wp:positionV>
            <wp:extent cx="5686425"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8642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- 8 -</w:t>
      </w:r>
    </w:p>
    <w:sectPr>
      <w:pgSz w:w="11900" w:h="16838" w:orient="portrait"/>
      <w:cols w:equalWidth="0" w:num="1">
        <w:col w:w="11300"/>
      </w:cols>
      <w:pgMar w:left="300" w:top="12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lvl w:ilvl="1">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2026-02-26T06:51:17Z</dcterms:created>
  <dcterms:modified xsi:type="dcterms:W3CDTF">2026-02-26T06:51:17Z</dcterms:modified>
</cp:coreProperties>
</file>