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34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3465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McKechnie Mark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760"/>
        <w:spacing w:after="0" w:line="315"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ACM Research,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08/12/2022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1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64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19.49</w:t>
            </w:r>
          </w:p>
        </w:tc>
        <w:tc>
          <w:tcPr>
            <w:tcW w:w="140" w:type="dxa"/>
            <w:vAlign w:val="bottom"/>
          </w:tcPr>
          <w:p>
            <w:pPr>
              <w:spacing w:after="0"/>
              <w:rPr>
                <w:sz w:val="5"/>
                <w:szCs w:val="5"/>
                <w:color w:val="auto"/>
              </w:rPr>
            </w:pP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08/12/2022</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08/11/2032</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-1740535</wp:posOffset>
            </wp:positionV>
            <wp:extent cx="28575" cy="1745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56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and become exercisable as to 25,000 shares on August 12, 2023 and the remaining 75,000 shares will vest and become exercisable in equal monthly installments over the following 36 months, subject to continued service through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Executive Vice President and Treasurer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Mark McKechnie</w:t>
            </w:r>
          </w:p>
        </w:tc>
        <w:tc>
          <w:tcPr>
            <w:tcW w:w="8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08/16/2022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2022-08-16T17:02:32Z</dcterms:created>
  <dcterms:modified xsi:type="dcterms:W3CDTF">2022-08-16T17:02:32Z</dcterms:modified>
</cp:coreProperties>
</file>