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3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220" w:type="dxa"/>
            <w:vAlign w:val="bottom"/>
          </w:tcPr>
          <w:p>
            <w:pPr>
              <w:spacing w:after="0"/>
              <w:rPr>
                <w:sz w:val="20"/>
                <w:szCs w:val="20"/>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2" w:lineRule="exact"/>
        <w:rPr>
          <w:sz w:val="24"/>
          <w:szCs w:val="24"/>
          <w:color w:val="auto"/>
        </w:rPr>
      </w:pPr>
    </w:p>
    <w:p>
      <w:pPr>
        <w:spacing w:after="0" w:line="207" w:lineRule="exact"/>
        <w:tabs>
          <w:tab w:leader="none" w:pos="3620" w:val="left"/>
        </w:tabs>
        <w:rPr>
          <w:sz w:val="20"/>
          <w:szCs w:val="20"/>
          <w:color w:val="auto"/>
        </w:rPr>
      </w:pPr>
      <w:r>
        <w:rPr>
          <w:rFonts w:ascii="Times New Roman" w:cs="Times New Roman" w:eastAsia="Times New Roman" w:hAnsi="Times New Roman"/>
          <w:sz w:val="18"/>
          <w:szCs w:val="18"/>
          <w:color w:val="auto"/>
        </w:rPr>
        <w:t>Securities Exchange Act of 1934:</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30, 2024, we issued a press release entitled “ACM Research’s Operating Subsidiary ACM Research (Shanghai) Provides Backlog Data.” The full text of the press release is furnished as Exhibit 99.1 hereto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September 30,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30, 2024</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Research’s Operating Subsidiary ACM Research (Shanghai) Provides Backlog Data</w:t>
      </w:r>
    </w:p>
    <w:p>
      <w:pPr>
        <w:spacing w:after="0" w:line="22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color w:val="auto"/>
        </w:rPr>
        <w:t>Fremont, Calif., Sept. 30,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ACM Research,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(“ACM”) (NASDAQ: ACMR), a leading supplier of wafer processing solutions for semiconductor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advanced wafer-level packaging applications, today announced that its operating subsidiary ACM Research (Shanghai), Inc. (“ACM Shanghai”) posted backlog figures for ACM Shanghai as of September 30, 2024 and September 27, 2023 on the Shanghai Stock Exchange website [</w:t>
      </w:r>
      <w:r>
        <w:rPr>
          <w:rFonts w:ascii="Times New Roman" w:cs="Times New Roman" w:eastAsia="Times New Roman" w:hAnsi="Times New Roman"/>
          <w:sz w:val="17"/>
          <w:szCs w:val="17"/>
          <w:u w:val="single" w:color="auto"/>
          <w:color w:val="auto"/>
        </w:rPr>
        <w:t>link to China Disclosure</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2024 and September 27, 2023, ACM Shanghai’s total backlog amounted to RMB 6,764.6 million (USD $964.8 million), and RMB 6,795.8 million respectively. The total backlog figures include a mix of orders for tools that have been shipped but not yet recognized as revenue under Chinese generally accepted accounting principles (“Chinese GAAP”), and orders for tools expected to be shipped at a future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 in millions)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5860" w:type="dxa"/>
            <w:vAlign w:val="bottom"/>
            <w:tcBorders>
              <w:top w:val="single" w:sz="8" w:color="auto"/>
              <w:left w:val="single" w:sz="8" w:color="auto"/>
              <w:right w:val="single" w:sz="8" w:color="auto"/>
            </w:tcBorders>
          </w:tcPr>
          <w:p>
            <w:pPr>
              <w:spacing w:after="0"/>
              <w:rPr>
                <w:sz w:val="17"/>
                <w:szCs w:val="17"/>
                <w:color w:val="auto"/>
              </w:rPr>
            </w:pPr>
          </w:p>
        </w:tc>
        <w:tc>
          <w:tcPr>
            <w:tcW w:w="2040" w:type="dxa"/>
            <w:vAlign w:val="bottom"/>
            <w:tcBorders>
              <w:top w:val="single" w:sz="8" w:color="auto"/>
              <w:right w:val="single" w:sz="8" w:color="auto"/>
            </w:tcBorders>
          </w:tcPr>
          <w:p>
            <w:pPr>
              <w:ind w:left="400"/>
              <w:spacing w:after="0" w:line="205" w:lineRule="exact"/>
              <w:rPr>
                <w:sz w:val="20"/>
                <w:szCs w:val="20"/>
                <w:color w:val="auto"/>
              </w:rPr>
            </w:pPr>
            <w:r>
              <w:rPr>
                <w:rFonts w:ascii="Times New Roman" w:cs="Times New Roman" w:eastAsia="Times New Roman" w:hAnsi="Times New Roman"/>
                <w:sz w:val="18"/>
                <w:szCs w:val="18"/>
                <w:color w:val="auto"/>
              </w:rPr>
              <w:t>As of September</w:t>
            </w:r>
          </w:p>
        </w:tc>
        <w:tc>
          <w:tcPr>
            <w:tcW w:w="2040" w:type="dxa"/>
            <w:vAlign w:val="bottom"/>
            <w:tcBorders>
              <w:top w:val="single" w:sz="8" w:color="auto"/>
              <w:right w:val="single" w:sz="8" w:color="auto"/>
            </w:tcBorders>
          </w:tcPr>
          <w:p>
            <w:pPr>
              <w:ind w:left="400"/>
              <w:spacing w:after="0" w:line="205" w:lineRule="exact"/>
              <w:rPr>
                <w:sz w:val="20"/>
                <w:szCs w:val="20"/>
                <w:color w:val="auto"/>
              </w:rPr>
            </w:pPr>
            <w:r>
              <w:rPr>
                <w:rFonts w:ascii="Times New Roman" w:cs="Times New Roman" w:eastAsia="Times New Roman" w:hAnsi="Times New Roman"/>
                <w:sz w:val="18"/>
                <w:szCs w:val="18"/>
                <w:color w:val="auto"/>
              </w:rPr>
              <w:t>As of September</w:t>
            </w:r>
          </w:p>
        </w:tc>
        <w:tc>
          <w:tcPr>
            <w:tcW w:w="1300" w:type="dxa"/>
            <w:vAlign w:val="bottom"/>
            <w:tcBorders>
              <w:top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YoY</w:t>
            </w:r>
          </w:p>
        </w:tc>
      </w:tr>
      <w:tr>
        <w:trPr>
          <w:trHeight w:val="241"/>
        </w:trPr>
        <w:tc>
          <w:tcPr>
            <w:tcW w:w="5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Item</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30, 2024</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27, 2023</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 (%)</w:t>
            </w:r>
          </w:p>
        </w:tc>
      </w:tr>
      <w:tr>
        <w:trPr>
          <w:trHeight w:val="223"/>
        </w:trPr>
        <w:tc>
          <w:tcPr>
            <w:tcW w:w="5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under contract</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6,764.6</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6,525.7</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3.66</w:t>
            </w:r>
          </w:p>
        </w:tc>
      </w:tr>
      <w:tr>
        <w:trPr>
          <w:trHeight w:val="223"/>
        </w:trPr>
        <w:tc>
          <w:tcPr>
            <w:tcW w:w="5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Orders awarded by formal bidding process, pending official contract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270.1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r>
      <w:tr>
        <w:trPr>
          <w:trHeight w:val="223"/>
        </w:trPr>
        <w:tc>
          <w:tcPr>
            <w:tcW w:w="5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backlog</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6,764.6</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6,795.8</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-0.46</w:t>
            </w: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Backlog is not a financial measure that is defined or recognized by Chinese GAAP or U.S. generally accepted accounting principles, and ACM Shanghai’s method for determining and calculating backlog, and the underlying assumptions, may not be comparable to the methodologies and assumptions used by other companies. Orders included in backlog may not actually generate the amounts of revenue estimated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USD amounts above are for reference only and are translated using the September 27, 2024 Wall Street Journal closing exchange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Dates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ACM Shanghai will release its full financial results for the nine months ended September 30, 2024 on October 30, 2024 after the market close in China, and on the same day ACM will report preliminary financial results for the nine months ended September 30, 2024 before the market open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ACM will release its full financial results for the third quarter of 2024 and conduct a corresponding conference call to discuss the results in early November 2024. The specific reporting date and details of the conference call will be released at a later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8"/>
        <w:spacing w:after="0" w:line="266"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a trademark of ACM Research, Inc. For convenience, this trademark appears in this press release without a ™ symbol, but that practice does not mean ACM will not assert, to the fullest extent under applicable law, its rights to such trademark. All other trademarks are the property of their respective owners.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58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33"/>
        </w:trPr>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2024-09-30T15:12:52Z</dcterms:created>
  <dcterms:modified xsi:type="dcterms:W3CDTF">2024-09-30T15:12:52Z</dcterms:modified>
</cp:coreProperties>
</file>