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Feng Lisa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06/24/2025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65,001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06/24/2025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June 24, 2025, the reporting person exercised a previously issued stock option to purchase 15,000 shares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reported on this Form 4 was effected pursuant to a Rule 10b5-1 trading plan adopted by the reporting person on March 12,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Financial Officer of ACM Research (Shanghai), Inc., a subsidiary of the Issuer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s/ Mark McKechnie, Attorney-in-Fact for Lisa Feng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06/26/2025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9777" TargetMode="External"/><Relationship Id="rId5" Type="http://schemas.openxmlformats.org/officeDocument/2006/relationships/hyperlink" Target="http://www.sec.gov/cgi-bin/browse-edgar?action=getcompany&amp;CIK=00016800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3556</Characters>
  <CharactersWithSpaces>4147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