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August 6,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740"/>
        <w:gridCol w:w="2195"/>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sz w:val="16"/>
              </w:rPr>
            </w:pPr>
            <w:r>
              <w:rPr>
                <w:rFonts w:ascii="Times New Roman" w:hAnsi="Times New Roman"/>
                <w:i/>
                <w:color w:val="000000"/>
                <w:sz w:val="20"/>
              </w:rPr>
              <w:t>(State or Other</w:t>
            </w:r>
            <w:r>
              <w:rPr>
                <w:rFonts w:ascii="Times New Roman" w:hAnsi="Times New Roman"/>
                <w:i/>
                <w:sz w:val="16"/>
              </w:rPr>
              <w:t> </w:t>
            </w:r>
            <w:r>
              <w:rPr>
                <w:rFonts w:ascii="Times New Roman" w:hAnsi="Times New Roman"/>
                <w:i/>
                <w:color w:val="000000"/>
                <w:sz w:val="20"/>
              </w:rPr>
              <w:t>Jurisdiction of Incorporation)</w:t>
            </w:r>
          </w:p>
        </w:tc>
        <w:tc>
          <w:tcPr>
            <w:tcW w:w="2195" w:type="dxa"/>
            <w:tcBorders/>
            <w:vAlign w:val="center"/>
          </w:tcPr>
          <w:p>
            <w:pPr>
              <w:pStyle w:val="TableContents"/>
              <w:bidi w:val="0"/>
              <w:spacing w:before="0" w:after="0"/>
              <w:jc w:val="center"/>
              <w:rPr>
                <w:rFonts w:ascii="Times New Roman" w:hAnsi="Times New Roman"/>
                <w:i/>
                <w:sz w:val="16"/>
              </w:rPr>
            </w:pPr>
            <w:r>
              <w:rPr>
                <w:rFonts w:ascii="Times New Roman" w:hAnsi="Times New Roman"/>
                <w:i/>
                <w:color w:val="000000"/>
                <w:sz w:val="20"/>
              </w:rPr>
              <w:t>(Commission</w:t>
            </w:r>
            <w:r>
              <w:rPr>
                <w:rFonts w:ascii="Times New Roman" w:hAnsi="Times New Roman"/>
                <w:i/>
                <w:sz w:val="16"/>
              </w:rPr>
              <w:t> </w:t>
            </w:r>
            <w:r>
              <w:rPr>
                <w:rFonts w:ascii="Times New Roman" w:hAnsi="Times New Roman"/>
                <w:i/>
                <w:color w:val="000000"/>
                <w:sz w:val="20"/>
              </w:rPr>
              <w:t>File Number)</w:t>
            </w:r>
          </w:p>
        </w:tc>
        <w:tc>
          <w:tcPr>
            <w:tcW w:w="2750" w:type="dxa"/>
            <w:tcBorders/>
            <w:vAlign w:val="center"/>
          </w:tcPr>
          <w:p>
            <w:pPr>
              <w:pStyle w:val="TableContents"/>
              <w:bidi w:val="0"/>
              <w:spacing w:before="0" w:after="0"/>
              <w:jc w:val="center"/>
              <w:rPr>
                <w:rFonts w:ascii="Times New Roman" w:hAnsi="Times New Roman"/>
                <w:i/>
                <w:sz w:val="16"/>
              </w:rPr>
            </w:pPr>
            <w:r>
              <w:rPr>
                <w:rFonts w:ascii="Times New Roman" w:hAnsi="Times New Roman"/>
                <w:i/>
                <w:color w:val="000000"/>
                <w:sz w:val="20"/>
              </w:rPr>
              <w:t>(IRS Employer</w:t>
            </w:r>
            <w:r>
              <w:rPr>
                <w:rFonts w:ascii="Times New Roman" w:hAnsi="Times New Roman"/>
                <w:i/>
                <w:sz w:val="16"/>
              </w:rPr>
              <w:t> </w:t>
            </w:r>
            <w:r>
              <w:rPr>
                <w:rFonts w:ascii="Times New Roman" w:hAnsi="Times New Roman"/>
                <w:i/>
                <w:color w:val="000000"/>
                <w:sz w:val="20"/>
              </w:rPr>
              <w:t>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9465" w:type="dxa"/>
        <w:jc w:val="left"/>
        <w:tblInd w:w="0" w:type="dxa"/>
        <w:tblLayout w:type="fixed"/>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      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6, 2025, we issued a press release announcing financial results for the second quarter of 2025. The full text of the press release is furnished as Exhibit 99.1 hereto and is incorporated herein by reference</w:t>
      </w:r>
      <w:r>
        <w:rPr>
          <w:rFonts w:ascii="Times New Roman" w:hAnsi="Times New Roman"/>
          <w:i/>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w:t>
            </w:r>
          </w:p>
        </w:tc>
        <w:tc>
          <w:tcPr>
            <w:tcW w:w="7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Exhibits.</w:t>
            </w:r>
          </w:p>
        </w:tc>
      </w:tr>
    </w:tbl>
    <w:p>
      <w:pPr>
        <w:pStyle w:val="TextBody"/>
        <w:bidi w:val="0"/>
        <w:spacing w:before="0" w:after="0"/>
        <w:jc w:val="left"/>
        <w:rPr>
          <w:color w:val="000000"/>
          <w:shd w:fill="FFFFFF" w:val="clear"/>
        </w:rPr>
      </w:pPr>
      <w:r>
        <w:rPr>
          <w:color w:val="000000"/>
          <w:shd w:fill="FFFFFF" w:val="clear"/>
        </w:rPr>
        <w:t> </w:t>
      </w:r>
    </w:p>
    <w:tbl>
      <w:tblPr>
        <w:tblW w:w="6655" w:type="dxa"/>
        <w:jc w:val="left"/>
        <w:tblInd w:w="0" w:type="dxa"/>
        <w:tblLayout w:type="fixed"/>
        <w:tblCellMar>
          <w:top w:w="0" w:type="dxa"/>
          <w:left w:w="0" w:type="dxa"/>
          <w:bottom w:w="28" w:type="dxa"/>
          <w:right w:w="0" w:type="dxa"/>
        </w:tblCellMar>
      </w:tblPr>
      <w:tblGrid>
        <w:gridCol w:w="650"/>
        <w:gridCol w:w="60"/>
        <w:gridCol w:w="594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594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pPr>
            <w:hyperlink w:anchor="ef20053189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of ACM Research, Inc. dated August 6, 2025</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190" w:type="dxa"/>
        <w:jc w:val="left"/>
        <w:tblInd w:w="0" w:type="dxa"/>
        <w:tblLayout w:type="fixed"/>
        <w:tblCellMar>
          <w:top w:w="0" w:type="dxa"/>
          <w:left w:w="0" w:type="dxa"/>
          <w:bottom w:w="0" w:type="dxa"/>
          <w:right w:w="0" w:type="dxa"/>
        </w:tblCellMar>
      </w:tblPr>
      <w:tblGrid>
        <w:gridCol w:w="1850"/>
        <w:gridCol w:w="320"/>
        <w:gridCol w:w="3020"/>
      </w:tblGrid>
      <w:tr>
        <w:trPr/>
        <w:tc>
          <w:tcPr>
            <w:tcW w:w="185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85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0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85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August 6, 2025</w:t>
            </w:r>
          </w:p>
        </w:tc>
        <w:tc>
          <w:tcPr>
            <w:tcW w:w="3340"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jc w:val="left"/>
        <w:rPr/>
      </w:pPr>
      <w:r>
        <w:rPr/>
      </w:r>
    </w:p>
    <w:p>
      <w:pPr>
        <w:pStyle w:val="HorizontalLine"/>
        <w:pBdr>
          <w:bottom w:val="single" w:sz="12" w:space="0" w:color="808080"/>
        </w:pBdr>
        <w:bidi w:val="0"/>
        <w:jc w:val="left"/>
        <w:rPr/>
      </w:pPr>
      <w:r>
        <w:rPr/>
      </w:r>
      <w:bookmarkStart w:id="0" w:name="ef20053189_ex99-1.htm"/>
      <w:bookmarkStart w:id="1" w:name="ksef20053189_ex991"/>
      <w:bookmarkStart w:id="2" w:name="ef20053189_ex99-1.htm"/>
      <w:bookmarkStart w:id="3" w:name="ksef20053189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8001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 cy="4857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Reports Second Quarter 2025 Results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FREMONT, Calif., August 06, 2025 (Globe Newswire) – ACM Research, Inc. (“ACM”) (NASDAQ: ACMR), a leading supplier of wafer processing solutions for semiconductor and advanced wafer-level packaging applications, today reported financial results for its second quarter ended June 30, 2025.</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Our results for the first half of 2025 reflect good execution across our product portfolio and strengthen our confidence in our long-term growth opportunity in China,” said Dr. David Wang, President and Chief Executive Officer of ACM. “We see continued momentum from our SPM, Tahoe, plating and furnace tools, and we are encouraged by customer engagements across multiple new platforms including Track, PECVD, and panel-level packaging. As a result, we have raised our long-term revenue target for the mainland China market. At the same time, we are making important strides in our global expansion efforts, with several tool deliveries planned to the U.S. during the third quarter.”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Dr. Wang continued, “We recently announced major upgrades to our Ultra C wb Wet Bench cleaning tool. The technology integrates ACM’s patent-pending nitrogen bubbling technology to generate large-sized bubbles with good bubble-density uniformity and enhance the etching rate uniformity in the 3D structure across the wafer. Today, I am pleased to announce we have received repeat orders of this tool for shipment this year and next. The technology is also adaptable to our Ultra C Tahoe platform, with significant application potential for manufacturing advanced 3D NAND, 3D DRAM, and 3D logic devices​. We remain committed to deliver innovative new products to enable our customers to meet the next generation of semiconductor manufacturing challenges as demanded by the Artificial Intelligence (AI) transformation. As a multi-product company with proprietary world-class technology, we remain confident in our ability to drive long-term growth and increase market share in both China and global markets.”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dafadb7c27cb43fcab4eaff52fc470a3"/>
      <w:bookmarkStart w:id="5" w:name="zdafadb7c27cb43fcab4eaff52fc470a3"/>
      <w:bookmarkEnd w:id="5"/>
    </w:p>
    <w:tbl>
      <w:tblPr>
        <w:tblW w:w="8075" w:type="dxa"/>
        <w:jc w:val="left"/>
        <w:tblInd w:w="0" w:type="dxa"/>
        <w:tblLayout w:type="fixed"/>
        <w:tblCellMar>
          <w:top w:w="0" w:type="dxa"/>
          <w:left w:w="0" w:type="dxa"/>
          <w:bottom w:w="0" w:type="dxa"/>
          <w:right w:w="0" w:type="dxa"/>
        </w:tblCellMar>
      </w:tblPr>
      <w:tblGrid>
        <w:gridCol w:w="3815"/>
        <w:gridCol w:w="60"/>
        <w:gridCol w:w="125"/>
        <w:gridCol w:w="695"/>
        <w:gridCol w:w="185"/>
        <w:gridCol w:w="60"/>
        <w:gridCol w:w="125"/>
        <w:gridCol w:w="695"/>
        <w:gridCol w:w="185"/>
        <w:gridCol w:w="60"/>
        <w:gridCol w:w="125"/>
        <w:gridCol w:w="695"/>
        <w:gridCol w:w="185"/>
        <w:gridCol w:w="60"/>
        <w:gridCol w:w="125"/>
        <w:gridCol w:w="695"/>
        <w:gridCol w:w="185"/>
      </w:tblGrid>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June 30</w:t>
            </w:r>
          </w:p>
        </w:tc>
        <w:tc>
          <w:tcPr>
            <w:tcW w:w="18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Non-GAAP(1)</w:t>
            </w:r>
          </w:p>
        </w:tc>
        <w:tc>
          <w:tcPr>
            <w:tcW w:w="18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5" w:type="dxa"/>
            <w:gridSpan w:val="14"/>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(dollars in thousands, except EPS)</w:t>
            </w:r>
          </w:p>
        </w:tc>
        <w:tc>
          <w:tcPr>
            <w:tcW w:w="18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215,372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202,480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215,372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202,480</w:t>
            </w:r>
          </w:p>
        </w:tc>
        <w:tc>
          <w:tcPr>
            <w:tcW w:w="18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Gross margin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from operations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31,694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41,464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51,935</w:t>
            </w:r>
          </w:p>
        </w:tc>
        <w:tc>
          <w:tcPr>
            <w:tcW w:w="18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attributable to ACM Research, Inc.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29,760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37,521</w:t>
            </w:r>
          </w:p>
        </w:tc>
        <w:tc>
          <w:tcPr>
            <w:tcW w:w="18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Basic EPS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0.60</w:t>
            </w:r>
          </w:p>
        </w:tc>
        <w:tc>
          <w:tcPr>
            <w:tcW w:w="18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Diluted EPS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0.55</w:t>
            </w:r>
          </w:p>
        </w:tc>
        <w:tc>
          <w:tcPr>
            <w:tcW w:w="18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3a3d830f45764180b987572ab5a1813a"/>
      <w:bookmarkStart w:id="7" w:name="z3a3d830f45764180b987572ab5a1813a"/>
      <w:bookmarkEnd w:id="7"/>
    </w:p>
    <w:tbl>
      <w:tblPr>
        <w:tblW w:w="8075" w:type="dxa"/>
        <w:jc w:val="left"/>
        <w:tblInd w:w="0" w:type="dxa"/>
        <w:tblLayout w:type="fixed"/>
        <w:tblCellMar>
          <w:top w:w="0" w:type="dxa"/>
          <w:left w:w="0" w:type="dxa"/>
          <w:bottom w:w="0" w:type="dxa"/>
          <w:right w:w="0" w:type="dxa"/>
        </w:tblCellMar>
      </w:tblPr>
      <w:tblGrid>
        <w:gridCol w:w="3815"/>
        <w:gridCol w:w="60"/>
        <w:gridCol w:w="125"/>
        <w:gridCol w:w="695"/>
        <w:gridCol w:w="185"/>
        <w:gridCol w:w="60"/>
        <w:gridCol w:w="125"/>
        <w:gridCol w:w="695"/>
        <w:gridCol w:w="185"/>
        <w:gridCol w:w="60"/>
        <w:gridCol w:w="125"/>
        <w:gridCol w:w="695"/>
        <w:gridCol w:w="185"/>
        <w:gridCol w:w="60"/>
        <w:gridCol w:w="125"/>
        <w:gridCol w:w="695"/>
        <w:gridCol w:w="185"/>
      </w:tblGrid>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 June 30</w:t>
            </w:r>
          </w:p>
        </w:tc>
        <w:tc>
          <w:tcPr>
            <w:tcW w:w="18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Non-GAAP(1)</w:t>
            </w:r>
          </w:p>
        </w:tc>
        <w:tc>
          <w:tcPr>
            <w:tcW w:w="18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5" w:type="dxa"/>
            <w:gridSpan w:val="14"/>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(dollars in thousands, except EPS)</w:t>
            </w:r>
          </w:p>
        </w:tc>
        <w:tc>
          <w:tcPr>
            <w:tcW w:w="18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387,719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354,671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387,719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354,671</w:t>
            </w:r>
          </w:p>
        </w:tc>
        <w:tc>
          <w:tcPr>
            <w:tcW w:w="18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Gross margin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from operations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57,471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62,825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77,058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91,736</w:t>
            </w:r>
          </w:p>
        </w:tc>
        <w:tc>
          <w:tcPr>
            <w:tcW w:w="18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attributable to ACM Research, Inc.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50,140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41,643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68,079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72,118</w:t>
            </w:r>
          </w:p>
        </w:tc>
        <w:tc>
          <w:tcPr>
            <w:tcW w:w="18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Basic EPS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w:t>
            </w:r>
          </w:p>
        </w:tc>
        <w:tc>
          <w:tcPr>
            <w:tcW w:w="18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Diluted EPS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w:t>
            </w:r>
          </w:p>
        </w:tc>
        <w:tc>
          <w:tcPr>
            <w:tcW w:w="18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ee1efc9b170047b8b2740c9369544f64"/>
      <w:bookmarkStart w:id="9" w:name="zee1efc9b170047b8b2740c9369544f64"/>
      <w:bookmarkEnd w:id="9"/>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gain (loss) on short-term investments.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Outlook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ACM is maintaining its revenue guidance range of $850 million to $950 million for fiscal year 2025.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Operating Highlights and Recent Announcements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f27aa651daa0455b9c72b346c562e944"/>
      <w:bookmarkStart w:id="11" w:name="zf27aa651daa0455b9c72b346c562e944"/>
      <w:bookmarkEnd w:id="1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b/>
                <w:color w:val="000000"/>
                <w:sz w:val="20"/>
              </w:rPr>
              <w:t xml:space="preserve">Shipments. </w:t>
            </w:r>
            <w:r>
              <w:rPr>
                <w:rFonts w:ascii="Times New Roman" w:hAnsi="Times New Roman"/>
                <w:color w:val="000000"/>
                <w:sz w:val="20"/>
              </w:rPr>
              <w:t>Total shipments in the second quarter of 2025 were $206.4 million, up 1.9% from the second quarter of 2024. Total shipments include deliveries for revenue in the quarter and deliveries of first tool systems awaiting customer acceptance for potential revenue in future quarters.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48ed17b363114fc793e2c65d1a126634"/>
      <w:bookmarkStart w:id="13" w:name="z48ed17b363114fc793e2c65d1a126634"/>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b/>
                <w:color w:val="000000"/>
                <w:sz w:val="20"/>
              </w:rPr>
              <w:t xml:space="preserve">Upgraded Ultra C wb Wet Bench Cleaning Tool with Patent-Pending N₂ Bubbling Technology. </w:t>
            </w:r>
            <w:r>
              <w:rPr>
                <w:rFonts w:ascii="Times New Roman" w:hAnsi="Times New Roman"/>
                <w:color w:val="000000"/>
                <w:sz w:val="20"/>
              </w:rPr>
              <w:t>ACM announced major upgrades to its Ultra C wb cleaning tool, featuring a patent-pending nitrogen (N₂) bubbling technique that improves wet etching uniformity by over 50% and enhances particle removal performance for advanced-node applications.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c4f2dade9d2a4d58961a5c5c51aa252c"/>
      <w:bookmarkStart w:id="15" w:name="zc4f2dade9d2a4d58961a5c5c51aa252c"/>
      <w:bookmarkEnd w:id="1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b/>
                <w:color w:val="000000"/>
                <w:sz w:val="20"/>
              </w:rPr>
              <w:t xml:space="preserve">Delivery of 1,500th ECP Chamber. </w:t>
            </w:r>
            <w:r>
              <w:rPr>
                <w:rFonts w:ascii="Times New Roman" w:hAnsi="Times New Roman"/>
                <w:color w:val="000000"/>
                <w:sz w:val="20"/>
              </w:rPr>
              <w:t>ACM delivered an ECP tool to a customer in China, which included ACM’s 1,500th electroplating chamber shipped. This milestone highlights ACM’s continued growth in plating technology adoption and reinforces its leadership in high-performance electroplating equipment for advanced semiconductor manufacturing.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2d6adf3a9fd243d0b68c512dfa3da05b"/>
      <w:bookmarkStart w:id="17" w:name="z2d6adf3a9fd243d0b68c512dfa3da05b"/>
      <w:bookmarkEnd w:id="17"/>
    </w:p>
    <w:tbl>
      <w:tblPr>
        <w:tblW w:w="3700" w:type="dxa"/>
        <w:jc w:val="left"/>
        <w:tblInd w:w="0" w:type="dxa"/>
        <w:tblLayout w:type="fixed"/>
        <w:tblCellMar>
          <w:top w:w="0" w:type="dxa"/>
          <w:left w:w="0" w:type="dxa"/>
          <w:bottom w:w="0" w:type="dxa"/>
          <w:right w:w="0" w:type="dxa"/>
        </w:tblCellMar>
      </w:tblPr>
      <w:tblGrid>
        <w:gridCol w:w="125"/>
        <w:gridCol w:w="3575"/>
      </w:tblGrid>
      <w:tr>
        <w:trPr/>
        <w:tc>
          <w:tcPr>
            <w:tcW w:w="125" w:type="dxa"/>
            <w:tcBorders/>
            <w:vAlign w:val="center"/>
          </w:tcPr>
          <w:p>
            <w:pPr>
              <w:pStyle w:val="TableContents"/>
              <w:bidi w:val="0"/>
              <w:spacing w:before="0" w:after="283"/>
              <w:jc w:val="left"/>
              <w:rPr>
                <w:color w:val="000000"/>
              </w:rPr>
            </w:pPr>
            <w:r>
              <w:rPr>
                <w:color w:val="000000"/>
              </w:rPr>
              <w:t>•</w:t>
            </w:r>
          </w:p>
        </w:tc>
        <w:tc>
          <w:tcPr>
            <w:tcW w:w="3575" w:type="dxa"/>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Second Quarter 2025 Financial Summary</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Unless otherwise noted, the following figures refer to the second quarter of 2025 and comparisons are with the second quarter of 2024.</w:t>
      </w:r>
    </w:p>
    <w:p>
      <w:pPr>
        <w:pStyle w:val="TextBody"/>
        <w:bidi w:val="0"/>
        <w:spacing w:before="0" w:after="0"/>
        <w:jc w:val="left"/>
        <w:rPr>
          <w:rFonts w:ascii="Times New Roman" w:hAnsi="Times New Roman"/>
          <w:i/>
          <w:sz w:val="20"/>
        </w:rPr>
      </w:pPr>
      <w:r>
        <w:rPr>
          <w:rFonts w:ascii="Times New Roman" w:hAnsi="Times New Roman"/>
          <w:i/>
          <w:sz w:val="20"/>
        </w:rPr>
      </w:r>
    </w:p>
    <w:p>
      <w:pPr>
        <w:pStyle w:val="Normal"/>
        <w:bidi w:val="0"/>
        <w:spacing w:before="0" w:after="0"/>
        <w:jc w:val="left"/>
        <w:rPr>
          <w:sz w:val="4"/>
          <w:szCs w:val="4"/>
        </w:rPr>
      </w:pPr>
      <w:r>
        <w:rPr>
          <w:sz w:val="4"/>
          <w:szCs w:val="4"/>
        </w:rPr>
      </w:r>
      <w:bookmarkStart w:id="18" w:name="z809831ca089a446e9131fb5f8c0ddfb6"/>
      <w:bookmarkStart w:id="19" w:name="z809831ca089a446e9131fb5f8c0ddfb6"/>
      <w:bookmarkEnd w:id="1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Revenue</w:t>
            </w:r>
            <w:r>
              <w:rPr>
                <w:rFonts w:ascii="Times New Roman" w:hAnsi="Times New Roman"/>
                <w:sz w:val="20"/>
              </w:rPr>
              <w:t xml:space="preserve"> was </w:t>
            </w:r>
            <w:r>
              <w:rPr>
                <w:rFonts w:ascii="Times New Roman" w:hAnsi="Times New Roman"/>
                <w:color w:val="000000"/>
                <w:sz w:val="20"/>
              </w:rPr>
              <w:t xml:space="preserve">$215.4 </w:t>
            </w:r>
            <w:r>
              <w:rPr>
                <w:rFonts w:ascii="Times New Roman" w:hAnsi="Times New Roman"/>
                <w:sz w:val="20"/>
              </w:rPr>
              <w:t>million, up</w:t>
            </w:r>
            <w:r>
              <w:rPr>
                <w:rFonts w:ascii="Times New Roman" w:hAnsi="Times New Roman"/>
                <w:color w:val="000000"/>
                <w:sz w:val="20"/>
              </w:rPr>
              <w:t xml:space="preserve"> 6.4%</w:t>
            </w:r>
            <w:r>
              <w:rPr>
                <w:rFonts w:ascii="Times New Roman" w:hAnsi="Times New Roman"/>
                <w:sz w:val="20"/>
              </w:rPr>
              <w:t xml:space="preserve">, </w:t>
            </w:r>
            <w:r>
              <w:rPr>
                <w:rFonts w:ascii="Times New Roman" w:hAnsi="Times New Roman"/>
                <w:color w:val="000000"/>
                <w:sz w:val="20"/>
              </w:rPr>
              <w:t>reflecting</w:t>
            </w:r>
            <w:r>
              <w:rPr>
                <w:rFonts w:ascii="Times New Roman" w:hAnsi="Times New Roman"/>
                <w:sz w:val="20"/>
              </w:rPr>
              <w:t xml:space="preserve"> modest growth from single wafer cleaning, Tahoe and semi-critical cleaning equipment, and higher sales of ECP (front-end and packaging), furnace and other technologies, and </w:t>
            </w:r>
            <w:r>
              <w:rPr>
                <w:rFonts w:ascii="Times New Roman" w:hAnsi="Times New Roman"/>
                <w:color w:val="000000"/>
                <w:sz w:val="20"/>
              </w:rPr>
              <w:t>advanced packaging (excluding ECP), services &amp; spares.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f9de82181b794eb089cf8ee2331f64ce"/>
      <w:bookmarkStart w:id="21" w:name="zf9de82181b794eb089cf8ee2331f64ce"/>
      <w:bookmarkEnd w:id="2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Gross margin</w:t>
            </w:r>
            <w:r>
              <w:rPr>
                <w:rFonts w:ascii="Times New Roman" w:hAnsi="Times New Roman"/>
                <w:sz w:val="20"/>
              </w:rPr>
              <w:t xml:space="preserve"> was </w:t>
            </w:r>
            <w:r>
              <w:rPr>
                <w:rFonts w:ascii="Times New Roman" w:hAnsi="Times New Roman"/>
                <w:color w:val="000000"/>
                <w:sz w:val="20"/>
              </w:rPr>
              <w:t>48.5%</w:t>
            </w:r>
            <w:r>
              <w:rPr>
                <w:rFonts w:ascii="Times New Roman" w:hAnsi="Times New Roman"/>
                <w:sz w:val="20"/>
              </w:rPr>
              <w:t xml:space="preserve"> versus </w:t>
            </w:r>
            <w:r>
              <w:rPr>
                <w:rFonts w:ascii="Times New Roman" w:hAnsi="Times New Roman"/>
                <w:color w:val="000000"/>
                <w:sz w:val="20"/>
              </w:rPr>
              <w:t>47.8%</w:t>
            </w:r>
            <w:r>
              <w:rPr>
                <w:rFonts w:ascii="Times New Roman" w:hAnsi="Times New Roman"/>
                <w:sz w:val="20"/>
              </w:rPr>
              <w:t xml:space="preserve">. Non-GAAP gross margin, which excludes stock-based compensation, was </w:t>
            </w:r>
            <w:r>
              <w:rPr>
                <w:rFonts w:ascii="Times New Roman" w:hAnsi="Times New Roman"/>
                <w:color w:val="000000"/>
                <w:sz w:val="20"/>
              </w:rPr>
              <w:t>48.7%</w:t>
            </w:r>
            <w:r>
              <w:rPr>
                <w:rFonts w:ascii="Times New Roman" w:hAnsi="Times New Roman"/>
                <w:sz w:val="20"/>
              </w:rPr>
              <w:t xml:space="preserve"> versus </w:t>
            </w:r>
            <w:r>
              <w:rPr>
                <w:rFonts w:ascii="Times New Roman" w:hAnsi="Times New Roman"/>
                <w:color w:val="000000"/>
                <w:sz w:val="20"/>
              </w:rPr>
              <w:t>48.2%</w:t>
            </w:r>
            <w:r>
              <w:rPr>
                <w:rFonts w:ascii="Times New Roman" w:hAnsi="Times New Roman"/>
                <w:sz w:val="20"/>
              </w:rPr>
              <w:t>. Gross margin exceeded the high end of ACM’s long-term business model target range of 40% to 45%. ACM expects gross margin to vary from period to period due to a variety of factors, such as product mix, currency impacts and sales volume.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38fc4882fae74ea4abaa2febd66604fc"/>
      <w:bookmarkStart w:id="23" w:name="z38fc4882fae74ea4abaa2febd66604fc"/>
      <w:bookmarkEnd w:id="2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Operating expenses</w:t>
            </w:r>
            <w:r>
              <w:rPr>
                <w:rFonts w:ascii="Times New Roman" w:hAnsi="Times New Roman"/>
                <w:sz w:val="20"/>
              </w:rPr>
              <w:t xml:space="preserve"> were</w:t>
            </w:r>
            <w:r>
              <w:rPr>
                <w:rFonts w:ascii="Times New Roman" w:hAnsi="Times New Roman"/>
                <w:color w:val="000000"/>
                <w:sz w:val="20"/>
              </w:rPr>
              <w:t xml:space="preserve"> $72.8 </w:t>
            </w:r>
            <w:r>
              <w:rPr>
                <w:rFonts w:ascii="Times New Roman" w:hAnsi="Times New Roman"/>
                <w:sz w:val="20"/>
              </w:rPr>
              <w:t xml:space="preserve">million, an increase of </w:t>
            </w:r>
            <w:r>
              <w:rPr>
                <w:rFonts w:ascii="Times New Roman" w:hAnsi="Times New Roman"/>
                <w:color w:val="000000"/>
                <w:sz w:val="20"/>
              </w:rPr>
              <w:t>22.9%</w:t>
            </w:r>
            <w:r>
              <w:rPr>
                <w:rFonts w:ascii="Times New Roman" w:hAnsi="Times New Roman"/>
                <w:sz w:val="20"/>
              </w:rPr>
              <w:t xml:space="preserve">. Operating expenses as a percentage of revenue increased to </w:t>
            </w:r>
            <w:r>
              <w:rPr>
                <w:rFonts w:ascii="Times New Roman" w:hAnsi="Times New Roman"/>
                <w:color w:val="000000"/>
                <w:sz w:val="20"/>
              </w:rPr>
              <w:t>33.8%</w:t>
            </w:r>
            <w:r>
              <w:rPr>
                <w:rFonts w:ascii="Times New Roman" w:hAnsi="Times New Roman"/>
                <w:sz w:val="20"/>
              </w:rPr>
              <w:t> </w:t>
            </w:r>
            <w:r>
              <w:rPr>
                <w:rFonts w:ascii="Times New Roman" w:hAnsi="Times New Roman"/>
                <w:color w:val="000000"/>
                <w:sz w:val="20"/>
              </w:rPr>
              <w:t>from 29.2%</w:t>
            </w:r>
            <w:r>
              <w:rPr>
                <w:rFonts w:ascii="Times New Roman" w:hAnsi="Times New Roman"/>
                <w:sz w:val="20"/>
              </w:rPr>
              <w:t xml:space="preserve">. Non-GAAP operating expenses, which exclude the effect of stock-based compensation, were </w:t>
            </w:r>
            <w:r>
              <w:rPr>
                <w:rFonts w:ascii="Times New Roman" w:hAnsi="Times New Roman"/>
                <w:color w:val="000000"/>
                <w:sz w:val="20"/>
              </w:rPr>
              <w:t>$63.4</w:t>
            </w:r>
            <w:r>
              <w:rPr>
                <w:rFonts w:ascii="Times New Roman" w:hAnsi="Times New Roman"/>
                <w:sz w:val="20"/>
              </w:rPr>
              <w:t xml:space="preserve"> million, up </w:t>
            </w:r>
            <w:r>
              <w:rPr>
                <w:rFonts w:ascii="Times New Roman" w:hAnsi="Times New Roman"/>
                <w:color w:val="000000"/>
                <w:sz w:val="20"/>
              </w:rPr>
              <w:t>38.8%</w:t>
            </w:r>
            <w:r>
              <w:rPr>
                <w:rFonts w:ascii="Times New Roman" w:hAnsi="Times New Roman"/>
                <w:sz w:val="20"/>
              </w:rPr>
              <w:t xml:space="preserve">. Non-GAAP operating expenses as a percentage of revenue increased to </w:t>
            </w:r>
            <w:r>
              <w:rPr>
                <w:rFonts w:ascii="Times New Roman" w:hAnsi="Times New Roman"/>
                <w:color w:val="000000"/>
                <w:sz w:val="20"/>
              </w:rPr>
              <w:t>29.4%</w:t>
            </w:r>
            <w:r>
              <w:rPr>
                <w:rFonts w:ascii="Times New Roman" w:hAnsi="Times New Roman"/>
                <w:sz w:val="20"/>
              </w:rPr>
              <w:t xml:space="preserve"> from </w:t>
            </w:r>
            <w:r>
              <w:rPr>
                <w:rFonts w:ascii="Times New Roman" w:hAnsi="Times New Roman"/>
                <w:color w:val="000000"/>
                <w:sz w:val="20"/>
              </w:rPr>
              <w:t>22.5%</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5a8b4948947a42348dda9dc5d211971a"/>
      <w:bookmarkStart w:id="25" w:name="z5a8b4948947a42348dda9dc5d211971a"/>
      <w:bookmarkEnd w:id="2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Operating income</w:t>
            </w:r>
            <w:r>
              <w:rPr>
                <w:rFonts w:ascii="Times New Roman" w:hAnsi="Times New Roman"/>
                <w:sz w:val="20"/>
              </w:rPr>
              <w:t xml:space="preserve"> was </w:t>
            </w:r>
            <w:r>
              <w:rPr>
                <w:rFonts w:ascii="Times New Roman" w:hAnsi="Times New Roman"/>
                <w:color w:val="000000"/>
                <w:sz w:val="20"/>
              </w:rPr>
              <w:t>$31.7</w:t>
            </w:r>
            <w:r>
              <w:rPr>
                <w:rFonts w:ascii="Times New Roman" w:hAnsi="Times New Roman"/>
                <w:sz w:val="20"/>
              </w:rPr>
              <w:t xml:space="preserve"> million, compared to </w:t>
            </w:r>
            <w:r>
              <w:rPr>
                <w:rFonts w:ascii="Times New Roman" w:hAnsi="Times New Roman"/>
                <w:color w:val="000000"/>
                <w:sz w:val="20"/>
              </w:rPr>
              <w:t>$37.6</w:t>
            </w:r>
            <w:r>
              <w:rPr>
                <w:rFonts w:ascii="Times New Roman" w:hAnsi="Times New Roman"/>
                <w:sz w:val="20"/>
              </w:rPr>
              <w:t xml:space="preserve"> million. Operating margin was </w:t>
            </w:r>
            <w:r>
              <w:rPr>
                <w:rFonts w:ascii="Times New Roman" w:hAnsi="Times New Roman"/>
                <w:color w:val="000000"/>
                <w:sz w:val="20"/>
              </w:rPr>
              <w:t>14.7%</w:t>
            </w:r>
            <w:r>
              <w:rPr>
                <w:rFonts w:ascii="Times New Roman" w:hAnsi="Times New Roman"/>
                <w:sz w:val="20"/>
              </w:rPr>
              <w:t xml:space="preserve"> compared to </w:t>
            </w:r>
            <w:r>
              <w:rPr>
                <w:rFonts w:ascii="Times New Roman" w:hAnsi="Times New Roman"/>
                <w:color w:val="000000"/>
                <w:sz w:val="20"/>
              </w:rPr>
              <w:t>18.6%</w:t>
            </w:r>
            <w:r>
              <w:rPr>
                <w:rFonts w:ascii="Times New Roman" w:hAnsi="Times New Roman"/>
                <w:sz w:val="20"/>
              </w:rPr>
              <w:t xml:space="preserve">. Non-GAAP operating income, which excludes the effect of stock-based compensation, was </w:t>
            </w:r>
            <w:r>
              <w:rPr>
                <w:rFonts w:ascii="Times New Roman" w:hAnsi="Times New Roman"/>
                <w:color w:val="000000"/>
                <w:sz w:val="20"/>
              </w:rPr>
              <w:t>$41.5</w:t>
            </w:r>
            <w:r>
              <w:rPr>
                <w:rFonts w:ascii="Times New Roman" w:hAnsi="Times New Roman"/>
                <w:sz w:val="20"/>
              </w:rPr>
              <w:t xml:space="preserve"> million, compared to </w:t>
            </w:r>
            <w:r>
              <w:rPr>
                <w:rFonts w:ascii="Times New Roman" w:hAnsi="Times New Roman"/>
                <w:color w:val="000000"/>
                <w:sz w:val="20"/>
              </w:rPr>
              <w:t>$51.9</w:t>
            </w:r>
            <w:r>
              <w:rPr>
                <w:rFonts w:ascii="Times New Roman" w:hAnsi="Times New Roman"/>
                <w:sz w:val="20"/>
              </w:rPr>
              <w:t xml:space="preserve"> million. Non-GAAP operating margin, which excludes stock-based compensation, was </w:t>
            </w:r>
            <w:r>
              <w:rPr>
                <w:rFonts w:ascii="Times New Roman" w:hAnsi="Times New Roman"/>
                <w:color w:val="000000"/>
                <w:sz w:val="20"/>
              </w:rPr>
              <w:t>19.3%</w:t>
            </w:r>
            <w:r>
              <w:rPr>
                <w:rFonts w:ascii="Times New Roman" w:hAnsi="Times New Roman"/>
                <w:sz w:val="20"/>
              </w:rPr>
              <w:t xml:space="preserve"> compared to </w:t>
            </w:r>
            <w:r>
              <w:rPr>
                <w:rFonts w:ascii="Times New Roman" w:hAnsi="Times New Roman"/>
                <w:color w:val="000000"/>
                <w:sz w:val="20"/>
              </w:rPr>
              <w:t>25.6%</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00795e302f024a57b378ad05989aa21f"/>
      <w:bookmarkStart w:id="27" w:name="z00795e302f024a57b378ad05989aa21f"/>
      <w:bookmarkEnd w:id="2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Unrealized gain on short-term investments</w:t>
            </w:r>
            <w:r>
              <w:rPr>
                <w:rFonts w:ascii="Times New Roman" w:hAnsi="Times New Roman"/>
                <w:sz w:val="20"/>
              </w:rPr>
              <w:t xml:space="preserve"> was </w:t>
            </w:r>
            <w:r>
              <w:rPr>
                <w:rFonts w:ascii="Times New Roman" w:hAnsi="Times New Roman"/>
                <w:color w:val="000000"/>
                <w:sz w:val="20"/>
              </w:rPr>
              <w:t>$2.7</w:t>
            </w:r>
            <w:r>
              <w:rPr>
                <w:rFonts w:ascii="Times New Roman" w:hAnsi="Times New Roman"/>
                <w:sz w:val="20"/>
              </w:rPr>
              <w:t xml:space="preserve"> million, compared to an unrealized gain of </w:t>
            </w:r>
            <w:r>
              <w:rPr>
                <w:rFonts w:ascii="Times New Roman" w:hAnsi="Times New Roman"/>
                <w:color w:val="000000"/>
                <w:sz w:val="20"/>
              </w:rPr>
              <w:t>$1.0</w:t>
            </w:r>
            <w:r>
              <w:rPr>
                <w:rFonts w:ascii="Times New Roman" w:hAnsi="Times New Roman"/>
                <w:sz w:val="20"/>
              </w:rPr>
              <w:t xml:space="preserve"> million. Unrealized gain reflects the change in market value of the investments by ACM’s principal operating subsidiary, ACM Research (Shanghai), Inc. The value is marked-to-market quarterly and is excluded in the non-GAAP financial metrics.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8" w:name="zca9d6e12a79d4f68ae7d3c12b1e27d5d"/>
      <w:bookmarkStart w:id="29" w:name="zca9d6e12a79d4f68ae7d3c12b1e27d5d"/>
      <w:bookmarkEnd w:id="29"/>
    </w:p>
    <w:tbl>
      <w:tblPr>
        <w:tblW w:w="5395" w:type="dxa"/>
        <w:jc w:val="left"/>
        <w:tblInd w:w="0" w:type="dxa"/>
        <w:tblLayout w:type="fixed"/>
        <w:tblCellMar>
          <w:top w:w="0" w:type="dxa"/>
          <w:left w:w="0" w:type="dxa"/>
          <w:bottom w:w="0" w:type="dxa"/>
          <w:right w:w="0" w:type="dxa"/>
        </w:tblCellMar>
      </w:tblPr>
      <w:tblGrid>
        <w:gridCol w:w="125"/>
        <w:gridCol w:w="5270"/>
      </w:tblGrid>
      <w:tr>
        <w:trPr/>
        <w:tc>
          <w:tcPr>
            <w:tcW w:w="125"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Income tax expense</w:t>
            </w:r>
            <w:r>
              <w:rPr>
                <w:rFonts w:ascii="Times New Roman" w:hAnsi="Times New Roman"/>
                <w:sz w:val="20"/>
              </w:rPr>
              <w:t xml:space="preserve"> was </w:t>
            </w:r>
            <w:r>
              <w:rPr>
                <w:rFonts w:ascii="Times New Roman" w:hAnsi="Times New Roman"/>
                <w:color w:val="000000"/>
                <w:sz w:val="20"/>
              </w:rPr>
              <w:t>$1.9</w:t>
            </w:r>
            <w:r>
              <w:rPr>
                <w:rFonts w:ascii="Times New Roman" w:hAnsi="Times New Roman"/>
                <w:sz w:val="20"/>
              </w:rPr>
              <w:t xml:space="preserve"> million, </w:t>
            </w:r>
            <w:r>
              <w:rPr>
                <w:rFonts w:ascii="Times New Roman" w:hAnsi="Times New Roman"/>
                <w:color w:val="000000"/>
                <w:sz w:val="20"/>
              </w:rPr>
              <w:t>compared</w:t>
            </w:r>
            <w:r>
              <w:rPr>
                <w:rFonts w:ascii="Times New Roman" w:hAnsi="Times New Roman"/>
                <w:sz w:val="20"/>
              </w:rPr>
              <w:t xml:space="preserve"> to </w:t>
            </w:r>
            <w:r>
              <w:rPr>
                <w:rFonts w:ascii="Times New Roman" w:hAnsi="Times New Roman"/>
                <w:color w:val="000000"/>
                <w:sz w:val="20"/>
              </w:rPr>
              <w:t>$9.3</w:t>
            </w:r>
            <w:r>
              <w:rPr>
                <w:rFonts w:ascii="Times New Roman" w:hAnsi="Times New Roman"/>
                <w:sz w:val="20"/>
              </w:rPr>
              <w:t xml:space="preserve">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89c2a5780b4843f99ea7da4573dbab8e"/>
      <w:bookmarkStart w:id="31" w:name="z89c2a5780b4843f99ea7da4573dbab8e"/>
      <w:bookmarkEnd w:id="3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Net income attributable to ACM Research, Inc.</w:t>
            </w:r>
            <w:r>
              <w:rPr>
                <w:rFonts w:ascii="Times New Roman" w:hAnsi="Times New Roman"/>
                <w:sz w:val="20"/>
              </w:rPr>
              <w:t xml:space="preserve"> was </w:t>
            </w:r>
            <w:r>
              <w:rPr>
                <w:rFonts w:ascii="Times New Roman" w:hAnsi="Times New Roman"/>
                <w:color w:val="000000"/>
                <w:sz w:val="20"/>
              </w:rPr>
              <w:t>$29.8</w:t>
            </w:r>
            <w:r>
              <w:rPr>
                <w:rFonts w:ascii="Times New Roman" w:hAnsi="Times New Roman"/>
                <w:sz w:val="20"/>
              </w:rPr>
              <w:t xml:space="preserve"> million, compared to </w:t>
            </w:r>
            <w:r>
              <w:rPr>
                <w:rFonts w:ascii="Times New Roman" w:hAnsi="Times New Roman"/>
                <w:color w:val="000000"/>
                <w:sz w:val="20"/>
              </w:rPr>
              <w:t>$24.2</w:t>
            </w:r>
            <w:r>
              <w:rPr>
                <w:rFonts w:ascii="Times New Roman" w:hAnsi="Times New Roman"/>
                <w:sz w:val="20"/>
              </w:rPr>
              <w:t xml:space="preserve"> million.  Non-GAAP net income attributable to ACM Research, Inc., which excludes the effect of stock-based compensation and unrealized gain on short-term investments, was </w:t>
            </w:r>
            <w:r>
              <w:rPr>
                <w:rFonts w:ascii="Times New Roman" w:hAnsi="Times New Roman"/>
                <w:color w:val="000000"/>
                <w:sz w:val="20"/>
              </w:rPr>
              <w:t>$36.8</w:t>
            </w:r>
            <w:r>
              <w:rPr>
                <w:rFonts w:ascii="Times New Roman" w:hAnsi="Times New Roman"/>
                <w:sz w:val="20"/>
              </w:rPr>
              <w:t xml:space="preserve"> million, compared to </w:t>
            </w:r>
            <w:r>
              <w:rPr>
                <w:rFonts w:ascii="Times New Roman" w:hAnsi="Times New Roman"/>
                <w:color w:val="000000"/>
                <w:sz w:val="20"/>
              </w:rPr>
              <w:t>$37.5</w:t>
            </w:r>
            <w:r>
              <w:rPr>
                <w:rFonts w:ascii="Times New Roman" w:hAnsi="Times New Roman"/>
                <w:sz w:val="20"/>
              </w:rPr>
              <w:t xml:space="preserve">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fc86d2efc38e4c79a07b69e23b5af00a"/>
      <w:bookmarkStart w:id="33" w:name="zfc86d2efc38e4c79a07b69e23b5af00a"/>
      <w:bookmarkEnd w:id="3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Net income per diluted share attributable to ACM Research, Inc.</w:t>
            </w:r>
            <w:r>
              <w:rPr>
                <w:rFonts w:ascii="Times New Roman" w:hAnsi="Times New Roman"/>
                <w:sz w:val="20"/>
              </w:rPr>
              <w:t xml:space="preserve"> was </w:t>
            </w:r>
            <w:r>
              <w:rPr>
                <w:rFonts w:ascii="Times New Roman" w:hAnsi="Times New Roman"/>
                <w:color w:val="000000"/>
                <w:sz w:val="20"/>
              </w:rPr>
              <w:t>$0.44</w:t>
            </w:r>
            <w:r>
              <w:rPr>
                <w:rFonts w:ascii="Times New Roman" w:hAnsi="Times New Roman"/>
                <w:sz w:val="20"/>
              </w:rPr>
              <w:t xml:space="preserve">, compared to </w:t>
            </w:r>
            <w:r>
              <w:rPr>
                <w:rFonts w:ascii="Times New Roman" w:hAnsi="Times New Roman"/>
                <w:color w:val="000000"/>
                <w:sz w:val="20"/>
              </w:rPr>
              <w:t>$0.35</w:t>
            </w:r>
            <w:r>
              <w:rPr>
                <w:rFonts w:ascii="Times New Roman" w:hAnsi="Times New Roman"/>
                <w:sz w:val="20"/>
              </w:rPr>
              <w:t xml:space="preserve">.  Non-GAAP net income per diluted share, which excludes the effect of stock-based compensation and unrealized gain on short-term investments, was </w:t>
            </w:r>
            <w:r>
              <w:rPr>
                <w:rFonts w:ascii="Times New Roman" w:hAnsi="Times New Roman"/>
                <w:color w:val="000000"/>
                <w:sz w:val="20"/>
              </w:rPr>
              <w:t>$0.54</w:t>
            </w:r>
            <w:r>
              <w:rPr>
                <w:rFonts w:ascii="Times New Roman" w:hAnsi="Times New Roman"/>
                <w:sz w:val="20"/>
              </w:rPr>
              <w:t xml:space="preserve">, compared to </w:t>
            </w:r>
            <w:r>
              <w:rPr>
                <w:rFonts w:ascii="Times New Roman" w:hAnsi="Times New Roman"/>
                <w:color w:val="000000"/>
                <w:sz w:val="20"/>
              </w:rPr>
              <w:t>$0.55</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9c8c1ac49bce4620bfd8651da29517d4"/>
      <w:bookmarkStart w:id="35" w:name="z9c8c1ac49bce4620bfd8651da29517d4"/>
      <w:bookmarkEnd w:id="3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 plus restricted cash and short-term and long-term time deposits were </w:t>
            </w:r>
            <w:r>
              <w:rPr>
                <w:rFonts w:ascii="Times New Roman" w:hAnsi="Times New Roman"/>
                <w:color w:val="000000"/>
                <w:sz w:val="20"/>
              </w:rPr>
              <w:t>$483.9</w:t>
            </w:r>
            <w:r>
              <w:rPr>
                <w:rFonts w:ascii="Times New Roman" w:hAnsi="Times New Roman"/>
                <w:sz w:val="20"/>
              </w:rPr>
              <w:t xml:space="preserve"> million at June 30, 2025, compared to </w:t>
            </w:r>
            <w:r>
              <w:rPr>
                <w:rFonts w:ascii="Times New Roman" w:hAnsi="Times New Roman"/>
                <w:color w:val="000000"/>
                <w:sz w:val="20"/>
              </w:rPr>
              <w:t>$498.4</w:t>
            </w:r>
            <w:r>
              <w:rPr>
                <w:rFonts w:ascii="Times New Roman" w:hAnsi="Times New Roman"/>
                <w:sz w:val="20"/>
              </w:rPr>
              <w:t xml:space="preserve"> million at March 31, 2025.</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Conference Call Details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conference call to discuss results will be held on Wednesday, August 6, 2025,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 xml:space="preserve">Online Registration: </w:t>
      </w:r>
      <w:r>
        <w:rPr>
          <w:rFonts w:ascii="Times New Roman" w:hAnsi="Times New Roman"/>
          <w:color w:val="000000"/>
          <w:sz w:val="20"/>
          <w:u w:val="single"/>
        </w:rPr>
        <w:t>https://register-conf.media-server.com/register/BI4cceb211743b41b191ff1a256e07b4cf</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Participants who have not pre-registered may join the webcast by accessing the link at ir.acmrcsh.com/events.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 live and archived webcast will be available on the Investors section of the ACM website at </w:t>
      </w:r>
      <w:r>
        <w:rPr>
          <w:rFonts w:ascii="Times New Roman" w:hAnsi="Times New Roman"/>
          <w:color w:val="000000"/>
          <w:sz w:val="20"/>
          <w:u w:val="single"/>
        </w:rPr>
        <w:t>www.acmrcsh.com.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Use of Non-GAAP Financial Measures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About ACM Research, Inc.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ACM develops, manufactures and sells semiconductor process equipment for single-wafer or batch wet cleaning, electroplating, stress-free polishing, vertical furnace processes, Track and PECVD, which are critical to advanced semiconductor device manufacturing and wafer-level packaging. ACM is committed to delivering customized, high- performance, cost-effective process solutions that semiconductor manufacturers can use in numerous manufacturing steps to improve productivity and product yield. For more information, visit </w:t>
      </w:r>
      <w:r>
        <w:rPr>
          <w:rFonts w:ascii="Times New Roman" w:hAnsi="Times New Roman"/>
          <w:color w:val="000000"/>
          <w:sz w:val="20"/>
          <w:u w:val="single"/>
        </w:rPr>
        <w:t>www.acmrcsh.com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 investor and media inquiries, please contact: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d3c0cea228564c1fb6cb8bcdc6b2883c"/>
      <w:bookmarkStart w:id="37" w:name="zd3c0cea228564c1fb6cb8bcdc6b2883c"/>
      <w:bookmarkEnd w:id="37"/>
    </w:p>
    <w:tbl>
      <w:tblPr>
        <w:tblW w:w="3850" w:type="dxa"/>
        <w:jc w:val="left"/>
        <w:tblInd w:w="0" w:type="dxa"/>
        <w:tblLayout w:type="fixed"/>
        <w:tblCellMar>
          <w:top w:w="0" w:type="dxa"/>
          <w:left w:w="0" w:type="dxa"/>
          <w:bottom w:w="0" w:type="dxa"/>
          <w:right w:w="0" w:type="dxa"/>
        </w:tblCellMar>
      </w:tblPr>
      <w:tblGrid>
        <w:gridCol w:w="1670"/>
        <w:gridCol w:w="2180"/>
      </w:tblGrid>
      <w:tr>
        <w:trPr/>
        <w:tc>
          <w:tcPr>
            <w:tcW w:w="1670" w:type="dxa"/>
            <w:tcBorders/>
            <w:vAlign w:val="center"/>
          </w:tcPr>
          <w:p>
            <w:pPr>
              <w:pStyle w:val="TableContents"/>
              <w:bidi w:val="0"/>
              <w:spacing w:before="0" w:after="0"/>
              <w:ind w:left="360" w:right="0" w:hanging="0"/>
              <w:jc w:val="left"/>
              <w:rPr>
                <w:rFonts w:ascii="Times New Roman" w:hAnsi="Times New Roman"/>
                <w:sz w:val="20"/>
                <w:u w:val="single"/>
              </w:rPr>
            </w:pPr>
            <w:r>
              <w:rPr>
                <w:rFonts w:ascii="Times New Roman" w:hAnsi="Times New Roman"/>
                <w:color w:val="000000"/>
                <w:sz w:val="20"/>
                <w:u w:val="single"/>
              </w:rPr>
              <w:t>In the United States</w:t>
            </w:r>
            <w:r>
              <w:rPr>
                <w:rFonts w:ascii="Times New Roman" w:hAnsi="Times New Roman"/>
                <w:sz w:val="20"/>
                <w:u w:val="single"/>
              </w:rPr>
              <w:t>:</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Blueshirt Group</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C. Pelayo, CFA</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(360) 808-5154</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steven@blueshirtgroup.co</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ind w:left="360" w:right="0" w:hanging="0"/>
              <w:jc w:val="left"/>
              <w:rPr>
                <w:rFonts w:ascii="Times New Roman" w:hAnsi="Times New Roman"/>
                <w:sz w:val="20"/>
                <w:u w:val="single"/>
              </w:rPr>
            </w:pPr>
            <w:r>
              <w:rPr>
                <w:rFonts w:ascii="Times New Roman" w:hAnsi="Times New Roman"/>
                <w:color w:val="000000"/>
                <w:sz w:val="20"/>
                <w:u w:val="single"/>
              </w:rPr>
              <w:t>In China</w:t>
            </w:r>
            <w:r>
              <w:rPr>
                <w:rFonts w:ascii="Times New Roman" w:hAnsi="Times New Roman"/>
                <w:sz w:val="20"/>
                <w:u w:val="single"/>
              </w:rPr>
              <w:t>:</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Blueshirt Group Asia</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Gary Dvorchak, CFA</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 (138) 1079-1480</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gary@blueshirtgroup.co</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aa08688373a44f688fcce7d8a110d31c"/>
      <w:bookmarkStart w:id="39" w:name="zaa08688373a44f688fcce7d8a110d31c"/>
      <w:bookmarkEnd w:id="39"/>
    </w:p>
    <w:tbl>
      <w:tblPr>
        <w:tblW w:w="7059" w:type="dxa"/>
        <w:jc w:val="left"/>
        <w:tblInd w:w="0" w:type="dxa"/>
        <w:tblLayout w:type="fixed"/>
        <w:tblCellMar>
          <w:top w:w="0" w:type="dxa"/>
          <w:left w:w="0" w:type="dxa"/>
          <w:bottom w:w="0" w:type="dxa"/>
          <w:right w:w="0" w:type="dxa"/>
        </w:tblCellMar>
      </w:tblPr>
      <w:tblGrid>
        <w:gridCol w:w="3950"/>
        <w:gridCol w:w="60"/>
        <w:gridCol w:w="153"/>
        <w:gridCol w:w="1036"/>
        <w:gridCol w:w="80"/>
        <w:gridCol w:w="60"/>
        <w:gridCol w:w="211"/>
        <w:gridCol w:w="1429"/>
        <w:gridCol w:w="80"/>
      </w:tblGrid>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2024</w:t>
            </w:r>
          </w:p>
        </w:tc>
        <w:tc>
          <w:tcPr>
            <w:tcW w:w="8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9"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8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442,088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407,445</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Restricted cash</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3,865</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time deposits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17,277</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investment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19,373</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433,662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387,045</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receivables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43,708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41,859</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Inventories, net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648,278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597,984</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Advances to related parties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1,024</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7,507</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1,645,653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1,483,379</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Property, plant and equipment, net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290,944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269,272</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right-of-use assets, net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14,038</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Intangible assets, net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3,461</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time deposits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13,275</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tax assets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14,781</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investments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56,723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37,063</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long-term assets</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20,452</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540" w:right="0" w:hanging="0"/>
              <w:jc w:val="left"/>
              <w:rPr>
                <w:rFonts w:ascii="Times New Roman" w:hAnsi="Times New Roman"/>
                <w:b/>
                <w:color w:val="000000"/>
                <w:sz w:val="20"/>
              </w:rPr>
            </w:pPr>
            <w:r>
              <w:rPr>
                <w:rFonts w:ascii="Times New Roman" w:hAnsi="Times New Roman"/>
                <w:b/>
                <w:color w:val="000000"/>
                <w:sz w:val="20"/>
              </w:rPr>
              <w:t>Total assets</w:t>
            </w:r>
          </w:p>
        </w:tc>
        <w:tc>
          <w:tcPr>
            <w:tcW w:w="60" w:type="dxa"/>
            <w:tcBorders/>
            <w:vAlign w:val="bottom"/>
          </w:tcPr>
          <w:p>
            <w:pPr>
              <w:pStyle w:val="TableContents"/>
              <w:bidi w:val="0"/>
              <w:spacing w:before="0" w:after="283"/>
              <w:jc w:val="lef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2,039,715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2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1,855,721</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Liabilities and Equity</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52,969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32,814</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portion of long-term borrowings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44,472</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Related parties accounts payable</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16,133</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148,780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139,294</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Advances from customers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221,446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243,949</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revenue</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8,537</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taxes payable</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12,779</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FIN-48 payable</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19,466</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payables and accrued expenses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126,787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121,657</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60"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2,132</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671,012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641,233</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borrowings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162,991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105,525</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operating lease liability</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3,840</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long-term liabilities</w:t>
            </w:r>
          </w:p>
        </w:tc>
        <w:tc>
          <w:tcPr>
            <w:tcW w:w="60"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9,217</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ind w:left="540" w:right="0" w:hanging="0"/>
              <w:jc w:val="left"/>
              <w:rPr>
                <w:rFonts w:ascii="Times New Roman" w:hAnsi="Times New Roman"/>
                <w:b/>
                <w:color w:val="000000"/>
                <w:sz w:val="20"/>
              </w:rPr>
            </w:pPr>
            <w:r>
              <w:rPr>
                <w:rFonts w:ascii="Times New Roman" w:hAnsi="Times New Roman"/>
                <w:b/>
                <w:color w:val="000000"/>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3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848,026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759,815</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Commitments and contingencies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Equity:</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Stockholders’ equity:</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B Common stock</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704,570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677,476</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310,140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260,000</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Statutory surplus reserve</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30,514</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(58,781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(63,372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95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ACM Research, Inc. stockholders’ equity</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986,450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904,625</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Non-controlling interests</w:t>
            </w:r>
          </w:p>
        </w:tc>
        <w:tc>
          <w:tcPr>
            <w:tcW w:w="60"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205,239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191,281</w:t>
            </w:r>
          </w:p>
        </w:tc>
        <w:tc>
          <w:tcPr>
            <w:tcW w:w="8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equity</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1,191,689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1,095,906</w:t>
            </w:r>
          </w:p>
        </w:tc>
        <w:tc>
          <w:tcPr>
            <w:tcW w:w="8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Total liabilities and equity</w:t>
            </w:r>
          </w:p>
        </w:tc>
        <w:tc>
          <w:tcPr>
            <w:tcW w:w="60" w:type="dxa"/>
            <w:tcBorders/>
            <w:vAlign w:val="bottom"/>
          </w:tcPr>
          <w:p>
            <w:pPr>
              <w:pStyle w:val="TableContents"/>
              <w:bidi w:val="0"/>
              <w:spacing w:before="0" w:after="283"/>
              <w:jc w:val="lef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2,039,715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42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1,855,721</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Income</w:t>
      </w:r>
    </w:p>
    <w:p>
      <w:pPr>
        <w:pStyle w:val="Normal"/>
        <w:bidi w:val="0"/>
        <w:spacing w:before="0" w:after="0"/>
        <w:jc w:val="left"/>
        <w:rPr>
          <w:sz w:val="4"/>
          <w:szCs w:val="4"/>
        </w:rPr>
      </w:pPr>
      <w:r>
        <w:rPr>
          <w:sz w:val="4"/>
          <w:szCs w:val="4"/>
        </w:rPr>
      </w:r>
      <w:bookmarkStart w:id="40" w:name="z9755e2202ef7401d98f992967bdd8cd1"/>
      <w:bookmarkStart w:id="41" w:name="z9755e2202ef7401d98f992967bdd8cd1"/>
      <w:bookmarkEnd w:id="41"/>
    </w:p>
    <w:tbl>
      <w:tblPr>
        <w:tblW w:w="10205" w:type="dxa"/>
        <w:jc w:val="left"/>
        <w:tblInd w:w="0" w:type="dxa"/>
        <w:tblLayout w:type="fixed"/>
        <w:tblCellMar>
          <w:top w:w="0" w:type="dxa"/>
          <w:left w:w="0" w:type="dxa"/>
          <w:bottom w:w="0" w:type="dxa"/>
          <w:right w:w="0" w:type="dxa"/>
        </w:tblCellMar>
      </w:tblPr>
      <w:tblGrid>
        <w:gridCol w:w="5170"/>
        <w:gridCol w:w="60"/>
        <w:gridCol w:w="133"/>
        <w:gridCol w:w="1020"/>
        <w:gridCol w:w="85"/>
        <w:gridCol w:w="64"/>
        <w:gridCol w:w="133"/>
        <w:gridCol w:w="1020"/>
        <w:gridCol w:w="80"/>
        <w:gridCol w:w="60"/>
        <w:gridCol w:w="125"/>
        <w:gridCol w:w="952"/>
        <w:gridCol w:w="80"/>
        <w:gridCol w:w="60"/>
        <w:gridCol w:w="125"/>
        <w:gridCol w:w="952"/>
        <w:gridCol w:w="86"/>
      </w:tblGrid>
      <w:tr>
        <w:trPr/>
        <w:tc>
          <w:tcPr>
            <w:tcW w:w="5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 June 30,</w:t>
            </w:r>
          </w:p>
        </w:tc>
        <w:tc>
          <w:tcPr>
            <w:tcW w:w="86" w:type="dxa"/>
            <w:tcBorders/>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6" w:type="dxa"/>
            <w:tcBorders/>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9" w:type="dxa"/>
            <w:gridSpan w:val="14"/>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(Unaudited)</w:t>
            </w:r>
          </w:p>
        </w:tc>
        <w:tc>
          <w:tcPr>
            <w:tcW w:w="86" w:type="dxa"/>
            <w:tcBorders/>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9"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 In thousands, except share and per share data)</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215,372</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387,719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354,671</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w:t>
            </w:r>
          </w:p>
        </w:tc>
        <w:tc>
          <w:tcPr>
            <w:tcW w:w="60" w:type="dxa"/>
            <w:tcBorders/>
            <w:vAlign w:val="bottom"/>
          </w:tcPr>
          <w:p>
            <w:pPr>
              <w:pStyle w:val="TableContents"/>
              <w:bidi w:val="0"/>
              <w:spacing w:before="0" w:after="283"/>
              <w:jc w:val="lef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110,911</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105,696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200,708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178,766</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Gross profit</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104,461</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96,784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187,011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175,905</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22,102</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31,308</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33,817</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49,886</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16,848</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31,886</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Total operating expenses</w:t>
            </w:r>
          </w:p>
        </w:tc>
        <w:tc>
          <w:tcPr>
            <w:tcW w:w="60" w:type="dxa"/>
            <w:tcBorders/>
            <w:vAlign w:val="bottom"/>
          </w:tcPr>
          <w:p>
            <w:pPr>
              <w:pStyle w:val="TableContents"/>
              <w:bidi w:val="0"/>
              <w:spacing w:before="0" w:after="283"/>
              <w:jc w:val="lef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72,767</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59,191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129,540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113,080</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Income from operations</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31,694</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57,471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62,825</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income</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4,013</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4,155</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(1,757</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(1,715</w:t>
            </w:r>
          </w:p>
        </w:tc>
        <w:tc>
          <w:tcPr>
            <w:tcW w:w="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Realized gain on short-term investments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Unrealized gain (loss) on short-term investments</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2,730</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(1,564</w:t>
            </w:r>
          </w:p>
        </w:tc>
        <w:tc>
          <w:tcPr>
            <w:tcW w:w="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(expense) income, net</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w:t>
            </w:r>
          </w:p>
        </w:tc>
        <w:tc>
          <w:tcPr>
            <w:tcW w:w="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4,437</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(loss) from equity method investments</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1,773</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(1,215</w:t>
            </w:r>
          </w:p>
        </w:tc>
        <w:tc>
          <w:tcPr>
            <w:tcW w:w="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70"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Income before income taxes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38,161</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65,327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67,196</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(1,891</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(13,705</w:t>
            </w:r>
          </w:p>
        </w:tc>
        <w:tc>
          <w:tcPr>
            <w:tcW w:w="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70"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Net income</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36,270</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61,283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53,491</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6,510</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11,848</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Net income attributable to ACM Research, Inc.</w:t>
            </w:r>
          </w:p>
        </w:tc>
        <w:tc>
          <w:tcPr>
            <w:tcW w:w="60"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29,760</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41,643</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Comprehensive income:</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36,270</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61,283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53,491</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Foreign currency translation adjustment, net of tax of nil</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3,905</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(6,713</w:t>
            </w:r>
          </w:p>
        </w:tc>
        <w:tc>
          <w:tcPr>
            <w:tcW w:w="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70"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Comprehensive Income</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40,175</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66,938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46,778</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Comprehensive income attributable to non-controlling interests</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7,250</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10,616</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Comprehensive income attributable to ACM Research, Inc.</w:t>
            </w:r>
          </w:p>
        </w:tc>
        <w:tc>
          <w:tcPr>
            <w:tcW w:w="60"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32,925</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54,731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36,162</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attributable to ACM Research, Inc. per common share:</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left"/>
              <w:rPr/>
            </w:pPr>
            <w:r>
              <w:rPr/>
              <w:t> </w:t>
            </w:r>
          </w:p>
        </w:tc>
        <w:tc>
          <w:tcPr>
            <w:tcW w:w="1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0.47</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0.67</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0.44</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0.61</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common shares outstanding used in computing per share amounts: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r>
      <w:tr>
        <w:trPr/>
        <w:tc>
          <w:tcPr>
            <w:tcW w:w="517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left"/>
              <w:rPr/>
            </w:pPr>
            <w:r>
              <w:rPr/>
              <w:t> </w:t>
            </w:r>
          </w:p>
        </w:tc>
        <w:tc>
          <w:tcPr>
            <w:tcW w:w="13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63,968,763</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62,178,369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63,620,235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61,772,776</w:t>
            </w:r>
          </w:p>
        </w:tc>
        <w:tc>
          <w:tcPr>
            <w:tcW w:w="86"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lef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67,464,856</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67,057,846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67,138,338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66,520,706</w:t>
            </w:r>
          </w:p>
        </w:tc>
        <w:tc>
          <w:tcPr>
            <w:tcW w:w="86"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Total Revenue by Product Category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2d835dc058d0448eb9fc693965777021"/>
      <w:bookmarkStart w:id="43" w:name="z2d835dc058d0448eb9fc693965777021"/>
      <w:bookmarkEnd w:id="43"/>
    </w:p>
    <w:tbl>
      <w:tblPr>
        <w:tblW w:w="10205" w:type="dxa"/>
        <w:jc w:val="left"/>
        <w:tblInd w:w="0" w:type="dxa"/>
        <w:tblLayout w:type="fixed"/>
        <w:tblCellMar>
          <w:top w:w="0" w:type="dxa"/>
          <w:left w:w="0" w:type="dxa"/>
          <w:bottom w:w="0" w:type="dxa"/>
          <w:right w:w="0" w:type="dxa"/>
        </w:tblCellMar>
      </w:tblPr>
      <w:tblGrid>
        <w:gridCol w:w="5198"/>
        <w:gridCol w:w="60"/>
        <w:gridCol w:w="177"/>
        <w:gridCol w:w="986"/>
        <w:gridCol w:w="84"/>
        <w:gridCol w:w="84"/>
        <w:gridCol w:w="177"/>
        <w:gridCol w:w="986"/>
        <w:gridCol w:w="60"/>
        <w:gridCol w:w="60"/>
        <w:gridCol w:w="161"/>
        <w:gridCol w:w="896"/>
        <w:gridCol w:w="77"/>
        <w:gridCol w:w="77"/>
        <w:gridCol w:w="161"/>
        <w:gridCol w:w="896"/>
        <w:gridCol w:w="65"/>
      </w:tblGrid>
      <w:tr>
        <w:trPr/>
        <w:tc>
          <w:tcPr>
            <w:tcW w:w="5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 June 30,</w:t>
            </w:r>
          </w:p>
        </w:tc>
        <w:tc>
          <w:tcPr>
            <w:tcW w:w="65" w:type="dxa"/>
            <w:tcBorders/>
            <w:vAlign w:val="bottom"/>
          </w:tcPr>
          <w:p>
            <w:pPr>
              <w:pStyle w:val="TableContents"/>
              <w:bidi w:val="0"/>
              <w:spacing w:before="0" w:after="283"/>
              <w:jc w:val="left"/>
              <w:rPr/>
            </w:pPr>
            <w:r>
              <w:rPr/>
              <w:t> </w:t>
            </w:r>
          </w:p>
        </w:tc>
      </w:tr>
      <w:tr>
        <w:trPr/>
        <w:tc>
          <w:tcPr>
            <w:tcW w:w="5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5" w:type="dxa"/>
            <w:tcBorders/>
            <w:vAlign w:val="bottom"/>
          </w:tcPr>
          <w:p>
            <w:pPr>
              <w:pStyle w:val="TableContents"/>
              <w:bidi w:val="0"/>
              <w:spacing w:before="0" w:after="283"/>
              <w:jc w:val="left"/>
              <w:rPr/>
            </w:pPr>
            <w:r>
              <w:rPr/>
              <w:t> </w:t>
            </w:r>
          </w:p>
        </w:tc>
      </w:tr>
      <w:tr>
        <w:trPr/>
        <w:tc>
          <w:tcPr>
            <w:tcW w:w="5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2"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(Unaudited)</w:t>
            </w:r>
          </w:p>
        </w:tc>
        <w:tc>
          <w:tcPr>
            <w:tcW w:w="65" w:type="dxa"/>
            <w:tcBorders/>
            <w:vAlign w:val="bottom"/>
          </w:tcPr>
          <w:p>
            <w:pPr>
              <w:pStyle w:val="TableContents"/>
              <w:bidi w:val="0"/>
              <w:spacing w:before="0" w:after="283"/>
              <w:jc w:val="left"/>
              <w:rPr/>
            </w:pPr>
            <w:r>
              <w:rPr/>
              <w:t> </w:t>
            </w:r>
          </w:p>
        </w:tc>
      </w:tr>
      <w:tr>
        <w:trPr/>
        <w:tc>
          <w:tcPr>
            <w:tcW w:w="5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82"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 in thousand)</w:t>
            </w:r>
          </w:p>
        </w:tc>
        <w:tc>
          <w:tcPr>
            <w:tcW w:w="65" w:type="dxa"/>
            <w:tcBorders/>
            <w:vAlign w:val="bottom"/>
          </w:tcPr>
          <w:p>
            <w:pPr>
              <w:pStyle w:val="TableContents"/>
              <w:bidi w:val="0"/>
              <w:spacing w:before="0" w:after="283"/>
              <w:jc w:val="left"/>
              <w:rPr/>
            </w:pPr>
            <w:r>
              <w:rPr/>
              <w:t> </w:t>
            </w:r>
          </w:p>
        </w:tc>
      </w:tr>
      <w:tr>
        <w:trPr/>
        <w:tc>
          <w:tcPr>
            <w:tcW w:w="5198" w:type="dxa"/>
            <w:tcBorders/>
            <w:shd w:fill="CCEEFF" w:val="clear"/>
            <w:vAlign w:val="bottom"/>
          </w:tcPr>
          <w:p>
            <w:pPr>
              <w:pStyle w:val="TableContents"/>
              <w:bidi w:val="0"/>
              <w:spacing w:before="0" w:after="0"/>
              <w:ind w:left="180" w:right="0" w:hanging="144"/>
              <w:jc w:val="left"/>
              <w:rPr>
                <w:rFonts w:ascii="Times New Roman" w:hAnsi="Times New Roman"/>
                <w:color w:val="000000"/>
                <w:sz w:val="20"/>
              </w:rPr>
            </w:pPr>
            <w:r>
              <w:rPr>
                <w:rFonts w:ascii="Times New Roman" w:hAnsi="Times New Roman"/>
                <w:color w:val="000000"/>
                <w:sz w:val="20"/>
              </w:rPr>
              <w:t>Single wafer cleaning, Tahoe and semi-critical cleaning equipment</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154,961</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284,530</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262,691</w:t>
            </w:r>
          </w:p>
        </w:tc>
        <w:tc>
          <w:tcPr>
            <w:tcW w:w="65" w:type="dxa"/>
            <w:tcBorders/>
            <w:shd w:fill="CCEEFF" w:val="clear"/>
            <w:vAlign w:val="bottom"/>
          </w:tcPr>
          <w:p>
            <w:pPr>
              <w:pStyle w:val="TableContents"/>
              <w:bidi w:val="0"/>
              <w:spacing w:before="0" w:after="283"/>
              <w:jc w:val="left"/>
              <w:rPr/>
            </w:pPr>
            <w:r>
              <w:rPr/>
              <w:t> </w:t>
            </w:r>
          </w:p>
        </w:tc>
      </w:tr>
      <w:tr>
        <w:trPr/>
        <w:tc>
          <w:tcPr>
            <w:tcW w:w="5198" w:type="dxa"/>
            <w:tcBorders/>
            <w:vAlign w:val="bottom"/>
          </w:tcPr>
          <w:p>
            <w:pPr>
              <w:pStyle w:val="TableContents"/>
              <w:bidi w:val="0"/>
              <w:spacing w:before="0" w:after="0"/>
              <w:ind w:left="180" w:right="0" w:hanging="144"/>
              <w:jc w:val="left"/>
              <w:rPr>
                <w:rFonts w:ascii="Times New Roman" w:hAnsi="Times New Roman"/>
                <w:color w:val="000000"/>
                <w:sz w:val="20"/>
              </w:rPr>
            </w:pPr>
            <w:r>
              <w:rPr>
                <w:rFonts w:ascii="Times New Roman" w:hAnsi="Times New Roman"/>
                <w:color w:val="000000"/>
                <w:sz w:val="20"/>
              </w:rPr>
              <w:t>ECP (front-end and packaging), furnace and other technologies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48,016</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38,962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75,646</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64,762</w:t>
            </w:r>
          </w:p>
        </w:tc>
        <w:tc>
          <w:tcPr>
            <w:tcW w:w="65" w:type="dxa"/>
            <w:tcBorders/>
            <w:vAlign w:val="bottom"/>
          </w:tcPr>
          <w:p>
            <w:pPr>
              <w:pStyle w:val="TableContents"/>
              <w:bidi w:val="0"/>
              <w:spacing w:before="0" w:after="283"/>
              <w:jc w:val="left"/>
              <w:rPr/>
            </w:pPr>
            <w:r>
              <w:rPr/>
              <w:t> </w:t>
            </w:r>
          </w:p>
        </w:tc>
      </w:tr>
      <w:tr>
        <w:trPr/>
        <w:tc>
          <w:tcPr>
            <w:tcW w:w="5198" w:type="dxa"/>
            <w:tcBorders/>
            <w:shd w:fill="CCEEFF" w:val="clear"/>
            <w:vAlign w:val="bottom"/>
          </w:tcPr>
          <w:p>
            <w:pPr>
              <w:pStyle w:val="TableContents"/>
              <w:bidi w:val="0"/>
              <w:spacing w:before="0" w:after="0"/>
              <w:ind w:left="180" w:right="0" w:hanging="144"/>
              <w:jc w:val="left"/>
              <w:rPr>
                <w:rFonts w:ascii="Times New Roman" w:hAnsi="Times New Roman"/>
                <w:color w:val="000000"/>
                <w:sz w:val="20"/>
              </w:rPr>
            </w:pPr>
            <w:r>
              <w:rPr>
                <w:rFonts w:ascii="Times New Roman" w:hAnsi="Times New Roman"/>
                <w:color w:val="000000"/>
                <w:sz w:val="20"/>
              </w:rPr>
              <w:t>Advanced packaging (excluding ECP), services &amp; spares</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12,395</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27,543</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27,218</w:t>
            </w:r>
          </w:p>
        </w:tc>
        <w:tc>
          <w:tcPr>
            <w:tcW w:w="65" w:type="dxa"/>
            <w:tcBorders/>
            <w:shd w:fill="CCEEFF" w:val="clear"/>
            <w:vAlign w:val="bottom"/>
          </w:tcPr>
          <w:p>
            <w:pPr>
              <w:pStyle w:val="TableContents"/>
              <w:bidi w:val="0"/>
              <w:spacing w:before="0" w:after="283"/>
              <w:jc w:val="left"/>
              <w:rPr/>
            </w:pPr>
            <w:r>
              <w:rPr/>
              <w:t> </w:t>
            </w:r>
          </w:p>
        </w:tc>
      </w:tr>
      <w:tr>
        <w:trPr/>
        <w:tc>
          <w:tcPr>
            <w:tcW w:w="5198" w:type="dxa"/>
            <w:tcBorders/>
            <w:vAlign w:val="bottom"/>
          </w:tcPr>
          <w:p>
            <w:pPr>
              <w:pStyle w:val="TableContents"/>
              <w:bidi w:val="0"/>
              <w:spacing w:before="0" w:after="0"/>
              <w:ind w:left="180" w:right="0" w:hanging="144"/>
              <w:jc w:val="left"/>
              <w:rPr>
                <w:rFonts w:ascii="Times New Roman" w:hAnsi="Times New Roman"/>
                <w:b/>
                <w:color w:val="000000"/>
                <w:sz w:val="20"/>
              </w:rPr>
            </w:pPr>
            <w:r>
              <w:rPr>
                <w:rFonts w:ascii="Times New Roman" w:hAnsi="Times New Roman"/>
                <w:b/>
                <w:color w:val="000000"/>
                <w:sz w:val="20"/>
              </w:rPr>
              <w:t>Total Revenue By Product Category</w:t>
            </w:r>
          </w:p>
        </w:tc>
        <w:tc>
          <w:tcPr>
            <w:tcW w:w="60"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8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215,372</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8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202,480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387,719</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354,671</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 w:hAnsi="Times New Roman"/>
          <w:b/>
          <w:color w:val="000000"/>
          <w:sz w:val="20"/>
        </w:rPr>
      </w:pPr>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GAAP to Non-GAAP Financial Measures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 gross margin, operating expenses, operating income, net income attributable to ACM Research, Inc., and basic and diluted earnings per share to the related non-GAAP financial measures: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bb807191048a4b479c83574b7b3f364e"/>
      <w:bookmarkStart w:id="45" w:name="zbb807191048a4b479c83574b7b3f364e"/>
      <w:bookmarkEnd w:id="45"/>
    </w:p>
    <w:tbl>
      <w:tblPr>
        <w:tblW w:w="10205" w:type="dxa"/>
        <w:jc w:val="left"/>
        <w:tblInd w:w="0" w:type="dxa"/>
        <w:tblLayout w:type="fixed"/>
        <w:tblCellMar>
          <w:top w:w="0" w:type="dxa"/>
          <w:left w:w="0" w:type="dxa"/>
          <w:bottom w:w="0" w:type="dxa"/>
          <w:right w:w="0" w:type="dxa"/>
        </w:tblCellMar>
      </w:tblPr>
      <w:tblGrid>
        <w:gridCol w:w="1378"/>
        <w:gridCol w:w="60"/>
        <w:gridCol w:w="125"/>
        <w:gridCol w:w="755"/>
        <w:gridCol w:w="185"/>
        <w:gridCol w:w="60"/>
        <w:gridCol w:w="125"/>
        <w:gridCol w:w="545"/>
        <w:gridCol w:w="185"/>
        <w:gridCol w:w="60"/>
        <w:gridCol w:w="220"/>
        <w:gridCol w:w="855"/>
        <w:gridCol w:w="60"/>
        <w:gridCol w:w="60"/>
        <w:gridCol w:w="125"/>
        <w:gridCol w:w="755"/>
        <w:gridCol w:w="185"/>
        <w:gridCol w:w="60"/>
        <w:gridCol w:w="125"/>
        <w:gridCol w:w="755"/>
        <w:gridCol w:w="185"/>
        <w:gridCol w:w="60"/>
        <w:gridCol w:w="125"/>
        <w:gridCol w:w="650"/>
        <w:gridCol w:w="185"/>
        <w:gridCol w:w="60"/>
        <w:gridCol w:w="220"/>
        <w:gridCol w:w="855"/>
        <w:gridCol w:w="60"/>
        <w:gridCol w:w="60"/>
        <w:gridCol w:w="125"/>
        <w:gridCol w:w="755"/>
        <w:gridCol w:w="187"/>
      </w:tblGrid>
      <w:tr>
        <w:trPr/>
        <w:tc>
          <w:tcPr>
            <w:tcW w:w="13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80" w:type="dxa"/>
            <w:gridSpan w:val="3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June 30,</w:t>
            </w:r>
          </w:p>
        </w:tc>
        <w:tc>
          <w:tcPr>
            <w:tcW w:w="187" w:type="dxa"/>
            <w:tcBorders/>
            <w:vAlign w:val="bottom"/>
          </w:tcPr>
          <w:p>
            <w:pPr>
              <w:pStyle w:val="TableContents"/>
              <w:bidi w:val="0"/>
              <w:spacing w:before="0" w:after="283"/>
              <w:jc w:val="left"/>
              <w:rPr/>
            </w:pPr>
            <w:r>
              <w:rPr/>
              <w:t> </w:t>
            </w:r>
          </w:p>
        </w:tc>
      </w:tr>
      <w:tr>
        <w:trPr/>
        <w:tc>
          <w:tcPr>
            <w:tcW w:w="13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1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7" w:type="dxa"/>
            <w:tcBorders/>
            <w:vAlign w:val="bottom"/>
          </w:tcPr>
          <w:p>
            <w:pPr>
              <w:pStyle w:val="TableContents"/>
              <w:bidi w:val="0"/>
              <w:spacing w:before="0" w:after="283"/>
              <w:jc w:val="left"/>
              <w:rPr/>
            </w:pPr>
            <w:r>
              <w:rPr/>
              <w:t> </w:t>
            </w:r>
          </w:p>
        </w:tc>
      </w:tr>
      <w:tr>
        <w:trPr/>
        <w:tc>
          <w:tcPr>
            <w:tcW w:w="13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SBC</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 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operating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SBC</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 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operating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7" w:type="dxa"/>
            <w:tcBorders/>
            <w:vAlign w:val="bottom"/>
          </w:tcPr>
          <w:p>
            <w:pPr>
              <w:pStyle w:val="TableContents"/>
              <w:bidi w:val="0"/>
              <w:spacing w:before="0" w:after="283"/>
              <w:jc w:val="left"/>
              <w:rPr/>
            </w:pPr>
            <w:r>
              <w:rPr/>
              <w:t> </w:t>
            </w:r>
          </w:p>
        </w:tc>
      </w:tr>
      <w:tr>
        <w:trPr/>
        <w:tc>
          <w:tcPr>
            <w:tcW w:w="13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80" w:type="dxa"/>
            <w:gridSpan w:val="30"/>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187" w:type="dxa"/>
            <w:tcBorders/>
            <w:vAlign w:val="bottom"/>
          </w:tcPr>
          <w:p>
            <w:pPr>
              <w:pStyle w:val="TableContents"/>
              <w:bidi w:val="0"/>
              <w:spacing w:before="0" w:after="283"/>
              <w:jc w:val="left"/>
              <w:rPr/>
            </w:pPr>
            <w:r>
              <w:rPr/>
              <w:t> </w:t>
            </w:r>
          </w:p>
        </w:tc>
      </w:tr>
      <w:tr>
        <w:trPr/>
        <w:tc>
          <w:tcPr>
            <w:tcW w:w="137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215,372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215,372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202,480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202,480</w:t>
            </w:r>
          </w:p>
        </w:tc>
        <w:tc>
          <w:tcPr>
            <w:tcW w:w="187" w:type="dxa"/>
            <w:tcBorders/>
            <w:shd w:fill="CCEEFF" w:val="clear"/>
            <w:vAlign w:val="bottom"/>
          </w:tcPr>
          <w:p>
            <w:pPr>
              <w:pStyle w:val="TableContents"/>
              <w:bidi w:val="0"/>
              <w:spacing w:before="0" w:after="283"/>
              <w:jc w:val="left"/>
              <w:rPr/>
            </w:pPr>
            <w:r>
              <w:rPr/>
              <w:t> </w:t>
            </w:r>
          </w:p>
        </w:tc>
      </w:tr>
      <w:tr>
        <w:trPr/>
        <w:tc>
          <w:tcPr>
            <w:tcW w:w="137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(110,911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(110,555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(105,696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(104,904</w:t>
            </w:r>
          </w:p>
        </w:tc>
        <w:tc>
          <w:tcPr>
            <w:tcW w:w="18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378"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Gross profit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104,461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104,817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96,784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97,576</w:t>
            </w:r>
          </w:p>
        </w:tc>
        <w:tc>
          <w:tcPr>
            <w:tcW w:w="187" w:type="dxa"/>
            <w:tcBorders/>
            <w:shd w:fill="CCEEFF" w:val="clear"/>
            <w:vAlign w:val="bottom"/>
          </w:tcPr>
          <w:p>
            <w:pPr>
              <w:pStyle w:val="TableContents"/>
              <w:bidi w:val="0"/>
              <w:spacing w:before="0" w:after="283"/>
              <w:jc w:val="left"/>
              <w:rPr/>
            </w:pPr>
            <w:r>
              <w:rPr/>
              <w:t> </w:t>
            </w:r>
          </w:p>
        </w:tc>
      </w:tr>
      <w:tr>
        <w:trPr/>
        <w:tc>
          <w:tcPr>
            <w:tcW w:w="1378"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Gross margin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w:t>
            </w:r>
          </w:p>
        </w:tc>
        <w:tc>
          <w:tcPr>
            <w:tcW w:w="18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37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r>
      <w:tr>
        <w:trPr/>
        <w:tc>
          <w:tcPr>
            <w:tcW w:w="1378"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(22,102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(17,135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(14,111</w:t>
            </w:r>
          </w:p>
        </w:tc>
        <w:tc>
          <w:tcPr>
            <w:tcW w:w="18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378"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(33,817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(31,237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(25,968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(21,762</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378"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(16,848</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(4,738</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(12,110</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(16,088</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(6,320</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(9,768</w:t>
            </w:r>
          </w:p>
        </w:tc>
        <w:tc>
          <w:tcPr>
            <w:tcW w:w="18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378"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(72,767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(63,353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(59,191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(13,550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(45,641</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37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(loss) from operations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41,464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37,593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(14,342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51,935</w:t>
            </w:r>
          </w:p>
        </w:tc>
        <w:tc>
          <w:tcPr>
            <w:tcW w:w="187" w:type="dxa"/>
            <w:tcBorders/>
            <w:vAlign w:val="bottom"/>
          </w:tcPr>
          <w:p>
            <w:pPr>
              <w:pStyle w:val="TableContents"/>
              <w:bidi w:val="0"/>
              <w:spacing w:before="0" w:after="283"/>
              <w:jc w:val="left"/>
              <w:rPr/>
            </w:pPr>
            <w:r>
              <w:rPr/>
              <w:t> </w:t>
            </w:r>
          </w:p>
        </w:tc>
      </w:tr>
      <w:tr>
        <w:trPr/>
        <w:tc>
          <w:tcPr>
            <w:tcW w:w="1378"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Unrealized gain on short-term investments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7" w:type="dxa"/>
            <w:tcBorders/>
            <w:shd w:fill="CCEEFF" w:val="clear"/>
            <w:vAlign w:val="bottom"/>
          </w:tcPr>
          <w:p>
            <w:pPr>
              <w:pStyle w:val="TableContents"/>
              <w:bidi w:val="0"/>
              <w:spacing w:before="0" w:after="283"/>
              <w:jc w:val="left"/>
              <w:rPr/>
            </w:pPr>
            <w:r>
              <w:rPr/>
              <w:t> </w:t>
            </w:r>
          </w:p>
        </w:tc>
      </w:tr>
      <w:tr>
        <w:trPr/>
        <w:tc>
          <w:tcPr>
            <w:tcW w:w="1378"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Net income (loss) attributable to ACM Research, Inc.</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29,760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(9,770</w:t>
            </w:r>
          </w:p>
        </w:tc>
        <w:tc>
          <w:tcPr>
            <w:tcW w:w="18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22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2,730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36,800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24,210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(14,342</w:t>
            </w:r>
          </w:p>
        </w:tc>
        <w:tc>
          <w:tcPr>
            <w:tcW w:w="18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22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37,521</w:t>
            </w:r>
          </w:p>
        </w:tc>
        <w:tc>
          <w:tcPr>
            <w:tcW w:w="187" w:type="dxa"/>
            <w:tcBorders/>
            <w:vAlign w:val="bottom"/>
          </w:tcPr>
          <w:p>
            <w:pPr>
              <w:pStyle w:val="TableContents"/>
              <w:bidi w:val="0"/>
              <w:spacing w:before="0" w:after="283"/>
              <w:jc w:val="left"/>
              <w:rPr/>
            </w:pPr>
            <w:r>
              <w:rPr/>
              <w:t> </w:t>
            </w:r>
          </w:p>
        </w:tc>
      </w:tr>
      <w:tr>
        <w:trPr/>
        <w:tc>
          <w:tcPr>
            <w:tcW w:w="1378"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 EPS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0.60</w:t>
            </w:r>
          </w:p>
        </w:tc>
        <w:tc>
          <w:tcPr>
            <w:tcW w:w="187" w:type="dxa"/>
            <w:tcBorders/>
            <w:shd w:fill="CCEEFF" w:val="clear"/>
            <w:vAlign w:val="bottom"/>
          </w:tcPr>
          <w:p>
            <w:pPr>
              <w:pStyle w:val="TableContents"/>
              <w:bidi w:val="0"/>
              <w:spacing w:before="0" w:after="283"/>
              <w:jc w:val="left"/>
              <w:rPr/>
            </w:pPr>
            <w:r>
              <w:rPr/>
              <w:t> </w:t>
            </w:r>
          </w:p>
        </w:tc>
      </w:tr>
      <w:tr>
        <w:trPr/>
        <w:tc>
          <w:tcPr>
            <w:tcW w:w="1378"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 EPS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0.55</w:t>
            </w:r>
          </w:p>
        </w:tc>
        <w:tc>
          <w:tcPr>
            <w:tcW w:w="187"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6" w:name="zb4429ad81a9b456689ec5415a057ce7f"/>
      <w:bookmarkStart w:id="47" w:name="zb4429ad81a9b456689ec5415a057ce7f"/>
      <w:bookmarkEnd w:id="47"/>
    </w:p>
    <w:tbl>
      <w:tblPr>
        <w:tblW w:w="10205" w:type="dxa"/>
        <w:jc w:val="left"/>
        <w:tblInd w:w="0" w:type="dxa"/>
        <w:tblLayout w:type="fixed"/>
        <w:tblCellMar>
          <w:top w:w="0" w:type="dxa"/>
          <w:left w:w="0" w:type="dxa"/>
          <w:bottom w:w="0" w:type="dxa"/>
          <w:right w:w="0" w:type="dxa"/>
        </w:tblCellMar>
      </w:tblPr>
      <w:tblGrid>
        <w:gridCol w:w="1297"/>
        <w:gridCol w:w="60"/>
        <w:gridCol w:w="125"/>
        <w:gridCol w:w="755"/>
        <w:gridCol w:w="185"/>
        <w:gridCol w:w="60"/>
        <w:gridCol w:w="125"/>
        <w:gridCol w:w="650"/>
        <w:gridCol w:w="185"/>
        <w:gridCol w:w="60"/>
        <w:gridCol w:w="215"/>
        <w:gridCol w:w="837"/>
        <w:gridCol w:w="60"/>
        <w:gridCol w:w="60"/>
        <w:gridCol w:w="125"/>
        <w:gridCol w:w="755"/>
        <w:gridCol w:w="185"/>
        <w:gridCol w:w="60"/>
        <w:gridCol w:w="125"/>
        <w:gridCol w:w="755"/>
        <w:gridCol w:w="185"/>
        <w:gridCol w:w="60"/>
        <w:gridCol w:w="125"/>
        <w:gridCol w:w="650"/>
        <w:gridCol w:w="185"/>
        <w:gridCol w:w="60"/>
        <w:gridCol w:w="196"/>
        <w:gridCol w:w="857"/>
        <w:gridCol w:w="80"/>
        <w:gridCol w:w="60"/>
        <w:gridCol w:w="125"/>
        <w:gridCol w:w="755"/>
        <w:gridCol w:w="188"/>
      </w:tblGrid>
      <w:tr>
        <w:trPr/>
        <w:tc>
          <w:tcPr>
            <w:tcW w:w="1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60" w:type="dxa"/>
            <w:gridSpan w:val="3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 June 30,</w:t>
            </w:r>
          </w:p>
        </w:tc>
        <w:tc>
          <w:tcPr>
            <w:tcW w:w="188" w:type="dxa"/>
            <w:tcBorders/>
            <w:vAlign w:val="bottom"/>
          </w:tcPr>
          <w:p>
            <w:pPr>
              <w:pStyle w:val="TableContents"/>
              <w:bidi w:val="0"/>
              <w:spacing w:before="0" w:after="283"/>
              <w:jc w:val="left"/>
              <w:rPr/>
            </w:pPr>
            <w:r>
              <w:rPr/>
              <w:t> </w:t>
            </w:r>
          </w:p>
        </w:tc>
      </w:tr>
      <w:tr>
        <w:trPr/>
        <w:tc>
          <w:tcPr>
            <w:tcW w:w="1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9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8"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8" w:type="dxa"/>
            <w:tcBorders/>
            <w:vAlign w:val="bottom"/>
          </w:tcPr>
          <w:p>
            <w:pPr>
              <w:pStyle w:val="TableContents"/>
              <w:bidi w:val="0"/>
              <w:spacing w:before="0" w:after="283"/>
              <w:jc w:val="left"/>
              <w:rPr/>
            </w:pPr>
            <w:r>
              <w:rPr/>
              <w:t> </w:t>
            </w:r>
          </w:p>
        </w:tc>
      </w:tr>
      <w:tr>
        <w:trPr/>
        <w:tc>
          <w:tcPr>
            <w:tcW w:w="1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SBC</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 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operating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SBC</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 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operating adjustments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8" w:type="dxa"/>
            <w:tcBorders/>
            <w:vAlign w:val="bottom"/>
          </w:tcPr>
          <w:p>
            <w:pPr>
              <w:pStyle w:val="TableContents"/>
              <w:bidi w:val="0"/>
              <w:spacing w:before="0" w:after="283"/>
              <w:jc w:val="left"/>
              <w:rPr/>
            </w:pPr>
            <w:r>
              <w:rPr/>
              <w:t> </w:t>
            </w:r>
          </w:p>
        </w:tc>
      </w:tr>
      <w:tr>
        <w:trPr/>
        <w:tc>
          <w:tcPr>
            <w:tcW w:w="1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60" w:type="dxa"/>
            <w:gridSpan w:val="30"/>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188" w:type="dxa"/>
            <w:tcBorders/>
            <w:vAlign w:val="bottom"/>
          </w:tcPr>
          <w:p>
            <w:pPr>
              <w:pStyle w:val="TableContents"/>
              <w:bidi w:val="0"/>
              <w:spacing w:before="0" w:after="283"/>
              <w:jc w:val="left"/>
              <w:rPr/>
            </w:pPr>
            <w:r>
              <w:rPr/>
              <w:t> </w:t>
            </w:r>
          </w:p>
        </w:tc>
      </w:tr>
      <w:tr>
        <w:trPr/>
        <w:tc>
          <w:tcPr>
            <w:tcW w:w="12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387,719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387,719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354,671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354,671</w:t>
            </w:r>
          </w:p>
        </w:tc>
        <w:tc>
          <w:tcPr>
            <w:tcW w:w="188" w:type="dxa"/>
            <w:tcBorders/>
            <w:shd w:fill="CCEEFF" w:val="clear"/>
            <w:vAlign w:val="bottom"/>
          </w:tcPr>
          <w:p>
            <w:pPr>
              <w:pStyle w:val="TableContents"/>
              <w:bidi w:val="0"/>
              <w:spacing w:before="0" w:after="283"/>
              <w:jc w:val="left"/>
              <w:rPr/>
            </w:pPr>
            <w:r>
              <w:rPr/>
              <w:t> </w:t>
            </w:r>
          </w:p>
        </w:tc>
      </w:tr>
      <w:tr>
        <w:trPr/>
        <w:tc>
          <w:tcPr>
            <w:tcW w:w="12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(200,708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(199,823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(178,766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(177,193</w:t>
            </w:r>
          </w:p>
        </w:tc>
        <w:tc>
          <w:tcPr>
            <w:tcW w:w="1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97"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Gross profit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187,011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187,896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175,905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177,478</w:t>
            </w:r>
          </w:p>
        </w:tc>
        <w:tc>
          <w:tcPr>
            <w:tcW w:w="188" w:type="dxa"/>
            <w:tcBorders/>
            <w:shd w:fill="CCEEFF" w:val="clear"/>
            <w:vAlign w:val="bottom"/>
          </w:tcPr>
          <w:p>
            <w:pPr>
              <w:pStyle w:val="TableContents"/>
              <w:bidi w:val="0"/>
              <w:spacing w:before="0" w:after="283"/>
              <w:jc w:val="left"/>
              <w:rPr/>
            </w:pPr>
            <w:r>
              <w:rPr/>
              <w:t> </w:t>
            </w:r>
          </w:p>
        </w:tc>
      </w:tr>
      <w:tr>
        <w:trPr/>
        <w:tc>
          <w:tcPr>
            <w:tcW w:w="1297"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Gross margin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w:t>
            </w:r>
          </w:p>
        </w:tc>
        <w:tc>
          <w:tcPr>
            <w:tcW w:w="1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r>
      <w:tr>
        <w:trPr/>
        <w:tc>
          <w:tcPr>
            <w:tcW w:w="1297"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(38,445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(34,192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(31,308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(25,257</w:t>
            </w:r>
          </w:p>
        </w:tc>
        <w:tc>
          <w:tcPr>
            <w:tcW w:w="1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97"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(61,320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(5,355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(55,965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(49,886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(8,709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(41,177</w:t>
            </w:r>
          </w:p>
        </w:tc>
        <w:tc>
          <w:tcPr>
            <w:tcW w:w="1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97"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(29,775</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(9,094</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(20,681</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(31,886</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(12,578</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(19,308</w:t>
            </w:r>
          </w:p>
        </w:tc>
        <w:tc>
          <w:tcPr>
            <w:tcW w:w="18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97"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(129,540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(18,702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(110,838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(113,080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(27,338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(85,742</w:t>
            </w:r>
          </w:p>
        </w:tc>
        <w:tc>
          <w:tcPr>
            <w:tcW w:w="1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(loss) from operations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57,471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(19,587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77,058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(28,911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91,736</w:t>
            </w:r>
          </w:p>
        </w:tc>
        <w:tc>
          <w:tcPr>
            <w:tcW w:w="188" w:type="dxa"/>
            <w:tcBorders/>
            <w:vAlign w:val="bottom"/>
          </w:tcPr>
          <w:p>
            <w:pPr>
              <w:pStyle w:val="TableContents"/>
              <w:bidi w:val="0"/>
              <w:spacing w:before="0" w:after="283"/>
              <w:jc w:val="left"/>
              <w:rPr/>
            </w:pPr>
            <w:r>
              <w:rPr/>
              <w:t> </w:t>
            </w:r>
          </w:p>
        </w:tc>
      </w:tr>
      <w:tr>
        <w:trPr/>
        <w:tc>
          <w:tcPr>
            <w:tcW w:w="1297"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Unrealized gain (loss)  on short-term investments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8" w:type="dxa"/>
            <w:tcBorders/>
            <w:shd w:fill="CCEEFF" w:val="clear"/>
            <w:vAlign w:val="bottom"/>
          </w:tcPr>
          <w:p>
            <w:pPr>
              <w:pStyle w:val="TableContents"/>
              <w:bidi w:val="0"/>
              <w:spacing w:before="0" w:after="283"/>
              <w:jc w:val="left"/>
              <w:rPr/>
            </w:pPr>
            <w:r>
              <w:rPr/>
              <w:t> </w:t>
            </w:r>
          </w:p>
        </w:tc>
      </w:tr>
      <w:tr>
        <w:trPr/>
        <w:tc>
          <w:tcPr>
            <w:tcW w:w="1297"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Net income (loss) attributable to ACM Research, Inc.</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50,140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(19,587</w:t>
            </w:r>
          </w:p>
        </w:tc>
        <w:tc>
          <w:tcPr>
            <w:tcW w:w="18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3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1,648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68,079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41,643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(28,911</w:t>
            </w:r>
          </w:p>
        </w:tc>
        <w:tc>
          <w:tcPr>
            <w:tcW w:w="18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(1,564</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72,118</w:t>
            </w:r>
          </w:p>
        </w:tc>
        <w:tc>
          <w:tcPr>
            <w:tcW w:w="188" w:type="dxa"/>
            <w:tcBorders/>
            <w:vAlign w:val="bottom"/>
          </w:tcPr>
          <w:p>
            <w:pPr>
              <w:pStyle w:val="TableContents"/>
              <w:bidi w:val="0"/>
              <w:spacing w:before="0" w:after="283"/>
              <w:jc w:val="left"/>
              <w:rPr/>
            </w:pPr>
            <w:r>
              <w:rPr/>
              <w:t> </w:t>
            </w:r>
          </w:p>
        </w:tc>
      </w:tr>
      <w:tr>
        <w:trPr/>
        <w:tc>
          <w:tcPr>
            <w:tcW w:w="1297"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 EPS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w:t>
            </w:r>
          </w:p>
        </w:tc>
        <w:tc>
          <w:tcPr>
            <w:tcW w:w="188" w:type="dxa"/>
            <w:tcBorders/>
            <w:shd w:fill="CCEEFF" w:val="clear"/>
            <w:vAlign w:val="bottom"/>
          </w:tcPr>
          <w:p>
            <w:pPr>
              <w:pStyle w:val="TableContents"/>
              <w:bidi w:val="0"/>
              <w:spacing w:before="0" w:after="283"/>
              <w:jc w:val="left"/>
              <w:rPr/>
            </w:pPr>
            <w:r>
              <w:rPr/>
              <w:t> </w:t>
            </w:r>
          </w:p>
        </w:tc>
      </w:tr>
      <w:tr>
        <w:trPr/>
        <w:tc>
          <w:tcPr>
            <w:tcW w:w="1297"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 EPS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w:t>
            </w:r>
          </w:p>
        </w:tc>
        <w:tc>
          <w:tcPr>
            <w:tcW w:w="18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- 9 -</w:t>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3640</Words>
  <Characters>19915</Characters>
  <CharactersWithSpaces>24565</CharactersWithSpaces>
  <Paragraphs>2686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