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6, 2019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98" w:right="2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(State or Other</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001-38273</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500" w:space="720"/>
            <w:col w:w="2980" w:space="720"/>
            <w:col w:w="2500"/>
          </w:cols>
          <w:pgMar w:left="240" w:top="598" w:right="239" w:bottom="1440" w:gutter="0" w:footer="0" w:header="0"/>
          <w:type w:val="continuous"/>
        </w:sectPr>
      </w:pPr>
    </w:p>
    <w:p>
      <w:pPr>
        <w:spacing w:after="0" w:line="3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42307 Osgood Road, Suite I</w:t>
      </w:r>
    </w:p>
    <w:p>
      <w:pPr>
        <w:spacing w:after="0" w:line="21"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94539</w:t>
      </w:r>
    </w:p>
    <w:p>
      <w:pPr>
        <w:spacing w:after="0" w:line="21"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98"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68"/>
        </w:trPr>
        <w:tc>
          <w:tcPr>
            <w:tcW w:w="45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5"/>
              </w:rPr>
              <w:t>Title of each class</w:t>
            </w:r>
          </w:p>
        </w:tc>
        <w:tc>
          <w:tcPr>
            <w:tcW w:w="3020" w:type="dxa"/>
            <w:vAlign w:val="bottom"/>
          </w:tcPr>
          <w:p>
            <w:pPr>
              <w:jc w:val="center"/>
              <w:ind w:right="572"/>
              <w:spacing w:after="0"/>
              <w:rPr>
                <w:sz w:val="20"/>
                <w:szCs w:val="20"/>
                <w:color w:val="auto"/>
              </w:rPr>
            </w:pPr>
            <w:r>
              <w:rPr>
                <w:rFonts w:ascii="Arial" w:cs="Arial" w:eastAsia="Arial" w:hAnsi="Arial"/>
                <w:sz w:val="18"/>
                <w:szCs w:val="18"/>
                <w:b w:val="1"/>
                <w:bCs w:val="1"/>
                <w:color w:val="auto"/>
                <w:w w:val="88"/>
              </w:rPr>
              <w:t>Trading Symbol(s)</w:t>
            </w:r>
          </w:p>
        </w:tc>
        <w:tc>
          <w:tcPr>
            <w:tcW w:w="18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8"/>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Common Stock, par value $0.0001 per</w:t>
            </w: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jc w:val="center"/>
              <w:ind w:right="572"/>
              <w:spacing w:after="0"/>
              <w:rPr>
                <w:sz w:val="20"/>
                <w:szCs w:val="20"/>
                <w:color w:val="auto"/>
              </w:rPr>
            </w:pPr>
            <w:r>
              <w:rPr>
                <w:rFonts w:ascii="Arial" w:cs="Arial" w:eastAsia="Arial" w:hAnsi="Arial"/>
                <w:sz w:val="18"/>
                <w:szCs w:val="18"/>
                <w:color w:val="auto"/>
                <w:w w:val="98"/>
              </w:rPr>
              <w:t>ACMR</w:t>
            </w:r>
          </w:p>
        </w:tc>
        <w:tc>
          <w:tcPr>
            <w:tcW w:w="18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Nasdaq Global Market</w:t>
            </w:r>
          </w:p>
        </w:tc>
      </w:tr>
      <w:tr>
        <w:trPr>
          <w:trHeight w:val="222"/>
        </w:trPr>
        <w:tc>
          <w:tcPr>
            <w:tcW w:w="4520" w:type="dxa"/>
            <w:vAlign w:val="bottom"/>
            <w:gridSpan w:val="3"/>
          </w:tcPr>
          <w:p>
            <w:pPr>
              <w:jc w:val="center"/>
              <w:ind w:right="820"/>
              <w:spacing w:after="0"/>
              <w:rPr>
                <w:sz w:val="20"/>
                <w:szCs w:val="20"/>
                <w:color w:val="auto"/>
              </w:rPr>
            </w:pPr>
            <w:r>
              <w:rPr>
                <w:rFonts w:ascii="Arial" w:cs="Arial" w:eastAsia="Arial" w:hAnsi="Arial"/>
                <w:sz w:val="18"/>
                <w:szCs w:val="18"/>
                <w:color w:val="auto"/>
                <w:w w:val="84"/>
              </w:rPr>
              <w:t>share</w:t>
            </w: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r>
    </w:tbl>
    <w:p>
      <w:pPr>
        <w:spacing w:after="0" w:line="210"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9"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held our 2019 Annual Meeting of Stockholders on June 6, 2019. The board of directors solicited proxies pursuant to a proxy statement that we filed on April 30, 2019 with the Securities and Exchange Commission under Section 14(a) of the Securities Exchange Act of 1934. There was no solicitation in opposition to the board’s solicitation.</w:t>
      </w:r>
    </w:p>
    <w:p>
      <w:pPr>
        <w:spacing w:after="0" w:line="194" w:lineRule="exact"/>
        <w:rPr>
          <w:sz w:val="20"/>
          <w:szCs w:val="20"/>
          <w:color w:val="auto"/>
        </w:rPr>
      </w:pPr>
    </w:p>
    <w:p>
      <w:pPr>
        <w:ind w:right="60" w:firstLine="648"/>
        <w:spacing w:after="0" w:line="323" w:lineRule="auto"/>
        <w:rPr>
          <w:sz w:val="20"/>
          <w:szCs w:val="20"/>
          <w:color w:val="auto"/>
        </w:rPr>
      </w:pPr>
      <w:r>
        <w:rPr>
          <w:rFonts w:ascii="Arial" w:cs="Arial" w:eastAsia="Arial" w:hAnsi="Arial"/>
          <w:sz w:val="15"/>
          <w:szCs w:val="15"/>
          <w:color w:val="auto"/>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37,343,716 votes, or 71.69% of the total votes attributable to all outstanding shares of Class A and Class B common stock, were present in person or by proxy at the meeting.</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voting results reported below are final.</w:t>
      </w:r>
    </w:p>
    <w:p>
      <w:pPr>
        <w:spacing w:after="0" w:line="225"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The matters considered and voted on by the stockholders at the meeting and the votes of the stockholders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Proposal 1. Stockholders voted as follows with respect to the election of each of the nominees for director identified in the proxy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Nominee</w:t>
            </w:r>
          </w:p>
        </w:tc>
        <w:tc>
          <w:tcPr>
            <w:tcW w:w="23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6"/>
              </w:rPr>
              <w:t>For</w:t>
            </w: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Against</w:t>
            </w:r>
          </w:p>
        </w:tc>
        <w:tc>
          <w:tcPr>
            <w:tcW w:w="18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Abstain</w:t>
            </w:r>
          </w:p>
        </w:tc>
        <w:tc>
          <w:tcPr>
            <w:tcW w:w="23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8"/>
              </w:rPr>
              <w:t>Broker Non-Votes</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236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34,433,504</w:t>
            </w:r>
          </w:p>
        </w:tc>
        <w:tc>
          <w:tcPr>
            <w:tcW w:w="1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265,781</w:t>
            </w:r>
          </w:p>
        </w:tc>
        <w:tc>
          <w:tcPr>
            <w:tcW w:w="18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2,644,431</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Haiping Dun</w:t>
            </w:r>
          </w:p>
        </w:tc>
        <w:tc>
          <w:tcPr>
            <w:tcW w:w="2360" w:type="dxa"/>
            <w:vAlign w:val="bottom"/>
          </w:tcPr>
          <w:p>
            <w:pPr>
              <w:jc w:val="center"/>
              <w:ind w:left="232"/>
              <w:spacing w:after="0"/>
              <w:rPr>
                <w:sz w:val="20"/>
                <w:szCs w:val="20"/>
                <w:color w:val="auto"/>
              </w:rPr>
            </w:pPr>
            <w:r>
              <w:rPr>
                <w:rFonts w:ascii="Arial" w:cs="Arial" w:eastAsia="Arial" w:hAnsi="Arial"/>
                <w:sz w:val="18"/>
                <w:szCs w:val="18"/>
                <w:color w:val="auto"/>
                <w:w w:val="88"/>
              </w:rPr>
              <w:t>34,440,917</w:t>
            </w:r>
          </w:p>
        </w:tc>
        <w:tc>
          <w:tcPr>
            <w:tcW w:w="1880" w:type="dxa"/>
            <w:vAlign w:val="bottom"/>
          </w:tcPr>
          <w:p>
            <w:pPr>
              <w:ind w:left="640"/>
              <w:spacing w:after="0"/>
              <w:rPr>
                <w:sz w:val="20"/>
                <w:szCs w:val="20"/>
                <w:color w:val="auto"/>
              </w:rPr>
            </w:pPr>
            <w:r>
              <w:rPr>
                <w:rFonts w:ascii="Arial" w:cs="Arial" w:eastAsia="Arial" w:hAnsi="Arial"/>
                <w:sz w:val="18"/>
                <w:szCs w:val="18"/>
                <w:color w:val="auto"/>
              </w:rPr>
              <w:t>258,368</w:t>
            </w:r>
          </w:p>
        </w:tc>
        <w:tc>
          <w:tcPr>
            <w:tcW w:w="18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left="12"/>
              <w:spacing w:after="0"/>
              <w:rPr>
                <w:sz w:val="20"/>
                <w:szCs w:val="20"/>
                <w:color w:val="auto"/>
              </w:rPr>
            </w:pPr>
            <w:r>
              <w:rPr>
                <w:rFonts w:ascii="Arial" w:cs="Arial" w:eastAsia="Arial" w:hAnsi="Arial"/>
                <w:sz w:val="18"/>
                <w:szCs w:val="18"/>
                <w:color w:val="auto"/>
                <w:w w:val="89"/>
              </w:rPr>
              <w:t>2,644,431</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Chenming C. Hu</w:t>
            </w:r>
          </w:p>
        </w:tc>
        <w:tc>
          <w:tcPr>
            <w:tcW w:w="236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34,342,876</w:t>
            </w:r>
          </w:p>
        </w:tc>
        <w:tc>
          <w:tcPr>
            <w:tcW w:w="1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356,408</w:t>
            </w:r>
          </w:p>
        </w:tc>
        <w:tc>
          <w:tcPr>
            <w:tcW w:w="18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w:t>
            </w:r>
          </w:p>
        </w:tc>
        <w:tc>
          <w:tcPr>
            <w:tcW w:w="23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2,644,431</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Tracy Liu</w:t>
            </w:r>
          </w:p>
        </w:tc>
        <w:tc>
          <w:tcPr>
            <w:tcW w:w="2360" w:type="dxa"/>
            <w:vAlign w:val="bottom"/>
          </w:tcPr>
          <w:p>
            <w:pPr>
              <w:jc w:val="center"/>
              <w:ind w:left="232"/>
              <w:spacing w:after="0"/>
              <w:rPr>
                <w:sz w:val="20"/>
                <w:szCs w:val="20"/>
                <w:color w:val="auto"/>
              </w:rPr>
            </w:pPr>
            <w:r>
              <w:rPr>
                <w:rFonts w:ascii="Arial" w:cs="Arial" w:eastAsia="Arial" w:hAnsi="Arial"/>
                <w:sz w:val="18"/>
                <w:szCs w:val="18"/>
                <w:color w:val="auto"/>
                <w:w w:val="88"/>
              </w:rPr>
              <w:t>34,377,427</w:t>
            </w:r>
          </w:p>
        </w:tc>
        <w:tc>
          <w:tcPr>
            <w:tcW w:w="1880" w:type="dxa"/>
            <w:vAlign w:val="bottom"/>
          </w:tcPr>
          <w:p>
            <w:pPr>
              <w:ind w:left="640"/>
              <w:spacing w:after="0"/>
              <w:rPr>
                <w:sz w:val="20"/>
                <w:szCs w:val="20"/>
                <w:color w:val="auto"/>
              </w:rPr>
            </w:pPr>
            <w:r>
              <w:rPr>
                <w:rFonts w:ascii="Arial" w:cs="Arial" w:eastAsia="Arial" w:hAnsi="Arial"/>
                <w:sz w:val="18"/>
                <w:szCs w:val="18"/>
                <w:color w:val="auto"/>
              </w:rPr>
              <w:t>321,858</w:t>
            </w:r>
          </w:p>
        </w:tc>
        <w:tc>
          <w:tcPr>
            <w:tcW w:w="18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left="12"/>
              <w:spacing w:after="0"/>
              <w:rPr>
                <w:sz w:val="20"/>
                <w:szCs w:val="20"/>
                <w:color w:val="auto"/>
              </w:rPr>
            </w:pPr>
            <w:r>
              <w:rPr>
                <w:rFonts w:ascii="Arial" w:cs="Arial" w:eastAsia="Arial" w:hAnsi="Arial"/>
                <w:sz w:val="18"/>
                <w:szCs w:val="18"/>
                <w:color w:val="auto"/>
                <w:w w:val="89"/>
              </w:rPr>
              <w:t>2,644,431</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Yinan Xiang</w:t>
            </w:r>
          </w:p>
        </w:tc>
        <w:tc>
          <w:tcPr>
            <w:tcW w:w="236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34,441,051</w:t>
            </w:r>
          </w:p>
        </w:tc>
        <w:tc>
          <w:tcPr>
            <w:tcW w:w="1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258,233</w:t>
            </w:r>
          </w:p>
        </w:tc>
        <w:tc>
          <w:tcPr>
            <w:tcW w:w="18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1</w:t>
            </w:r>
          </w:p>
        </w:tc>
        <w:tc>
          <w:tcPr>
            <w:tcW w:w="238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2,644,431</w:t>
            </w: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Zhengfan Yang</w:t>
            </w:r>
          </w:p>
        </w:tc>
        <w:tc>
          <w:tcPr>
            <w:tcW w:w="2360" w:type="dxa"/>
            <w:vAlign w:val="bottom"/>
          </w:tcPr>
          <w:p>
            <w:pPr>
              <w:jc w:val="center"/>
              <w:ind w:left="232"/>
              <w:spacing w:after="0"/>
              <w:rPr>
                <w:sz w:val="20"/>
                <w:szCs w:val="20"/>
                <w:color w:val="auto"/>
              </w:rPr>
            </w:pPr>
            <w:r>
              <w:rPr>
                <w:rFonts w:ascii="Arial" w:cs="Arial" w:eastAsia="Arial" w:hAnsi="Arial"/>
                <w:sz w:val="18"/>
                <w:szCs w:val="18"/>
                <w:color w:val="auto"/>
                <w:w w:val="88"/>
              </w:rPr>
              <w:t>34,355,291</w:t>
            </w:r>
          </w:p>
        </w:tc>
        <w:tc>
          <w:tcPr>
            <w:tcW w:w="1880" w:type="dxa"/>
            <w:vAlign w:val="bottom"/>
          </w:tcPr>
          <w:p>
            <w:pPr>
              <w:ind w:left="640"/>
              <w:spacing w:after="0"/>
              <w:rPr>
                <w:sz w:val="20"/>
                <w:szCs w:val="20"/>
                <w:color w:val="auto"/>
              </w:rPr>
            </w:pPr>
            <w:r>
              <w:rPr>
                <w:rFonts w:ascii="Arial" w:cs="Arial" w:eastAsia="Arial" w:hAnsi="Arial"/>
                <w:sz w:val="18"/>
                <w:szCs w:val="18"/>
                <w:color w:val="auto"/>
              </w:rPr>
              <w:t>343,994</w:t>
            </w:r>
          </w:p>
        </w:tc>
        <w:tc>
          <w:tcPr>
            <w:tcW w:w="18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2380" w:type="dxa"/>
            <w:vAlign w:val="bottom"/>
          </w:tcPr>
          <w:p>
            <w:pPr>
              <w:jc w:val="center"/>
              <w:ind w:left="12"/>
              <w:spacing w:after="0"/>
              <w:rPr>
                <w:sz w:val="20"/>
                <w:szCs w:val="20"/>
                <w:color w:val="auto"/>
              </w:rPr>
            </w:pPr>
            <w:r>
              <w:rPr>
                <w:rFonts w:ascii="Arial" w:cs="Arial" w:eastAsia="Arial" w:hAnsi="Arial"/>
                <w:sz w:val="18"/>
                <w:szCs w:val="18"/>
                <w:color w:val="auto"/>
                <w:w w:val="89"/>
              </w:rPr>
              <w:t>2,644,431</w:t>
            </w:r>
          </w:p>
        </w:tc>
      </w:tr>
    </w:tbl>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of this vote, each of the six nominees was elected as a director to serve until the 2020 Annual Meeting of Stockholders and until his or her successor is duly elected and qualified</w:t>
      </w:r>
    </w:p>
    <w:p>
      <w:pPr>
        <w:spacing w:after="0" w:line="2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Proposal 2. Stockholders ratified the appointment of BDO China Shu Lun Pan Certified Public Accountants LLP as our independent auditor for the fiscal year ending December 31, 2019, by the following vote: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96"/>
              </w:rPr>
              <w:t>For</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Abstain</w:t>
            </w: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Ratification of Appointment of BDO China Shu Lun Pan</w:t>
            </w:r>
          </w:p>
        </w:tc>
        <w:tc>
          <w:tcPr>
            <w:tcW w:w="2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Certified Public Accountants LLP</w:t>
            </w:r>
          </w:p>
        </w:tc>
        <w:tc>
          <w:tcPr>
            <w:tcW w:w="21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37,343,715</w:t>
            </w:r>
          </w:p>
        </w:tc>
        <w:tc>
          <w:tcPr>
            <w:tcW w:w="234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rPr>
              <w:t>1</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H. Wang</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954405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740"/>
      </w:cols>
      <w:pgMar w:left="240" w:top="55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2019-12-01T18:08:34Z</dcterms:created>
  <dcterms:modified xsi:type="dcterms:W3CDTF">2019-12-01T18:08:34Z</dcterms:modified>
</cp:coreProperties>
</file>