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20,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29" w:right="339" w:bottom="1440" w:gutter="0" w:footer="0" w:header="0"/>
          <w:type w:val="continuous"/>
        </w:sectPr>
      </w:pPr>
    </w:p>
    <w:p>
      <w:pPr>
        <w:spacing w:after="0" w:line="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4"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STAR Market Record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or ACM Shanghai, are listed on the Sci-Tech innovation board, or the STAR Market, of the Shanghai Stock Exchange, or the SSE. In accordance with the SSE’s rules governing the STAR Market, ACM Shanghai filed with the SSE a Record of May 2022 Investor Relations Activity, or the Record. The SSE posted the Record to the SSE’s website on June 20, 2022. A copy of the Record is included as exhibit 99.01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ACM Shanghai 2021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2021 Annual General Meeting of Shareholders of ACM Shanghai, or the ACM Shanghai 2021 Annual Meeting, ACM Shanghai filed with the SSE an agenda for the ACM Shanghai 2021 Annual Meeting, which the SSE posted to its website on June 22, 2022. A copy of the ACM Shanghai 2021 Annual Meeting agenda is included as exhibit 99.02 to this report.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8"/>
          <w:szCs w:val="18"/>
          <w:color w:val="auto"/>
        </w:rPr>
        <w:t>Record of May 2022 Investor Relations Activity filed by ACM Research (Shanghai), Inc. with the Shanghai Stock Exchange on June 20,</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left="1080" w:hanging="888"/>
        <w:spacing w:after="0" w:line="28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99.02*</w:t>
      </w:r>
      <w:r>
        <w:rPr>
          <w:sz w:val="20"/>
          <w:szCs w:val="20"/>
          <w:color w:val="auto"/>
        </w:rPr>
        <w:tab/>
      </w:r>
      <w:r>
        <w:rPr>
          <w:rFonts w:ascii="Times New Roman" w:cs="Times New Roman" w:eastAsia="Times New Roman" w:hAnsi="Times New Roman"/>
          <w:sz w:val="18"/>
          <w:szCs w:val="18"/>
          <w:color w:val="auto"/>
        </w:rPr>
        <w:t>Agenda for the ACM Research (Shanghai), Inc. 2021 Annual Meeting filed by ACM Research (Shanghai), Inc. with the Shanghai Stock Exchange on June 22, 2022</w:t>
      </w:r>
    </w:p>
    <w:p>
      <w:pPr>
        <w:spacing w:after="0" w:line="162" w:lineRule="exact"/>
        <w:rPr>
          <w:sz w:val="20"/>
          <w:szCs w:val="20"/>
          <w:color w:val="auto"/>
        </w:rPr>
      </w:pPr>
    </w:p>
    <w:p>
      <w:pPr>
        <w:ind w:left="1080" w:hanging="782"/>
        <w:spacing w:after="0"/>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Unofficial English translation summary of original document prepared in Mandarin Chinese.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35115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Stock Code: 688082</w:t>
            </w: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Short Name: ACMSH</w:t>
            </w:r>
          </w:p>
        </w:tc>
      </w:tr>
      <w:tr>
        <w:trPr>
          <w:trHeight w:val="432"/>
        </w:trPr>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0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9"/>
              </w:rPr>
              <w:t>ACM Research (Shanghai), Inc.</w:t>
            </w:r>
          </w:p>
        </w:tc>
      </w:tr>
      <w:tr>
        <w:trPr>
          <w:trHeight w:val="432"/>
        </w:trPr>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40" w:type="dxa"/>
            <w:vAlign w:val="bottom"/>
            <w:gridSpan w:val="3"/>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w w:val="99"/>
              </w:rPr>
              <w:t>Records of Investor Relation Activities in May 2022</w:t>
            </w:r>
          </w:p>
        </w:tc>
      </w:tr>
      <w:tr>
        <w:trPr>
          <w:trHeight w:val="223"/>
        </w:trPr>
        <w:tc>
          <w:tcPr>
            <w:tcW w:w="2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tcPr>
          <w:p>
            <w:pPr>
              <w:spacing w:after="0"/>
              <w:rPr>
                <w:sz w:val="19"/>
                <w:szCs w:val="19"/>
                <w:color w:val="auto"/>
              </w:rPr>
            </w:pPr>
          </w:p>
        </w:tc>
      </w:tr>
      <w:tr>
        <w:trPr>
          <w:trHeight w:val="229"/>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Categories of investor</w:t>
            </w:r>
          </w:p>
        </w:tc>
        <w:tc>
          <w:tcPr>
            <w:tcW w:w="1820" w:type="dxa"/>
            <w:vAlign w:val="bottom"/>
            <w:gridSpan w:val="3"/>
          </w:tcPr>
          <w:p>
            <w:pPr>
              <w:ind w:left="20"/>
              <w:spacing w:after="0" w:line="230" w:lineRule="exact"/>
              <w:rPr>
                <w:sz w:val="20"/>
                <w:szCs w:val="20"/>
                <w:color w:val="auto"/>
              </w:rPr>
            </w:pPr>
            <w:r>
              <w:rPr>
                <w:rFonts w:ascii="MS PGothic" w:cs="MS PGothic" w:eastAsia="MS PGothic" w:hAnsi="MS PGothic"/>
                <w:sz w:val="21"/>
                <w:szCs w:val="21"/>
                <w:color w:val="auto"/>
                <w:w w:val="98"/>
              </w:rPr>
              <w:t>✓</w:t>
            </w:r>
            <w:r>
              <w:rPr>
                <w:rFonts w:ascii="Times New Roman" w:cs="Times New Roman" w:eastAsia="Times New Roman" w:hAnsi="Times New Roman"/>
                <w:sz w:val="18"/>
                <w:szCs w:val="18"/>
                <w:color w:val="auto"/>
                <w:w w:val="98"/>
              </w:rPr>
              <w:t>Specific object survey</w:t>
            </w:r>
          </w:p>
        </w:tc>
        <w:tc>
          <w:tcPr>
            <w:tcW w:w="19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Analyst meeting</w:t>
            </w:r>
          </w:p>
        </w:tc>
        <w:tc>
          <w:tcPr>
            <w:tcW w:w="5360" w:type="dxa"/>
            <w:vAlign w:val="bottom"/>
            <w:tcBorders>
              <w:right w:val="single" w:sz="8" w:color="auto"/>
            </w:tcBorders>
          </w:tcPr>
          <w:p>
            <w:pPr>
              <w:spacing w:after="0"/>
              <w:rPr>
                <w:sz w:val="19"/>
                <w:szCs w:val="19"/>
                <w:color w:val="auto"/>
              </w:rPr>
            </w:pPr>
          </w:p>
        </w:tc>
      </w:tr>
      <w:tr>
        <w:trPr>
          <w:trHeight w:val="263"/>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 activities</w:t>
            </w:r>
          </w:p>
        </w:tc>
        <w:tc>
          <w:tcPr>
            <w:tcW w:w="1820" w:type="dxa"/>
            <w:vAlign w:val="bottom"/>
            <w:gridSpan w:val="3"/>
          </w:tcPr>
          <w:p>
            <w:pPr>
              <w:ind w:left="2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Media interview</w:t>
            </w:r>
          </w:p>
        </w:tc>
        <w:tc>
          <w:tcPr>
            <w:tcW w:w="194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Performance briefing</w:t>
            </w:r>
          </w:p>
        </w:tc>
        <w:tc>
          <w:tcPr>
            <w:tcW w:w="5360" w:type="dxa"/>
            <w:vAlign w:val="bottom"/>
            <w:tcBorders>
              <w:right w:val="single" w:sz="8" w:color="auto"/>
            </w:tcBorders>
          </w:tcPr>
          <w:p>
            <w:pPr>
              <w:spacing w:after="0"/>
              <w:rPr>
                <w:sz w:val="22"/>
                <w:szCs w:val="22"/>
                <w:color w:val="auto"/>
              </w:rPr>
            </w:pPr>
          </w:p>
        </w:tc>
      </w:tr>
      <w:tr>
        <w:trPr>
          <w:trHeight w:val="257"/>
        </w:trPr>
        <w:tc>
          <w:tcPr>
            <w:tcW w:w="2120" w:type="dxa"/>
            <w:vAlign w:val="bottom"/>
            <w:tcBorders>
              <w:left w:val="single" w:sz="8" w:color="auto"/>
              <w:right w:val="single" w:sz="8" w:color="auto"/>
            </w:tcBorders>
          </w:tcPr>
          <w:p>
            <w:pPr>
              <w:spacing w:after="0"/>
              <w:rPr>
                <w:sz w:val="22"/>
                <w:szCs w:val="22"/>
                <w:color w:val="auto"/>
              </w:rPr>
            </w:pPr>
          </w:p>
        </w:tc>
        <w:tc>
          <w:tcPr>
            <w:tcW w:w="1820" w:type="dxa"/>
            <w:vAlign w:val="bottom"/>
            <w:gridSpan w:val="3"/>
          </w:tcPr>
          <w:p>
            <w:pPr>
              <w:ind w:left="2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Press conference</w:t>
            </w:r>
          </w:p>
        </w:tc>
        <w:tc>
          <w:tcPr>
            <w:tcW w:w="194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Roadshow</w:t>
            </w:r>
          </w:p>
        </w:tc>
        <w:tc>
          <w:tcPr>
            <w:tcW w:w="5360" w:type="dxa"/>
            <w:vAlign w:val="bottom"/>
            <w:tcBorders>
              <w:right w:val="single" w:sz="8" w:color="auto"/>
            </w:tcBorders>
          </w:tcPr>
          <w:p>
            <w:pPr>
              <w:spacing w:after="0"/>
              <w:rPr>
                <w:sz w:val="22"/>
                <w:szCs w:val="22"/>
                <w:color w:val="auto"/>
              </w:rPr>
            </w:pPr>
          </w:p>
        </w:tc>
      </w:tr>
      <w:tr>
        <w:trPr>
          <w:trHeight w:val="338"/>
        </w:trPr>
        <w:tc>
          <w:tcPr>
            <w:tcW w:w="21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2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Site visit</w:t>
            </w:r>
          </w:p>
        </w:tc>
        <w:tc>
          <w:tcPr>
            <w:tcW w:w="2580" w:type="dxa"/>
            <w:vAlign w:val="bottom"/>
            <w:tcBorders>
              <w:bottom w:val="single" w:sz="8" w:color="auto"/>
            </w:tcBorders>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Others</w:t>
            </w:r>
          </w:p>
        </w:tc>
        <w:tc>
          <w:tcPr>
            <w:tcW w:w="5360" w:type="dxa"/>
            <w:vAlign w:val="bottom"/>
            <w:tcBorders>
              <w:bottom w:val="single" w:sz="8" w:color="auto"/>
              <w:right w:val="single" w:sz="8" w:color="auto"/>
            </w:tcBorders>
          </w:tcPr>
          <w:p>
            <w:pPr>
              <w:spacing w:after="0"/>
              <w:rPr>
                <w:sz w:val="24"/>
                <w:szCs w:val="24"/>
                <w:color w:val="auto"/>
              </w:rPr>
            </w:pPr>
          </w:p>
        </w:tc>
      </w:tr>
      <w:tr>
        <w:trPr>
          <w:trHeight w:val="243"/>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Time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2022</w:t>
            </w:r>
          </w:p>
        </w:tc>
        <w:tc>
          <w:tcPr>
            <w:tcW w:w="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360" w:type="dxa"/>
            <w:vAlign w:val="bottom"/>
            <w:tcBorders>
              <w:right w:val="single" w:sz="8" w:color="auto"/>
            </w:tcBorders>
          </w:tcPr>
          <w:p>
            <w:pPr>
              <w:spacing w:after="0"/>
              <w:rPr>
                <w:sz w:val="21"/>
                <w:szCs w:val="21"/>
                <w:color w:val="auto"/>
              </w:rPr>
            </w:pPr>
          </w:p>
        </w:tc>
      </w:tr>
      <w:tr>
        <w:trPr>
          <w:trHeight w:val="34"/>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43"/>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Place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Conference call</w:t>
            </w:r>
          </w:p>
        </w:tc>
        <w:tc>
          <w:tcPr>
            <w:tcW w:w="6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360" w:type="dxa"/>
            <w:vAlign w:val="bottom"/>
            <w:tcBorders>
              <w:right w:val="single" w:sz="8" w:color="auto"/>
            </w:tcBorders>
          </w:tcPr>
          <w:p>
            <w:pPr>
              <w:spacing w:after="0"/>
              <w:rPr>
                <w:sz w:val="21"/>
                <w:szCs w:val="21"/>
                <w:color w:val="auto"/>
              </w:rPr>
            </w:pPr>
          </w:p>
        </w:tc>
      </w:tr>
      <w:tr>
        <w:trPr>
          <w:trHeight w:val="34"/>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21"/>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Receptionists of the listed</w:t>
            </w: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Chairman: HUI WANG</w:t>
            </w:r>
          </w:p>
        </w:tc>
        <w:tc>
          <w:tcPr>
            <w:tcW w:w="1940" w:type="dxa"/>
            <w:vAlign w:val="bottom"/>
          </w:tcPr>
          <w:p>
            <w:pPr>
              <w:spacing w:after="0"/>
              <w:rPr>
                <w:sz w:val="19"/>
                <w:szCs w:val="19"/>
                <w:color w:val="auto"/>
              </w:rPr>
            </w:pPr>
          </w:p>
        </w:tc>
        <w:tc>
          <w:tcPr>
            <w:tcW w:w="5360" w:type="dxa"/>
            <w:vAlign w:val="bottom"/>
            <w:tcBorders>
              <w:right w:val="single" w:sz="8" w:color="auto"/>
            </w:tcBorders>
          </w:tcPr>
          <w:p>
            <w:pPr>
              <w:spacing w:after="0"/>
              <w:rPr>
                <w:sz w:val="19"/>
                <w:szCs w:val="19"/>
                <w:color w:val="auto"/>
              </w:rPr>
            </w:pPr>
          </w:p>
        </w:tc>
      </w:tr>
      <w:tr>
        <w:trPr>
          <w:trHeight w:val="220"/>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General Manager: JIAN WANG</w:t>
            </w:r>
          </w:p>
        </w:tc>
        <w:tc>
          <w:tcPr>
            <w:tcW w:w="5360" w:type="dxa"/>
            <w:vAlign w:val="bottom"/>
            <w:tcBorders>
              <w:right w:val="single" w:sz="8" w:color="auto"/>
            </w:tcBorders>
          </w:tcPr>
          <w:p>
            <w:pPr>
              <w:spacing w:after="0"/>
              <w:rPr>
                <w:sz w:val="19"/>
                <w:szCs w:val="19"/>
                <w:color w:val="auto"/>
              </w:rPr>
            </w:pP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Person in Charge of Financial Matters: LISA YI LU FENG</w:t>
            </w: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3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5360" w:type="dxa"/>
            <w:vAlign w:val="bottom"/>
            <w:tcBorders>
              <w:right w:val="single" w:sz="8" w:color="auto"/>
            </w:tcBorders>
          </w:tcPr>
          <w:p>
            <w:pPr>
              <w:spacing w:after="0"/>
              <w:rPr>
                <w:sz w:val="20"/>
                <w:szCs w:val="20"/>
                <w:color w:val="auto"/>
              </w:rPr>
            </w:pPr>
          </w:p>
        </w:tc>
      </w:tr>
      <w:tr>
        <w:trPr>
          <w:trHeight w:val="34"/>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9120" w:type="dxa"/>
            <w:vAlign w:val="bottom"/>
            <w:tcBorders>
              <w:bottom w:val="single" w:sz="8" w:color="auto"/>
              <w:right w:val="single" w:sz="8" w:color="auto"/>
            </w:tcBorders>
            <w:gridSpan w:val="5"/>
          </w:tcPr>
          <w:p>
            <w:pPr>
              <w:spacing w:after="0"/>
              <w:rPr>
                <w:sz w:val="2"/>
                <w:szCs w:val="2"/>
                <w:color w:val="auto"/>
              </w:rPr>
            </w:pPr>
          </w:p>
        </w:tc>
      </w:tr>
      <w:tr>
        <w:trPr>
          <w:trHeight w:val="221"/>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 of investor</w:t>
            </w:r>
          </w:p>
        </w:tc>
        <w:tc>
          <w:tcPr>
            <w:tcW w:w="9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Leaders of ACM Shanghai (“the Company”) described the performance of the Company for the</w:t>
            </w:r>
          </w:p>
        </w:tc>
      </w:tr>
      <w:tr>
        <w:trPr>
          <w:trHeight w:val="238"/>
        </w:trPr>
        <w:tc>
          <w:tcPr>
            <w:tcW w:w="2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 activities</w:t>
            </w:r>
          </w:p>
        </w:tc>
        <w:tc>
          <w:tcPr>
            <w:tcW w:w="9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first quarter of 2022, and answered questions of concern by investors.</w:t>
            </w:r>
          </w:p>
        </w:tc>
      </w:tr>
      <w:tr>
        <w:trPr>
          <w:trHeight w:val="270"/>
        </w:trPr>
        <w:tc>
          <w:tcPr>
            <w:tcW w:w="2120" w:type="dxa"/>
            <w:vAlign w:val="bottom"/>
            <w:tcBorders>
              <w:left w:val="single" w:sz="8" w:color="auto"/>
              <w:right w:val="single" w:sz="8" w:color="auto"/>
            </w:tcBorders>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6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5360" w:type="dxa"/>
            <w:vAlign w:val="bottom"/>
            <w:tcBorders>
              <w:right w:val="single" w:sz="8" w:color="auto"/>
            </w:tcBorders>
          </w:tcPr>
          <w:p>
            <w:pPr>
              <w:spacing w:after="0"/>
              <w:rPr>
                <w:sz w:val="23"/>
                <w:szCs w:val="23"/>
                <w:color w:val="auto"/>
              </w:rPr>
            </w:pPr>
          </w:p>
        </w:tc>
      </w:tr>
      <w:tr>
        <w:trPr>
          <w:trHeight w:val="248"/>
        </w:trPr>
        <w:tc>
          <w:tcPr>
            <w:tcW w:w="2120" w:type="dxa"/>
            <w:vAlign w:val="bottom"/>
            <w:tcBorders>
              <w:left w:val="single" w:sz="8" w:color="auto"/>
              <w:right w:val="single" w:sz="8" w:color="auto"/>
            </w:tcBorders>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w:t>
            </w:r>
          </w:p>
        </w:tc>
        <w:tc>
          <w:tcPr>
            <w:tcW w:w="8860" w:type="dxa"/>
            <w:vAlign w:val="bottom"/>
            <w:tcBorders>
              <w:right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Under the significant effect from the delay in facilities of certain customers in Shanghai, how about the</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recognition period for the equipment delivered by the Company in comparison with other suppliers? What is the</w:t>
            </w:r>
          </w:p>
        </w:tc>
      </w:tr>
      <w:tr>
        <w:trPr>
          <w:trHeight w:val="238"/>
        </w:trPr>
        <w:tc>
          <w:tcPr>
            <w:tcW w:w="212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approximate pace from delivery to full sales revenue recognition?</w:t>
            </w:r>
          </w:p>
        </w:tc>
      </w:tr>
      <w:tr>
        <w:trPr>
          <w:trHeight w:val="252"/>
        </w:trPr>
        <w:tc>
          <w:tcPr>
            <w:tcW w:w="2120" w:type="dxa"/>
            <w:vAlign w:val="bottom"/>
            <w:tcBorders>
              <w:left w:val="single" w:sz="8" w:color="auto"/>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8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 According to the accounting standards adopted by ACM Shanghai, sales of the equipment is recognized after it has</w:t>
            </w:r>
          </w:p>
        </w:tc>
      </w:tr>
      <w:tr>
        <w:trPr>
          <w:trHeight w:val="216"/>
        </w:trPr>
        <w:tc>
          <w:tcPr>
            <w:tcW w:w="2120" w:type="dxa"/>
            <w:vAlign w:val="bottom"/>
            <w:tcBorders>
              <w:left w:val="single" w:sz="8" w:color="auto"/>
              <w:right w:val="single" w:sz="8" w:color="auto"/>
            </w:tcBorders>
          </w:tcPr>
          <w:p>
            <w:pPr>
              <w:spacing w:after="0"/>
              <w:rPr>
                <w:sz w:val="18"/>
                <w:szCs w:val="18"/>
                <w:color w:val="auto"/>
              </w:rPr>
            </w:pPr>
          </w:p>
        </w:tc>
        <w:tc>
          <w:tcPr>
            <w:tcW w:w="9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been installed on the customer production line and is ready to use. The pace depends on whether the facilities of customers</w:t>
            </w:r>
          </w:p>
        </w:tc>
      </w:tr>
      <w:tr>
        <w:trPr>
          <w:trHeight w:val="234"/>
        </w:trPr>
        <w:tc>
          <w:tcPr>
            <w:tcW w:w="2120" w:type="dxa"/>
            <w:vAlign w:val="bottom"/>
            <w:tcBorders>
              <w:left w:val="single" w:sz="8" w:color="auto"/>
              <w:right w:val="single" w:sz="8" w:color="auto"/>
            </w:tcBorders>
          </w:tcPr>
          <w:p>
            <w:pPr>
              <w:spacing w:after="0"/>
              <w:rPr>
                <w:sz w:val="20"/>
                <w:szCs w:val="20"/>
                <w:color w:val="auto"/>
              </w:rPr>
            </w:pPr>
          </w:p>
        </w:tc>
        <w:tc>
          <w:tcPr>
            <w:tcW w:w="91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are ready. If such facilities are ready, it usually takes 1.5 to 3 months for the recognition.</w:t>
            </w:r>
          </w:p>
        </w:tc>
      </w:tr>
      <w:tr>
        <w:trPr>
          <w:trHeight w:val="34"/>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425"/>
        </w:trPr>
        <w:tc>
          <w:tcPr>
            <w:tcW w:w="2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4" w:name="page5"/>
    <w:bookmarkEnd w:id="4"/>
    <w:p>
      <w:pPr>
        <w:ind w:left="1320" w:hanging="313"/>
        <w:spacing w:after="0"/>
        <w:tabs>
          <w:tab w:leader="none" w:pos="13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377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377565"/>
                    </a:xfrm>
                    <a:prstGeom prst="rect">
                      <a:avLst/>
                    </a:prstGeom>
                    <a:noFill/>
                  </pic:spPr>
                </pic:pic>
              </a:graphicData>
            </a:graphic>
          </wp:anchor>
        </w:drawing>
        <w:t>Can the affected revenue of RMB172million on equipment be recognized in Q2?</w:t>
      </w:r>
    </w:p>
    <w:p>
      <w:pPr>
        <w:spacing w:after="0" w:line="67" w:lineRule="exact"/>
        <w:rPr>
          <w:rFonts w:ascii="Times New Roman" w:cs="Times New Roman" w:eastAsia="Times New Roman" w:hAnsi="Times New Roman"/>
          <w:sz w:val="18"/>
          <w:szCs w:val="18"/>
          <w:b w:val="1"/>
          <w:bCs w:val="1"/>
          <w:color w:val="auto"/>
        </w:rPr>
      </w:pPr>
    </w:p>
    <w:p>
      <w:pPr>
        <w:ind w:left="1000" w:firstLine="331"/>
        <w:spacing w:after="0" w:line="282" w:lineRule="auto"/>
        <w:tabs>
          <w:tab w:leader="none" w:pos="156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equipment was delivered last year, and with a long period having passed, most of it can be recognized without special circumstances.</w:t>
      </w:r>
    </w:p>
    <w:p>
      <w:pPr>
        <w:spacing w:after="0" w:line="265" w:lineRule="exact"/>
        <w:rPr>
          <w:rFonts w:ascii="Times New Roman" w:cs="Times New Roman" w:eastAsia="Times New Roman" w:hAnsi="Times New Roman"/>
          <w:sz w:val="18"/>
          <w:szCs w:val="18"/>
          <w:color w:val="auto"/>
        </w:rPr>
      </w:pPr>
    </w:p>
    <w:p>
      <w:pPr>
        <w:ind w:left="1320" w:hanging="313"/>
        <w:spacing w:after="0"/>
        <w:tabs>
          <w:tab w:leader="none" w:pos="13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epidemic affect the guidance for the whole year?</w:t>
      </w:r>
    </w:p>
    <w:p>
      <w:pPr>
        <w:spacing w:after="0" w:line="67" w:lineRule="exact"/>
        <w:rPr>
          <w:rFonts w:ascii="Times New Roman" w:cs="Times New Roman" w:eastAsia="Times New Roman" w:hAnsi="Times New Roman"/>
          <w:sz w:val="18"/>
          <w:szCs w:val="18"/>
          <w:b w:val="1"/>
          <w:bCs w:val="1"/>
          <w:color w:val="auto"/>
        </w:rPr>
      </w:pPr>
    </w:p>
    <w:p>
      <w:pPr>
        <w:jc w:val="both"/>
        <w:ind w:left="1000" w:firstLine="331"/>
        <w:spacing w:after="0" w:line="254" w:lineRule="auto"/>
        <w:tabs>
          <w:tab w:leader="none" w:pos="15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Referring to the guidance data for annual sales of USD365million to USD405million disclosed by ACMR, the controlling shareholder in the US stock market, the Company’s annual sales and shipment guidance in the context of epidemic has not been revised for the following two primary reasons: first, the Company’s standard parts have not been affected, and although the parts purchased have not yet been delivered, basically the supply of goods with a long delivery period will, by its nature, not be affected; second, there are no changes in the customers’ orders, in which case, when the parts are ready, we will only need to properly arrange later production to ensure the efficiency of the installation team after shipment. We will maintain “two first-line” operations during the epidemic which is intended to ensure the production at the Chuansha Plant and we expect that there will be no effect on the whole year.</w:t>
      </w:r>
    </w:p>
    <w:p>
      <w:pPr>
        <w:spacing w:after="0" w:line="295" w:lineRule="exact"/>
        <w:rPr>
          <w:rFonts w:ascii="Times New Roman" w:cs="Times New Roman" w:eastAsia="Times New Roman" w:hAnsi="Times New Roman"/>
          <w:sz w:val="18"/>
          <w:szCs w:val="18"/>
          <w:color w:val="auto"/>
        </w:rPr>
      </w:pPr>
    </w:p>
    <w:p>
      <w:pPr>
        <w:ind w:left="1340" w:hanging="333"/>
        <w:spacing w:after="0" w:line="284" w:lineRule="auto"/>
        <w:tabs>
          <w:tab w:leader="none" w:pos="134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 present, Shanghai is still under lockdown, with certain restrictions on logistics in some regions. How about the Company’s spare parts inventory? Will there be any supply chain gap affecting production in the later stage?</w:t>
      </w:r>
    </w:p>
    <w:p>
      <w:pPr>
        <w:jc w:val="both"/>
        <w:ind w:left="1000" w:firstLine="331"/>
        <w:spacing w:after="0" w:line="266" w:lineRule="auto"/>
        <w:tabs>
          <w:tab w:leader="none" w:pos="155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domestic supplies are in or around Jiangsu, with only a relatively small quantity in Shanghai. Standard parts are mainly imported, some of which are still under customs clearance, but overall the impact from overseas supply chain is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0" w:right="399" w:bottom="1440" w:gutter="0" w:footer="0" w:header="0"/>
        </w:sectPr>
      </w:pPr>
    </w:p>
    <w:bookmarkStart w:id="5" w:name="page6"/>
    <w:bookmarkEnd w:id="5"/>
    <w:p>
      <w:pPr>
        <w:ind w:left="1340" w:hanging="333"/>
        <w:spacing w:after="0" w:line="284" w:lineRule="auto"/>
        <w:tabs>
          <w:tab w:leader="none" w:pos="139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206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t>Will there be any impact on logistics and supporting personnel for Q2 and Q3 in the short term when mature equipment involves verification and other factory affairs?</w:t>
      </w:r>
    </w:p>
    <w:p>
      <w:pPr>
        <w:jc w:val="both"/>
        <w:ind w:left="1000" w:firstLine="331"/>
        <w:spacing w:after="0" w:line="266" w:lineRule="auto"/>
        <w:tabs>
          <w:tab w:leader="none" w:pos="15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situation on site is controllable. We have installation teams throughout the country which are reasonably allocated in response to the situation. Some employees, managers and sales personnel in Shanghai have gradually moved to areas outside Shanghai.</w:t>
      </w:r>
    </w:p>
    <w:p>
      <w:pPr>
        <w:spacing w:after="0" w:line="279" w:lineRule="exact"/>
        <w:rPr>
          <w:rFonts w:ascii="Times New Roman" w:cs="Times New Roman" w:eastAsia="Times New Roman" w:hAnsi="Times New Roman"/>
          <w:sz w:val="18"/>
          <w:szCs w:val="18"/>
          <w:color w:val="auto"/>
        </w:rPr>
      </w:pPr>
    </w:p>
    <w:p>
      <w:pPr>
        <w:jc w:val="both"/>
        <w:ind w:left="1340" w:hanging="333"/>
        <w:spacing w:after="0" w:line="268" w:lineRule="auto"/>
        <w:tabs>
          <w:tab w:leader="none" w:pos="138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cleaning equipment manufacturers outside Mainland China have a tight production capacity and are conservative in domestic supply. Will there be greater opportunities for the Company to grow cleaning equipment in the two years?</w:t>
      </w:r>
    </w:p>
    <w:p>
      <w:pPr>
        <w:spacing w:after="0" w:line="12" w:lineRule="exact"/>
        <w:rPr>
          <w:rFonts w:ascii="Times New Roman" w:cs="Times New Roman" w:eastAsia="Times New Roman" w:hAnsi="Times New Roman"/>
          <w:sz w:val="18"/>
          <w:szCs w:val="18"/>
          <w:b w:val="1"/>
          <w:bCs w:val="1"/>
          <w:color w:val="auto"/>
        </w:rPr>
      </w:pPr>
    </w:p>
    <w:p>
      <w:pPr>
        <w:jc w:val="both"/>
        <w:ind w:left="1000" w:firstLine="331"/>
        <w:spacing w:after="0" w:line="256" w:lineRule="auto"/>
        <w:tabs>
          <w:tab w:leader="none" w:pos="155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one hand, the above-mentioned manufacturers are affected by the supply of parts. On the other hand, they do not focus on their market in Mainland China, but preferentially guarantee to supply Samsung, TSMC, Intel and other large manufacturers. During this wave of plant expansion, relatively small chip manufacturers will be affected, and the Company is actively following up. From the perspective of the layout of technology breadth, production capacity and R&amp;D team, etc., the Company has a leading position in China with its cleaning technologies covering 90% of the cleaning process steps, and will seize the opportunity to expand the domestic market share.</w:t>
      </w:r>
    </w:p>
    <w:p>
      <w:pPr>
        <w:spacing w:after="0" w:line="291" w:lineRule="exact"/>
        <w:rPr>
          <w:rFonts w:ascii="Times New Roman" w:cs="Times New Roman" w:eastAsia="Times New Roman" w:hAnsi="Times New Roman"/>
          <w:sz w:val="18"/>
          <w:szCs w:val="18"/>
          <w:color w:val="auto"/>
        </w:rPr>
      </w:pPr>
    </w:p>
    <w:p>
      <w:pPr>
        <w:ind w:left="1340" w:hanging="333"/>
        <w:spacing w:after="0" w:line="286" w:lineRule="auto"/>
        <w:tabs>
          <w:tab w:leader="none" w:pos="135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Company have its explosive growth in the overseas market? Apart from customers in Korean and the US, how about the customer expansion in Taiwan,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283845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0" w:right="399" w:bottom="1440" w:gutter="0" w:footer="0" w:header="0"/>
        </w:sectPr>
      </w:pPr>
    </w:p>
    <w:bookmarkStart w:id="6" w:name="page7"/>
    <w:bookmarkEnd w:id="6"/>
    <w:p>
      <w:pPr>
        <w:jc w:val="both"/>
        <w:ind w:left="1000" w:firstLine="331"/>
        <w:spacing w:after="0" w:line="254" w:lineRule="auto"/>
        <w:tabs>
          <w:tab w:leader="none" w:pos="15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103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t>Last year, the Company developed four major customers outside Mainland China, including one in the US which ordered two tools, the first to be delivered at the end of Q2 and the second to be delivered in the beginning of Q3 of 2022, which we believe will have a group effect among world-class manufacturers and accelerate the entry of our cleaning equipment into the global market. At present, we intend to consolidate the US market, obtain batch orders, and expand from SAPS to other equipment. Our long-term goal is to obtain more than 50% of the sales from outside Mainland China, improving sales in the US, South Korea, Europe, Taiwan and Singapore. Meanwhile, the Company has established a R&amp;D institution in Korea for cooperation with Shanghai, and will continue to set up similar local R&amp;D centers in localities of customers in the future, so as to speed up our R&amp;D and promote our equipment to the world.</w:t>
      </w:r>
    </w:p>
    <w:p>
      <w:pPr>
        <w:spacing w:after="0" w:line="295" w:lineRule="exact"/>
        <w:rPr>
          <w:rFonts w:ascii="Times New Roman" w:cs="Times New Roman" w:eastAsia="Times New Roman" w:hAnsi="Times New Roman"/>
          <w:sz w:val="18"/>
          <w:szCs w:val="18"/>
          <w:color w:val="auto"/>
        </w:rPr>
      </w:pPr>
    </w:p>
    <w:p>
      <w:pPr>
        <w:jc w:val="both"/>
        <w:ind w:left="1340" w:hanging="333"/>
        <w:spacing w:after="0" w:line="262" w:lineRule="auto"/>
        <w:tabs>
          <w:tab w:leader="none" w:pos="138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Less layout has been made for the two products that the Company plans to launch at the end of the year, and domestic manufacturers in China have taken the lead with some of them planning to launch similar equipment at similar time points. What do you think about the market positioning of the two products and their competitiveness among domestic manufacturers in China?</w:t>
      </w:r>
    </w:p>
    <w:p>
      <w:pPr>
        <w:spacing w:after="0" w:line="18" w:lineRule="exact"/>
        <w:rPr>
          <w:rFonts w:ascii="Times New Roman" w:cs="Times New Roman" w:eastAsia="Times New Roman" w:hAnsi="Times New Roman"/>
          <w:sz w:val="18"/>
          <w:szCs w:val="18"/>
          <w:b w:val="1"/>
          <w:bCs w:val="1"/>
          <w:color w:val="auto"/>
        </w:rPr>
      </w:pPr>
    </w:p>
    <w:p>
      <w:pPr>
        <w:jc w:val="both"/>
        <w:ind w:left="1000" w:firstLine="331"/>
        <w:spacing w:after="0" w:line="258" w:lineRule="auto"/>
        <w:tabs>
          <w:tab w:leader="none" w:pos="15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preparation and layout for these two products very early. After long-term research, we have had extensive knowledge from IP confirmation to industry understanding. In our product R&amp;D, we not only do so for solving problems of existing customers, but also take into account the technology extension needs of customers for the next generation, so as to have our technology and functions on a par with to the standards of international manufacturers. Once the verification at the customer end is completed, we are expected to become one of the first-tier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299720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7" w:name="page8"/>
    <w:bookmarkEnd w:id="7"/>
    <w:p>
      <w:pPr>
        <w:jc w:val="both"/>
        <w:ind w:left="1000"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137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t>Currently, both products are also made by domestic manufacturers in China. However, in terms of competition, we believe that we have no direct competition with domestic manufacturers on this regard. Anyone who can make them can sell the same. We mainly compete with overseas mainstream equipment manufacturers. It is the main direction in the future that our domestic manufacturers perfect their products and occupy the share of international equipment manufacturers in China’s equipment market.</w:t>
      </w:r>
    </w:p>
    <w:p>
      <w:pPr>
        <w:spacing w:after="0" w:line="287" w:lineRule="exact"/>
        <w:rPr>
          <w:sz w:val="20"/>
          <w:szCs w:val="20"/>
          <w:color w:val="auto"/>
        </w:rPr>
      </w:pPr>
    </w:p>
    <w:p>
      <w:pPr>
        <w:ind w:left="1340" w:hanging="333"/>
        <w:spacing w:after="0" w:line="284" w:lineRule="auto"/>
        <w:tabs>
          <w:tab w:leader="none" w:pos="133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about the extent of impact by the epidemic on the Company since April in terms of production and customer end? What are the details?</w:t>
      </w:r>
    </w:p>
    <w:p>
      <w:pPr>
        <w:jc w:val="both"/>
        <w:ind w:left="1000" w:firstLine="331"/>
        <w:spacing w:after="0" w:line="258" w:lineRule="auto"/>
        <w:tabs>
          <w:tab w:leader="none" w:pos="157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little impact on the customer end. Before Shanghai being subject to lockdown, our relevant personnel have entered the customer end. Although no new personnel can be added, basically we have procured our personnel on site of all our customers in Shanghai. For customers outside Shanghai, we have maintained normal dispatches of our personnel to the factories. At present, all our customers can keep normal operation, including some installation. Upon being named into the white list for resumption of work, we also plan to dispatch some customer service personnel to customers outside Shanghai.</w:t>
      </w:r>
    </w:p>
    <w:p>
      <w:pPr>
        <w:spacing w:after="0" w:line="21" w:lineRule="exact"/>
        <w:rPr>
          <w:sz w:val="20"/>
          <w:szCs w:val="20"/>
          <w:color w:val="auto"/>
        </w:rPr>
      </w:pPr>
    </w:p>
    <w:p>
      <w:pPr>
        <w:jc w:val="both"/>
        <w:ind w:left="1000" w:firstLine="324"/>
        <w:spacing w:after="0" w:line="258" w:lineRule="auto"/>
        <w:rPr>
          <w:sz w:val="20"/>
          <w:szCs w:val="20"/>
          <w:color w:val="auto"/>
        </w:rPr>
      </w:pPr>
      <w:r>
        <w:rPr>
          <w:rFonts w:ascii="Times New Roman" w:cs="Times New Roman" w:eastAsia="Times New Roman" w:hAnsi="Times New Roman"/>
          <w:sz w:val="18"/>
          <w:szCs w:val="18"/>
          <w:color w:val="auto"/>
        </w:rPr>
        <w:t>For the production end, we arranged for nearly 100 employees to enter the Chuansha Plant for closed production before lockdown measures were taken against Shanghai. After belong allowed to resume work, we also implemented relevant measures timely to ensure that the production staff can make “two first-line” production arrangements. About a dozen new employees will be added to the closed-loop production every day. At present, around 80% of the employees have conducted normal production, and it is expected that full resumption of production will be achieved in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299720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8" w:name="page9"/>
    <w:bookmarkEnd w:id="8"/>
    <w:p>
      <w:pPr>
        <w:ind w:left="1320" w:hanging="313"/>
        <w:spacing w:after="0"/>
        <w:tabs>
          <w:tab w:leader="none" w:pos="1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177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t>How about the current R&amp;D progress of incoming customers for the Company’s furnace tube ALD equipment?</w:t>
      </w:r>
    </w:p>
    <w:p>
      <w:pPr>
        <w:spacing w:after="0" w:line="67" w:lineRule="exact"/>
        <w:rPr>
          <w:rFonts w:ascii="Times New Roman" w:cs="Times New Roman" w:eastAsia="Times New Roman" w:hAnsi="Times New Roman"/>
          <w:sz w:val="18"/>
          <w:szCs w:val="18"/>
          <w:b w:val="1"/>
          <w:bCs w:val="1"/>
          <w:color w:val="auto"/>
        </w:rPr>
      </w:pPr>
    </w:p>
    <w:p>
      <w:pPr>
        <w:jc w:val="both"/>
        <w:ind w:left="1000" w:firstLine="331"/>
        <w:spacing w:after="0" w:line="261" w:lineRule="auto"/>
        <w:tabs>
          <w:tab w:leader="none" w:pos="15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high cost performance brought by its high working efficiency, the furnace tube ALD equipment will have a large market space in the future under the same performance. Only by developing differentiated technologies can we compete with international equipment manufacturers. After entering and being verified in the domestic market in China, our equipment is expected to seize the international market share.</w:t>
      </w:r>
    </w:p>
    <w:p>
      <w:pPr>
        <w:spacing w:after="0" w:line="283" w:lineRule="exact"/>
        <w:rPr>
          <w:rFonts w:ascii="Times New Roman" w:cs="Times New Roman" w:eastAsia="Times New Roman" w:hAnsi="Times New Roman"/>
          <w:sz w:val="18"/>
          <w:szCs w:val="18"/>
          <w:color w:val="auto"/>
        </w:rPr>
      </w:pPr>
    </w:p>
    <w:p>
      <w:pPr>
        <w:ind w:left="1340" w:hanging="333"/>
        <w:spacing w:after="0" w:line="284" w:lineRule="auto"/>
        <w:tabs>
          <w:tab w:leader="none" w:pos="13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proportion of sales on cleaning equipment of the Company dropped to less than 60% in the first quarter. Will such proportion be maintained throughout the year?</w:t>
      </w:r>
    </w:p>
    <w:p>
      <w:pPr>
        <w:jc w:val="both"/>
        <w:ind w:left="1000" w:firstLine="331"/>
        <w:spacing w:after="0" w:line="266" w:lineRule="auto"/>
        <w:tabs>
          <w:tab w:leader="none" w:pos="155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most of the products that were not accepted due to the epidemic were cleaning equipment. If this part of revenue were to be included, the revenue from cleaning equipment would still account for a relatively high proportion, with the annual cleaning equipment retaining at a level close to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277495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0"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371475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Enclosure.: List of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Essence Fund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Aeon Insurance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Baoying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Baoyin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 Jiang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Bosera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Chuangjin Hexin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Purekind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Dacheng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Daoren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Oriental Alpha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Soochow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Prudence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Fubon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Fujian Zeyuan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Fullgoal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FORTUNE &amp; ROYAL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Gaohe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Credit Suisse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Pramerica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FUND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Life Insurance Security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Life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SDIC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HZBANK Wealth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Hangzhou Qianjiang New City Financial Investment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HONY HORIZON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HuaAn Financial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HuaAn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Hwabao WP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HWABAO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HWABAO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Merchants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Huatai-Pinebridge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Sino-IC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Jihua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BoComm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Eagle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Management Branch of GOLDSTATE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Greenwoods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Invesco Great Wall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Rationalstone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Royal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Minghe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Huaxin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Nanhua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Lion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Lord Abbert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Panjing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Panhou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Penghua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PENGYANG AMC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AXA SPDB Investment Managers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 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RUIDA AMC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GUOHUA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Minhang Lingang United Development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Shangjin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International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BOSC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Shenzhen Yuanwangjiao Investment Management Enterprise (Limited Partnership)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Tenbagger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MegaTrust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CPIC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Taiping Pension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Taikang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Tianhong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Nature Asset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5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Tongjiao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Wanda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Wanjia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China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Xinyuan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Xincheng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Xincheng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State Cinda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XINGHE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Xingquan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 Wealth</w:t>
      </w:r>
    </w:p>
    <w:p>
      <w:pPr>
        <w:spacing w:after="0" w:line="9" w:lineRule="exact"/>
        <w:rPr>
          <w:sz w:val="20"/>
          <w:szCs w:val="20"/>
          <w:color w:val="auto"/>
        </w:rPr>
      </w:pPr>
    </w:p>
    <w:p>
      <w:pPr>
        <w:ind w:right="8899" w:firstLine="8"/>
        <w:spacing w:after="0" w:line="250" w:lineRule="auto"/>
        <w:tabs>
          <w:tab w:leader="none" w:pos="1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Galaxy Asset Yinhua Fund Yingda Asset Maxwealth Fund Longrising Yuance Capital</w:t>
      </w:r>
    </w:p>
    <w:p>
      <w:pPr>
        <w:spacing w:after="0" w:line="2" w:lineRule="exact"/>
        <w:rPr>
          <w:rFonts w:ascii="Times New Roman" w:cs="Times New Roman" w:eastAsia="Times New Roman" w:hAnsi="Times New Roman"/>
          <w:sz w:val="18"/>
          <w:szCs w:val="18"/>
          <w:color w:val="auto"/>
        </w:rPr>
      </w:pPr>
    </w:p>
    <w:p>
      <w:pPr>
        <w:ind w:right="85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CHANGAN FUNDS Greatwall Life Changjian Investment</w:t>
      </w:r>
    </w:p>
    <w:p>
      <w:pPr>
        <w:spacing w:after="0" w:line="1" w:lineRule="exact"/>
        <w:rPr>
          <w:rFonts w:ascii="Times New Roman" w:cs="Times New Roman" w:eastAsia="Times New Roman" w:hAnsi="Times New Roman"/>
          <w:sz w:val="18"/>
          <w:szCs w:val="18"/>
          <w:color w:val="auto"/>
        </w:rPr>
      </w:pPr>
    </w:p>
    <w:p>
      <w:pPr>
        <w:ind w:right="71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Changsheng Fund Management Co., Ltd. Changxin Asset Management</w:t>
      </w:r>
    </w:p>
    <w:p>
      <w:pPr>
        <w:ind w:right="8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Merchants Fund Zheshang Securities</w:t>
      </w:r>
    </w:p>
    <w:p>
      <w:pPr>
        <w:ind w:right="7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China Beijing Branch Zhonghai Fund</w:t>
      </w:r>
    </w:p>
    <w:p>
      <w:pPr>
        <w:ind w:right="84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Lombarda China Fund Zhongrong Fund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Capital Management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CITIC CAPITAL</w:t>
      </w:r>
    </w:p>
    <w:p>
      <w:pPr>
        <w:spacing w:after="0" w:line="9" w:lineRule="exact"/>
        <w:rPr>
          <w:rFonts w:ascii="Times New Roman" w:cs="Times New Roman" w:eastAsia="Times New Roman" w:hAnsi="Times New Roman"/>
          <w:sz w:val="18"/>
          <w:szCs w:val="18"/>
          <w:color w:val="auto"/>
        </w:rPr>
      </w:pPr>
    </w:p>
    <w:p>
      <w:pPr>
        <w:ind w:right="835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Citic Asset Management BOC International BOC Investment</w:t>
      </w:r>
    </w:p>
    <w:p>
      <w:pPr>
        <w:ind w:right="65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Post &amp; Capital Fund Management Co., Ltd. China Re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50" w:right="1440" w:bottom="1440" w:gutter="0" w:footer="0" w:header="0"/>
        </w:sectPr>
      </w:pPr>
    </w:p>
    <w:bookmarkStart w:id="12" w:name="page13"/>
    <w:bookmarkEnd w:id="12"/>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351155" cy="22288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May 2022 Investor Relation Activity of ACM Research (Shanghai), Inc. (the “Record”) pursuant to the Current Report on Form 8-K reporting requirements of ACM Research,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SAPS is a trademark of ACM Research, Inc. For convenience, this trademark appears in the Record without ™ symbols, but that practice does not mean that ACM Research, Inc. will not assert, to the fullest extent under applicable law, its rights to the trademarks.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ACMSH due to its substantial non-U.S. customer and supplier base and its substantial non-U.S. manufacturing operations.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(Shanghai),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Agenda of 2021 Annual General Meeting of Shareholders</w:t>
      </w:r>
    </w:p>
    <w:p>
      <w:pPr>
        <w:spacing w:after="0" w:line="20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 Time, Place and Voting Method</w:t>
      </w:r>
    </w:p>
    <w:p>
      <w:pPr>
        <w:spacing w:after="0" w:line="256"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time: 10:00, June 30, 2022</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mode: communication conference</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Conveners: board of directors of ACM Research (Shanghai), Inc.</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HUI WANG, Chairman</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voting system, period and time</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voting system: online voting system for general meeting of shareholders of Shanghai Stock Exchange</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voting period: from June 30, 2022 to June 30, 2022</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online voting system of Shanghai Stock Exchange is adopted, voting through which is available for the trading time period on the day of the general meeting of shareholders, i.e. 9:15-9:25, 9:30-11:30, 13:00-15:00; the voting time through the online voting platform ranges from 9:15 to 15:00 on the day of the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Meeting Agenda</w:t>
      </w:r>
    </w:p>
    <w:p>
      <w:pPr>
        <w:spacing w:after="0" w:line="256"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of participants</w:t>
      </w:r>
    </w:p>
    <w:p>
      <w:pPr>
        <w:spacing w:after="0" w:line="252"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announcing opening of the meeting and reporting to the general meeting the number of shareholders attending physically and the number of voting rights held by them</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out the notes to the general meeting</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tellers and scrutineers</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or listening to the proposals at the meeting one by one: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the Company’s Annual Report in 2021 and Summary Thereof</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the Work Report of the Board of Directors in 2021</w:t>
      </w:r>
    </w:p>
    <w:p>
      <w:pPr>
        <w:spacing w:after="0" w:line="252" w:lineRule="exact"/>
        <w:rPr>
          <w:rFonts w:ascii="Times New Roman" w:cs="Times New Roman" w:eastAsia="Times New Roman" w:hAnsi="Times New Roman"/>
          <w:sz w:val="18"/>
          <w:szCs w:val="18"/>
          <w:color w:val="auto"/>
        </w:rPr>
      </w:pPr>
    </w:p>
    <w:p>
      <w:pPr>
        <w:ind w:left="820" w:right="4500" w:hanging="326"/>
        <w:spacing w:after="0" w:line="530" w:lineRule="auto"/>
        <w:tabs>
          <w:tab w:leader="none" w:pos="8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Deliberating the Proposal on the Work Report of the Board of Supervisors in 2021 Listening to the Proposal on the Work Report of Independent Directors in 2021</w:t>
      </w:r>
    </w:p>
    <w:p>
      <w:pPr>
        <w:ind w:left="820" w:hanging="326"/>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the Final Account Report in 2021</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the Financial Budget Plan for 2022</w:t>
      </w:r>
    </w:p>
    <w:p>
      <w:pPr>
        <w:spacing w:after="0" w:line="252"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financial budget is developed based on internal business goals and work plans with an internal revenue growth assumption of 44-60% solely for budgeting purposes</w:t>
      </w:r>
    </w:p>
    <w:p>
      <w:pPr>
        <w:spacing w:after="0" w:line="188"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expansion of business scale and the new product development targets, R&amp;D expenses growth rate is expected to be in the range of 70%-72%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ind w:left="812" w:hanging="326"/>
        <w:spacing w:after="0"/>
        <w:tabs>
          <w:tab w:leader="none" w:pos="8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the Profit Distribution Plan in 2021</w:t>
      </w:r>
    </w:p>
    <w:p>
      <w:pPr>
        <w:spacing w:after="0" w:line="252" w:lineRule="exact"/>
        <w:rPr>
          <w:rFonts w:ascii="Times New Roman" w:cs="Times New Roman" w:eastAsia="Times New Roman" w:hAnsi="Times New Roman"/>
          <w:sz w:val="18"/>
          <w:szCs w:val="18"/>
          <w:color w:val="auto"/>
        </w:rPr>
      </w:pPr>
    </w:p>
    <w:p>
      <w:pPr>
        <w:ind w:left="1132" w:hanging="322"/>
        <w:spacing w:after="0"/>
        <w:tabs>
          <w:tab w:leader="none" w:pos="11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attributable to owners of parent company is RMB 266.2482 million</w:t>
      </w:r>
    </w:p>
    <w:p>
      <w:pPr>
        <w:spacing w:after="0" w:line="252" w:lineRule="exact"/>
        <w:rPr>
          <w:rFonts w:ascii="Times New Roman" w:cs="Times New Roman" w:eastAsia="Times New Roman" w:hAnsi="Times New Roman"/>
          <w:sz w:val="18"/>
          <w:szCs w:val="18"/>
          <w:color w:val="auto"/>
        </w:rPr>
      </w:pPr>
    </w:p>
    <w:p>
      <w:pPr>
        <w:ind w:left="1132" w:hanging="322"/>
        <w:spacing w:after="0"/>
        <w:tabs>
          <w:tab w:leader="none" w:pos="11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of parent company is RMB 243.8152 million</w:t>
      </w:r>
    </w:p>
    <w:p>
      <w:pPr>
        <w:spacing w:after="0" w:line="252" w:lineRule="exact"/>
        <w:rPr>
          <w:rFonts w:ascii="Times New Roman" w:cs="Times New Roman" w:eastAsia="Times New Roman" w:hAnsi="Times New Roman"/>
          <w:sz w:val="18"/>
          <w:szCs w:val="18"/>
          <w:color w:val="auto"/>
        </w:rPr>
      </w:pPr>
    </w:p>
    <w:p>
      <w:pPr>
        <w:ind w:left="1132" w:right="20" w:hanging="322"/>
        <w:spacing w:after="0" w:line="282" w:lineRule="auto"/>
        <w:tabs>
          <w:tab w:leader="none" w:pos="11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plans not to distribute profits in 2021, nor to convert capital reserves into share capital, and the remaining undistributed profits will be rolled over to the next year</w:t>
      </w:r>
    </w:p>
    <w:p>
      <w:pPr>
        <w:spacing w:after="0" w:line="161" w:lineRule="exact"/>
        <w:rPr>
          <w:rFonts w:ascii="Times New Roman" w:cs="Times New Roman" w:eastAsia="Times New Roman" w:hAnsi="Times New Roman"/>
          <w:sz w:val="18"/>
          <w:szCs w:val="18"/>
          <w:color w:val="auto"/>
        </w:rPr>
      </w:pPr>
    </w:p>
    <w:p>
      <w:pPr>
        <w:ind w:left="812" w:hanging="326"/>
        <w:spacing w:after="0" w:line="282" w:lineRule="auto"/>
        <w:tabs>
          <w:tab w:leader="none" w:pos="8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Confirming the Amount of the Company’s Day-to-Day Related Party Transactions Exceeding the Estimated Amount in 2021 and the Estimated Amount of Day-to-Day Related Party Transactions in 2022</w:t>
      </w:r>
    </w:p>
    <w:p>
      <w:pPr>
        <w:spacing w:after="0" w:line="188" w:lineRule="exact"/>
        <w:rPr>
          <w:rFonts w:ascii="Times New Roman" w:cs="Times New Roman" w:eastAsia="Times New Roman" w:hAnsi="Times New Roman"/>
          <w:sz w:val="18"/>
          <w:szCs w:val="18"/>
          <w:color w:val="auto"/>
        </w:rPr>
      </w:pPr>
    </w:p>
    <w:p>
      <w:pPr>
        <w:ind w:left="1132" w:hanging="322"/>
        <w:spacing w:after="0"/>
        <w:tabs>
          <w:tab w:leader="none" w:pos="113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 attached as an annex hereto</w:t>
      </w:r>
    </w:p>
    <w:p>
      <w:pPr>
        <w:spacing w:after="0" w:line="225" w:lineRule="exact"/>
        <w:rPr>
          <w:rFonts w:ascii="Times New Roman" w:cs="Times New Roman" w:eastAsia="Times New Roman" w:hAnsi="Times New Roman"/>
          <w:sz w:val="18"/>
          <w:szCs w:val="18"/>
          <w:color w:val="auto"/>
        </w:rPr>
      </w:pPr>
    </w:p>
    <w:p>
      <w:pPr>
        <w:ind w:left="812" w:hanging="326"/>
        <w:spacing w:after="0"/>
        <w:tabs>
          <w:tab w:leader="none" w:pos="8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the Reappointment of Audit Institution in 2022</w:t>
      </w:r>
    </w:p>
    <w:p>
      <w:pPr>
        <w:spacing w:after="0" w:line="252" w:lineRule="exact"/>
        <w:rPr>
          <w:rFonts w:ascii="Times New Roman" w:cs="Times New Roman" w:eastAsia="Times New Roman" w:hAnsi="Times New Roman"/>
          <w:sz w:val="18"/>
          <w:szCs w:val="18"/>
          <w:color w:val="auto"/>
        </w:rPr>
      </w:pPr>
    </w:p>
    <w:p>
      <w:pPr>
        <w:ind w:left="812" w:hanging="326"/>
        <w:spacing w:after="0"/>
        <w:tabs>
          <w:tab w:leader="none" w:pos="8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Deliberating the Proposal on the Remuneration Scheme for Directors and Supervisors of the Company in 2022</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Speeches and questions of shareholders and their proxies present</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of shareholders and their proxies present on various proposals</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(counting the votes)</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Resumption of the meeting, announcement of the voting results and adoption of proposals</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declaring resolution of the general meeting</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Witnessing the lawyer to read the legal opinion</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the meeting documents</w:t>
      </w:r>
    </w:p>
    <w:p>
      <w:pPr>
        <w:spacing w:after="0" w:line="252" w:lineRule="exact"/>
        <w:rPr>
          <w:rFonts w:ascii="Times New Roman" w:cs="Times New Roman" w:eastAsia="Times New Roman" w:hAnsi="Times New Roman"/>
          <w:sz w:val="18"/>
          <w:szCs w:val="18"/>
          <w:color w:val="auto"/>
        </w:rPr>
      </w:pPr>
    </w:p>
    <w:p>
      <w:pPr>
        <w:ind w:left="492" w:hanging="492"/>
        <w:spacing w:after="0"/>
        <w:tabs>
          <w:tab w:leader="none" w:pos="4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Annex: Additional detail for Proposal 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RMB ten thousand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780" w:type="dxa"/>
            <w:vAlign w:val="bottom"/>
            <w:tcBorders>
              <w:top w:val="single" w:sz="8" w:color="auto"/>
              <w:left w:val="single" w:sz="8" w:color="auto"/>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Related party transaction</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Related Party</w:t>
            </w:r>
          </w:p>
        </w:tc>
        <w:tc>
          <w:tcPr>
            <w:tcW w:w="280" w:type="dxa"/>
            <w:vAlign w:val="bottom"/>
            <w:tcBorders>
              <w:top w:val="single" w:sz="8" w:color="auto"/>
              <w:right w:val="single" w:sz="8" w:color="auto"/>
            </w:tcBorders>
          </w:tcPr>
          <w:p>
            <w:pPr>
              <w:spacing w:after="0"/>
              <w:rPr>
                <w:sz w:val="21"/>
                <w:szCs w:val="21"/>
                <w:color w:val="auto"/>
              </w:rPr>
            </w:pPr>
          </w:p>
        </w:tc>
        <w:tc>
          <w:tcPr>
            <w:tcW w:w="22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Amount</w:t>
            </w:r>
          </w:p>
        </w:tc>
        <w:tc>
          <w:tcPr>
            <w:tcW w:w="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Actual Amount</w:t>
            </w:r>
          </w:p>
        </w:tc>
        <w:tc>
          <w:tcPr>
            <w:tcW w:w="360" w:type="dxa"/>
            <w:vAlign w:val="bottom"/>
            <w:tcBorders>
              <w:top w:val="single" w:sz="8" w:color="auto"/>
              <w:right w:val="single" w:sz="8" w:color="auto"/>
            </w:tcBorders>
          </w:tcPr>
          <w:p>
            <w:pPr>
              <w:spacing w:after="0"/>
              <w:rPr>
                <w:sz w:val="21"/>
                <w:szCs w:val="21"/>
                <w:color w:val="auto"/>
              </w:rPr>
            </w:pPr>
          </w:p>
        </w:tc>
        <w:tc>
          <w:tcPr>
            <w:tcW w:w="2520" w:type="dxa"/>
            <w:vAlign w:val="bottom"/>
            <w:tcBorders>
              <w:top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Reasons for large differences</w:t>
            </w:r>
          </w:p>
        </w:tc>
        <w:tc>
          <w:tcPr>
            <w:tcW w:w="0" w:type="dxa"/>
            <w:vAlign w:val="bottom"/>
          </w:tcPr>
          <w:p>
            <w:pPr>
              <w:spacing w:after="0"/>
              <w:rPr>
                <w:sz w:val="1"/>
                <w:szCs w:val="1"/>
                <w:color w:val="auto"/>
              </w:rPr>
            </w:pPr>
          </w:p>
        </w:tc>
      </w:tr>
      <w:tr>
        <w:trPr>
          <w:trHeight w:val="238"/>
        </w:trPr>
        <w:tc>
          <w:tcPr>
            <w:tcW w:w="2780" w:type="dxa"/>
            <w:vAlign w:val="bottom"/>
            <w:tcBorders>
              <w:left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in 2021</w:t>
            </w:r>
          </w:p>
        </w:tc>
        <w:tc>
          <w:tcPr>
            <w:tcW w:w="60" w:type="dxa"/>
            <w:vAlign w:val="bottom"/>
          </w:tcPr>
          <w:p>
            <w:pPr>
              <w:spacing w:after="0"/>
              <w:rPr>
                <w:sz w:val="20"/>
                <w:szCs w:val="20"/>
                <w:color w:val="auto"/>
              </w:rPr>
            </w:pPr>
          </w:p>
        </w:tc>
        <w:tc>
          <w:tcPr>
            <w:tcW w:w="18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incurred in 2021</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7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Sales of products, goods and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Wafer Works Co.</w:t>
            </w:r>
          </w:p>
        </w:tc>
        <w:tc>
          <w:tcPr>
            <w:tcW w:w="2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550.00</w:t>
            </w:r>
          </w:p>
        </w:tc>
        <w:tc>
          <w:tcPr>
            <w:tcW w:w="14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Customer procurement plan</w:t>
            </w:r>
          </w:p>
        </w:tc>
        <w:tc>
          <w:tcPr>
            <w:tcW w:w="0" w:type="dxa"/>
            <w:vAlign w:val="bottom"/>
          </w:tcPr>
          <w:p>
            <w:pPr>
              <w:spacing w:after="0"/>
              <w:rPr>
                <w:sz w:val="1"/>
                <w:szCs w:val="1"/>
                <w:color w:val="auto"/>
              </w:rPr>
            </w:pPr>
          </w:p>
        </w:tc>
      </w:tr>
      <w:tr>
        <w:trPr>
          <w:trHeight w:val="234"/>
        </w:trPr>
        <w:tc>
          <w:tcPr>
            <w:tcW w:w="27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services to related parties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delayed</w:t>
            </w:r>
          </w:p>
        </w:tc>
        <w:tc>
          <w:tcPr>
            <w:tcW w:w="0" w:type="dxa"/>
            <w:vAlign w:val="bottom"/>
          </w:tcPr>
          <w:p>
            <w:pPr>
              <w:spacing w:after="0"/>
              <w:rPr>
                <w:sz w:val="1"/>
                <w:szCs w:val="1"/>
                <w:color w:val="auto"/>
              </w:rPr>
            </w:pPr>
          </w:p>
        </w:tc>
      </w:tr>
      <w:tr>
        <w:trPr>
          <w:trHeight w:val="34"/>
        </w:trPr>
        <w:tc>
          <w:tcPr>
            <w:tcW w:w="13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340" w:type="dxa"/>
            <w:vAlign w:val="bottom"/>
            <w:tcBorders>
              <w:lef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Wafer Works</w:t>
            </w:r>
          </w:p>
        </w:tc>
        <w:tc>
          <w:tcPr>
            <w:tcW w:w="2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1,400.00</w:t>
            </w:r>
          </w:p>
        </w:tc>
        <w:tc>
          <w:tcPr>
            <w:tcW w:w="1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867.87</w:t>
            </w:r>
          </w:p>
        </w:tc>
        <w:tc>
          <w:tcPr>
            <w:tcW w:w="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Changes in customer purchasing</w:t>
            </w: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(Shanghai)</w:t>
            </w:r>
          </w:p>
        </w:tc>
        <w:tc>
          <w:tcPr>
            <w:tcW w:w="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plans</w:t>
            </w: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1,950.00</w:t>
            </w:r>
          </w:p>
        </w:tc>
        <w:tc>
          <w:tcPr>
            <w:tcW w:w="14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869.18</w:t>
            </w:r>
          </w:p>
        </w:tc>
        <w:tc>
          <w:tcPr>
            <w:tcW w:w="4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7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Accept products and services from</w:t>
            </w:r>
          </w:p>
        </w:tc>
        <w:tc>
          <w:tcPr>
            <w:tcW w:w="100" w:type="dxa"/>
            <w:vAlign w:val="bottom"/>
          </w:tcPr>
          <w:p>
            <w:pPr>
              <w:spacing w:after="0"/>
              <w:rPr>
                <w:sz w:val="19"/>
                <w:szCs w:val="19"/>
                <w:color w:val="auto"/>
              </w:rPr>
            </w:pPr>
          </w:p>
        </w:tc>
        <w:tc>
          <w:tcPr>
            <w:tcW w:w="1720" w:type="dxa"/>
            <w:vAlign w:val="bottom"/>
            <w:tcBorders>
              <w:right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NINEBELL Co., Ltd.</w:t>
            </w:r>
          </w:p>
        </w:tc>
        <w:tc>
          <w:tcPr>
            <w:tcW w:w="500" w:type="dxa"/>
            <w:vAlign w:val="bottom"/>
          </w:tcPr>
          <w:p>
            <w:pPr>
              <w:spacing w:after="0"/>
              <w:rPr>
                <w:sz w:val="19"/>
                <w:szCs w:val="19"/>
                <w:color w:val="auto"/>
              </w:rPr>
            </w:pPr>
          </w:p>
        </w:tc>
        <w:tc>
          <w:tcPr>
            <w:tcW w:w="174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20,000.00</w:t>
            </w:r>
          </w:p>
        </w:tc>
        <w:tc>
          <w:tcPr>
            <w:tcW w:w="14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21,710.41</w:t>
            </w:r>
          </w:p>
        </w:tc>
        <w:tc>
          <w:tcPr>
            <w:tcW w:w="4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Order demand exceeds</w:t>
            </w: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related parties</w:t>
            </w:r>
          </w:p>
        </w:tc>
        <w:tc>
          <w:tcPr>
            <w:tcW w:w="14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expectations</w:t>
            </w:r>
          </w:p>
        </w:tc>
        <w:tc>
          <w:tcPr>
            <w:tcW w:w="0" w:type="dxa"/>
            <w:vAlign w:val="bottom"/>
          </w:tcPr>
          <w:p>
            <w:pPr>
              <w:spacing w:after="0"/>
              <w:rPr>
                <w:sz w:val="1"/>
                <w:szCs w:val="1"/>
                <w:color w:val="auto"/>
              </w:rPr>
            </w:pPr>
          </w:p>
        </w:tc>
      </w:tr>
      <w:tr>
        <w:trPr>
          <w:trHeight w:val="34"/>
        </w:trPr>
        <w:tc>
          <w:tcPr>
            <w:tcW w:w="13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SY-SEMITECH</w:t>
            </w:r>
          </w:p>
        </w:tc>
        <w:tc>
          <w:tcPr>
            <w:tcW w:w="2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tcBorders>
              <w:right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8"/>
              </w:rPr>
              <w:t>3,000.00</w:t>
            </w:r>
          </w:p>
        </w:tc>
        <w:tc>
          <w:tcPr>
            <w:tcW w:w="14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1,932.30</w:t>
            </w:r>
          </w:p>
        </w:tc>
        <w:tc>
          <w:tcPr>
            <w:tcW w:w="4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Adjust filter purchasing suppliers</w:t>
            </w:r>
          </w:p>
        </w:tc>
        <w:tc>
          <w:tcPr>
            <w:tcW w:w="0" w:type="dxa"/>
            <w:vAlign w:val="bottom"/>
          </w:tcPr>
          <w:p>
            <w:pPr>
              <w:spacing w:after="0"/>
              <w:rPr>
                <w:sz w:val="1"/>
                <w:szCs w:val="1"/>
                <w:color w:val="auto"/>
              </w:rPr>
            </w:pPr>
          </w:p>
        </w:tc>
      </w:tr>
      <w:tr>
        <w:trPr>
          <w:trHeight w:val="34"/>
        </w:trPr>
        <w:tc>
          <w:tcPr>
            <w:tcW w:w="13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8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tcBorders>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23,000.00</w:t>
            </w:r>
          </w:p>
        </w:tc>
        <w:tc>
          <w:tcPr>
            <w:tcW w:w="14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23,642.72</w:t>
            </w:r>
          </w:p>
        </w:tc>
        <w:tc>
          <w:tcPr>
            <w:tcW w:w="4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Note: Above amount does not include tax</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 RMB ten thousand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16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Amount</w:t>
            </w:r>
          </w:p>
        </w:tc>
        <w:tc>
          <w:tcPr>
            <w:tcW w:w="40" w:type="dxa"/>
            <w:vAlign w:val="bottom"/>
          </w:tcPr>
          <w:p>
            <w:pPr>
              <w:spacing w:after="0"/>
              <w:rPr>
                <w:sz w:val="19"/>
                <w:szCs w:val="19"/>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c>
          <w:tcPr>
            <w:tcW w:w="60" w:type="dxa"/>
            <w:vAlign w:val="bottom"/>
          </w:tcPr>
          <w:p>
            <w:pPr>
              <w:spacing w:after="0"/>
              <w:rPr>
                <w:sz w:val="19"/>
                <w:szCs w:val="19"/>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Possible reasons for large</w:t>
            </w: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similar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transaction amount</w:t>
            </w:r>
          </w:p>
        </w:tc>
        <w:tc>
          <w:tcPr>
            <w:tcW w:w="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incurred in 2021</w:t>
            </w:r>
          </w:p>
        </w:tc>
        <w:tc>
          <w:tcPr>
            <w:tcW w:w="40" w:type="dxa"/>
            <w:vAlign w:val="bottom"/>
          </w:tcPr>
          <w:p>
            <w:pPr>
              <w:spacing w:after="0"/>
              <w:rPr>
                <w:sz w:val="18"/>
                <w:szCs w:val="18"/>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similar</w:t>
            </w:r>
          </w:p>
        </w:tc>
        <w:tc>
          <w:tcPr>
            <w:tcW w:w="60" w:type="dxa"/>
            <w:vAlign w:val="bottom"/>
          </w:tcPr>
          <w:p>
            <w:pPr>
              <w:spacing w:after="0"/>
              <w:rPr>
                <w:sz w:val="18"/>
                <w:szCs w:val="18"/>
                <w:color w:val="auto"/>
              </w:rPr>
            </w:pPr>
          </w:p>
        </w:tc>
        <w:tc>
          <w:tcPr>
            <w:tcW w:w="21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differences</w:t>
            </w: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category</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2022</w:t>
            </w:r>
          </w:p>
        </w:tc>
        <w:tc>
          <w:tcPr>
            <w:tcW w:w="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 related parties</w:t>
            </w:r>
          </w:p>
        </w:tc>
        <w:tc>
          <w:tcPr>
            <w:tcW w:w="6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6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Borders>
              <w:left w:val="single" w:sz="8" w:color="auto"/>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2022/1/1 – 1/31</w:t>
            </w:r>
          </w:p>
        </w:tc>
        <w:tc>
          <w:tcPr>
            <w:tcW w:w="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Sales of</w:t>
            </w: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Wafer Works Co.</w:t>
            </w:r>
          </w:p>
        </w:tc>
        <w:tc>
          <w:tcPr>
            <w:tcW w:w="16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2,200.00</w:t>
            </w:r>
          </w:p>
        </w:tc>
        <w:tc>
          <w:tcPr>
            <w:tcW w:w="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0.89%</w:t>
            </w:r>
          </w:p>
        </w:tc>
        <w:tc>
          <w:tcPr>
            <w:tcW w:w="17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1.31</w:t>
            </w:r>
          </w:p>
        </w:tc>
        <w:tc>
          <w:tcPr>
            <w:tcW w:w="40" w:type="dxa"/>
            <w:vAlign w:val="bottom"/>
          </w:tcPr>
          <w:p>
            <w:pPr>
              <w:spacing w:after="0"/>
              <w:rPr>
                <w:sz w:val="19"/>
                <w:szCs w:val="19"/>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9"/>
                <w:szCs w:val="19"/>
                <w:color w:val="auto"/>
              </w:rPr>
            </w:pPr>
          </w:p>
        </w:tc>
        <w:tc>
          <w:tcPr>
            <w:tcW w:w="21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Affected by customer</w:t>
            </w:r>
          </w:p>
        </w:tc>
        <w:tc>
          <w:tcPr>
            <w:tcW w:w="0" w:type="dxa"/>
            <w:vAlign w:val="bottom"/>
          </w:tcPr>
          <w:p>
            <w:pPr>
              <w:spacing w:after="0"/>
              <w:rPr>
                <w:sz w:val="1"/>
                <w:szCs w:val="1"/>
                <w:color w:val="auto"/>
              </w:rPr>
            </w:pPr>
          </w:p>
        </w:tc>
      </w:tr>
      <w:tr>
        <w:trPr>
          <w:trHeight w:val="52"/>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products, goods</w:t>
            </w: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10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equipment purchase plan</w:t>
            </w:r>
          </w:p>
        </w:tc>
        <w:tc>
          <w:tcPr>
            <w:tcW w:w="0" w:type="dxa"/>
            <w:vAlign w:val="bottom"/>
          </w:tcPr>
          <w:p>
            <w:pPr>
              <w:spacing w:after="0"/>
              <w:rPr>
                <w:sz w:val="1"/>
                <w:szCs w:val="1"/>
                <w:color w:val="auto"/>
              </w:rPr>
            </w:pPr>
          </w:p>
        </w:tc>
      </w:tr>
      <w:tr>
        <w:trPr>
          <w:trHeight w:val="144"/>
        </w:trPr>
        <w:tc>
          <w:tcPr>
            <w:tcW w:w="1340" w:type="dxa"/>
            <w:vAlign w:val="bottom"/>
            <w:tcBorders>
              <w:left w:val="single" w:sz="8" w:color="auto"/>
              <w:right w:val="single" w:sz="8" w:color="auto"/>
            </w:tcBorders>
            <w:vMerge w:val="continue"/>
          </w:tcPr>
          <w:p>
            <w:pPr>
              <w:spacing w:after="0"/>
              <w:rPr>
                <w:sz w:val="12"/>
                <w:szCs w:val="12"/>
                <w:color w:val="auto"/>
              </w:rPr>
            </w:pPr>
          </w:p>
        </w:tc>
        <w:tc>
          <w:tcPr>
            <w:tcW w:w="15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Wafer Works</w:t>
            </w:r>
          </w:p>
        </w:tc>
        <w:tc>
          <w:tcPr>
            <w:tcW w:w="16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0.04%</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867.87</w:t>
            </w:r>
          </w:p>
        </w:tc>
        <w:tc>
          <w:tcPr>
            <w:tcW w:w="4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0.54%</w:t>
            </w:r>
          </w:p>
        </w:tc>
        <w:tc>
          <w:tcPr>
            <w:tcW w:w="60" w:type="dxa"/>
            <w:vAlign w:val="bottom"/>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and services to</w:t>
            </w:r>
          </w:p>
        </w:tc>
        <w:tc>
          <w:tcPr>
            <w:tcW w:w="1540" w:type="dxa"/>
            <w:vAlign w:val="bottom"/>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gridSpan w:val="2"/>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right w:val="single" w:sz="8" w:color="auto"/>
            </w:tcBorders>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right w:val="single" w:sz="8" w:color="auto"/>
            </w:tcBorders>
            <w:vMerge w:val="continue"/>
          </w:tcPr>
          <w:p>
            <w:pPr>
              <w:spacing w:after="0"/>
              <w:rPr>
                <w:sz w:val="11"/>
                <w:szCs w:val="11"/>
                <w:color w:val="auto"/>
              </w:rPr>
            </w:pPr>
          </w:p>
        </w:tc>
        <w:tc>
          <w:tcPr>
            <w:tcW w:w="15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(Shanghai)</w:t>
            </w:r>
          </w:p>
        </w:tc>
        <w:tc>
          <w:tcPr>
            <w:tcW w:w="1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7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related parties</w:t>
            </w:r>
          </w:p>
        </w:tc>
        <w:tc>
          <w:tcPr>
            <w:tcW w:w="1540" w:type="dxa"/>
            <w:vAlign w:val="bottom"/>
            <w:gridSpan w:val="2"/>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right w:val="single" w:sz="8" w:color="auto"/>
            </w:tcBorders>
            <w:vMerge w:val="continue"/>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5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ACM RESEARCH</w:t>
            </w:r>
          </w:p>
        </w:tc>
        <w:tc>
          <w:tcPr>
            <w:tcW w:w="16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5,000.00</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2.01%</w:t>
            </w:r>
          </w:p>
        </w:tc>
        <w:tc>
          <w:tcPr>
            <w:tcW w:w="174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7"/>
                <w:szCs w:val="7"/>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7"/>
                <w:szCs w:val="7"/>
                <w:color w:val="auto"/>
              </w:rPr>
            </w:pPr>
          </w:p>
        </w:tc>
        <w:tc>
          <w:tcPr>
            <w:tcW w:w="210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Business growth</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right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right w:val="single" w:sz="8" w:color="auto"/>
            </w:tcBorders>
          </w:tcPr>
          <w:p>
            <w:pPr>
              <w:spacing w:after="0"/>
              <w:rPr>
                <w:sz w:val="21"/>
                <w:szCs w:val="21"/>
                <w:color w:val="auto"/>
              </w:rPr>
            </w:pP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GTA</w:t>
            </w:r>
          </w:p>
        </w:tc>
        <w:tc>
          <w:tcPr>
            <w:tcW w:w="16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8,000.00</w:t>
            </w:r>
          </w:p>
        </w:tc>
        <w:tc>
          <w:tcPr>
            <w:tcW w:w="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7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21"/>
                <w:szCs w:val="21"/>
                <w:color w:val="auto"/>
              </w:rPr>
            </w:pPr>
          </w:p>
        </w:tc>
        <w:tc>
          <w:tcPr>
            <w:tcW w:w="21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Business growth</w:t>
            </w:r>
          </w:p>
        </w:tc>
        <w:tc>
          <w:tcPr>
            <w:tcW w:w="0" w:type="dxa"/>
            <w:vAlign w:val="bottom"/>
          </w:tcPr>
          <w:p>
            <w:pPr>
              <w:spacing w:after="0"/>
              <w:rPr>
                <w:sz w:val="1"/>
                <w:szCs w:val="1"/>
                <w:color w:val="auto"/>
              </w:rPr>
            </w:pPr>
          </w:p>
        </w:tc>
      </w:tr>
      <w:tr>
        <w:trPr>
          <w:trHeight w:val="34"/>
        </w:trPr>
        <w:tc>
          <w:tcPr>
            <w:tcW w:w="1340" w:type="dxa"/>
            <w:vAlign w:val="bottom"/>
            <w:tcBorders>
              <w:left w:val="single" w:sz="8" w:color="auto"/>
              <w:right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right w:val="single" w:sz="8" w:color="auto"/>
            </w:tcBorders>
          </w:tcPr>
          <w:p>
            <w:pPr>
              <w:spacing w:after="0"/>
              <w:rPr>
                <w:sz w:val="21"/>
                <w:szCs w:val="21"/>
                <w:color w:val="auto"/>
              </w:rPr>
            </w:pPr>
          </w:p>
        </w:tc>
        <w:tc>
          <w:tcPr>
            <w:tcW w:w="15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Subtotal</w:t>
            </w:r>
          </w:p>
        </w:tc>
        <w:tc>
          <w:tcPr>
            <w:tcW w:w="16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15,300.00</w:t>
            </w:r>
          </w:p>
        </w:tc>
        <w:tc>
          <w:tcPr>
            <w:tcW w:w="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6.16%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9.31</w:t>
            </w:r>
          </w:p>
        </w:tc>
        <w:tc>
          <w:tcPr>
            <w:tcW w:w="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869.18</w:t>
            </w:r>
          </w:p>
        </w:tc>
        <w:tc>
          <w:tcPr>
            <w:tcW w:w="40" w:type="dxa"/>
            <w:vAlign w:val="bottom"/>
          </w:tcPr>
          <w:p>
            <w:pPr>
              <w:spacing w:after="0"/>
              <w:rPr>
                <w:sz w:val="21"/>
                <w:szCs w:val="21"/>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0.54%</w:t>
            </w:r>
          </w:p>
        </w:tc>
        <w:tc>
          <w:tcPr>
            <w:tcW w:w="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Accept products</w:t>
            </w:r>
          </w:p>
        </w:tc>
        <w:tc>
          <w:tcPr>
            <w:tcW w:w="170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NINEBELL Co., Ltd.</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45,000.00</w:t>
            </w:r>
          </w:p>
        </w:tc>
        <w:tc>
          <w:tcPr>
            <w:tcW w:w="7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12.81%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2,191.51</w:t>
            </w:r>
          </w:p>
        </w:tc>
        <w:tc>
          <w:tcPr>
            <w:tcW w:w="6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21,710.41</w:t>
            </w:r>
          </w:p>
        </w:tc>
        <w:tc>
          <w:tcPr>
            <w:tcW w:w="40" w:type="dxa"/>
            <w:vAlign w:val="bottom"/>
          </w:tcPr>
          <w:p>
            <w:pPr>
              <w:spacing w:after="0"/>
              <w:rPr>
                <w:sz w:val="19"/>
                <w:szCs w:val="19"/>
                <w:color w:val="auto"/>
              </w:rPr>
            </w:pPr>
          </w:p>
        </w:tc>
        <w:tc>
          <w:tcPr>
            <w:tcW w:w="7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12.36%</w:t>
            </w:r>
          </w:p>
        </w:tc>
        <w:tc>
          <w:tcPr>
            <w:tcW w:w="60" w:type="dxa"/>
            <w:vAlign w:val="bottom"/>
          </w:tcPr>
          <w:p>
            <w:pPr>
              <w:spacing w:after="0"/>
              <w:rPr>
                <w:sz w:val="19"/>
                <w:szCs w:val="19"/>
                <w:color w:val="auto"/>
              </w:rPr>
            </w:pP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Grows with increased</w:t>
            </w:r>
          </w:p>
        </w:tc>
        <w:tc>
          <w:tcPr>
            <w:tcW w:w="0" w:type="dxa"/>
            <w:vAlign w:val="bottom"/>
          </w:tcPr>
          <w:p>
            <w:pPr>
              <w:spacing w:after="0"/>
              <w:rPr>
                <w:sz w:val="1"/>
                <w:szCs w:val="1"/>
                <w:color w:val="auto"/>
              </w:rPr>
            </w:pPr>
          </w:p>
        </w:tc>
      </w:tr>
      <w:tr>
        <w:trPr>
          <w:trHeight w:val="66"/>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and services</w:t>
            </w: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demand for sales order</w:t>
            </w:r>
          </w:p>
        </w:tc>
        <w:tc>
          <w:tcPr>
            <w:tcW w:w="0" w:type="dxa"/>
            <w:vAlign w:val="bottom"/>
          </w:tcPr>
          <w:p>
            <w:pPr>
              <w:spacing w:after="0"/>
              <w:rPr>
                <w:sz w:val="1"/>
                <w:szCs w:val="1"/>
                <w:color w:val="auto"/>
              </w:rPr>
            </w:pPr>
          </w:p>
        </w:tc>
      </w:tr>
      <w:tr>
        <w:trPr>
          <w:trHeight w:val="130"/>
        </w:trPr>
        <w:tc>
          <w:tcPr>
            <w:tcW w:w="1340" w:type="dxa"/>
            <w:vAlign w:val="bottom"/>
            <w:tcBorders>
              <w:left w:val="single" w:sz="8" w:color="auto"/>
              <w:right w:val="single" w:sz="8" w:color="auto"/>
            </w:tcBorders>
            <w:vMerge w:val="continue"/>
          </w:tcPr>
          <w:p>
            <w:pPr>
              <w:spacing w:after="0"/>
              <w:rPr>
                <w:sz w:val="11"/>
                <w:szCs w:val="11"/>
                <w:color w:val="auto"/>
              </w:rPr>
            </w:pPr>
          </w:p>
        </w:tc>
        <w:tc>
          <w:tcPr>
            <w:tcW w:w="15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SY-SEMITECH</w:t>
            </w:r>
          </w:p>
        </w:tc>
        <w:tc>
          <w:tcPr>
            <w:tcW w:w="16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4,800.00</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55.27</w:t>
            </w:r>
          </w:p>
        </w:tc>
        <w:tc>
          <w:tcPr>
            <w:tcW w:w="6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1,932.30</w:t>
            </w:r>
          </w:p>
        </w:tc>
        <w:tc>
          <w:tcPr>
            <w:tcW w:w="40" w:type="dxa"/>
            <w:vAlign w:val="bottom"/>
          </w:tcPr>
          <w:p>
            <w:pPr>
              <w:spacing w:after="0"/>
              <w:rPr>
                <w:sz w:val="11"/>
                <w:szCs w:val="11"/>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1"/>
                <w:szCs w:val="11"/>
                <w:color w:val="auto"/>
              </w:rPr>
            </w:pPr>
          </w:p>
        </w:tc>
        <w:tc>
          <w:tcPr>
            <w:tcW w:w="21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from related</w:t>
            </w:r>
          </w:p>
        </w:tc>
        <w:tc>
          <w:tcPr>
            <w:tcW w:w="15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gridSpan w:val="2"/>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right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340" w:type="dxa"/>
            <w:vAlign w:val="bottom"/>
            <w:tcBorders>
              <w:left w:val="single" w:sz="8" w:color="auto"/>
              <w:right w:val="single" w:sz="8" w:color="auto"/>
            </w:tcBorders>
            <w:vMerge w:val="continue"/>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1340" w:type="dxa"/>
            <w:vAlign w:val="bottom"/>
            <w:tcBorders>
              <w:left w:val="single" w:sz="8" w:color="auto"/>
              <w:right w:val="single" w:sz="8" w:color="auto"/>
            </w:tcBorders>
            <w:vMerge w:val="continue"/>
          </w:tcPr>
          <w:p>
            <w:pPr>
              <w:spacing w:after="0"/>
              <w:rPr>
                <w:sz w:val="3"/>
                <w:szCs w:val="3"/>
                <w:color w:val="auto"/>
              </w:rPr>
            </w:pPr>
          </w:p>
        </w:tc>
        <w:tc>
          <w:tcPr>
            <w:tcW w:w="154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Subtotal</w:t>
            </w:r>
          </w:p>
        </w:tc>
        <w:tc>
          <w:tcPr>
            <w:tcW w:w="160" w:type="dxa"/>
            <w:vAlign w:val="bottom"/>
            <w:tcBorders>
              <w:right w:val="single" w:sz="8" w:color="auto"/>
            </w:tcBorders>
          </w:tcPr>
          <w:p>
            <w:pPr>
              <w:spacing w:after="0"/>
              <w:rPr>
                <w:sz w:val="3"/>
                <w:szCs w:val="3"/>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49,800.00</w:t>
            </w:r>
          </w:p>
        </w:tc>
        <w:tc>
          <w:tcPr>
            <w:tcW w:w="7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14.18%</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2,246.79</w:t>
            </w:r>
          </w:p>
        </w:tc>
        <w:tc>
          <w:tcPr>
            <w:tcW w:w="60" w:type="dxa"/>
            <w:vAlign w:val="bottom"/>
            <w:tcBorders>
              <w:right w:val="single" w:sz="8" w:color="auto"/>
            </w:tcBorders>
          </w:tcPr>
          <w:p>
            <w:pPr>
              <w:spacing w:after="0"/>
              <w:rPr>
                <w:sz w:val="3"/>
                <w:szCs w:val="3"/>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23,642.72</w:t>
            </w:r>
          </w:p>
        </w:tc>
        <w:tc>
          <w:tcPr>
            <w:tcW w:w="40" w:type="dxa"/>
            <w:vAlign w:val="bottom"/>
          </w:tcPr>
          <w:p>
            <w:pPr>
              <w:spacing w:after="0"/>
              <w:rPr>
                <w:sz w:val="3"/>
                <w:szCs w:val="3"/>
                <w:color w:val="auto"/>
              </w:rPr>
            </w:pPr>
          </w:p>
        </w:tc>
        <w:tc>
          <w:tcPr>
            <w:tcW w:w="7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13.46%</w:t>
            </w:r>
          </w:p>
        </w:tc>
        <w:tc>
          <w:tcPr>
            <w:tcW w:w="60" w:type="dxa"/>
            <w:vAlign w:val="bottom"/>
          </w:tcPr>
          <w:p>
            <w:pPr>
              <w:spacing w:after="0"/>
              <w:rPr>
                <w:sz w:val="3"/>
                <w:szCs w:val="3"/>
                <w:color w:val="auto"/>
              </w:rPr>
            </w:pPr>
          </w:p>
        </w:tc>
        <w:tc>
          <w:tcPr>
            <w:tcW w:w="210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3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parties</w:t>
            </w:r>
          </w:p>
        </w:tc>
        <w:tc>
          <w:tcPr>
            <w:tcW w:w="1540" w:type="dxa"/>
            <w:vAlign w:val="bottom"/>
            <w:gridSpan w:val="2"/>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vMerge w:val="continue"/>
          </w:tcPr>
          <w:p>
            <w:pPr>
              <w:spacing w:after="0"/>
              <w:rPr>
                <w:sz w:val="20"/>
                <w:szCs w:val="20"/>
                <w:color w:val="auto"/>
              </w:rPr>
            </w:pPr>
          </w:p>
        </w:tc>
        <w:tc>
          <w:tcPr>
            <w:tcW w:w="780" w:type="dxa"/>
            <w:vAlign w:val="bottom"/>
            <w:tcBorders>
              <w:right w:val="single" w:sz="8" w:color="auto"/>
            </w:tcBorders>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Above amount does not include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Agenda of 2021 Annual General Meeting of Shareholders (the “Agenda”) pursuant to the Current Report on Form 8-K reporting requirements of ACM Research,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results, estimates and underlying assumptions of ACM Research (Shanghai), Inc. (“ACMSH”) are unaudited and are reported in RMB as prepared in accordance with Chinese GAAP. Those results will differ, potentially materially, from the financial results, estimates and underlying assumptions of ACMSH’s parent company ACM Research, Inc.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Information presented in the Agenda includes forward-looking statements for purposes of the safe harbor provisions of the Private Securities Litigation Reform Act of 1995. All statements contained in the Agenda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ACMSH due to its substantial non-U.S. customer and supplier base and its substantial non-U.S. manufacturing operations.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2"/>
      <w:numFmt w:val="decimal"/>
      <w:start w:val="104"/>
    </w:lvl>
  </w:abstractNum>
  <w:abstractNum w:abstractNumId="2">
    <w:nsid w:val="515F007C"/>
    <w:multiLevelType w:val="hybridMultilevel"/>
    <w:lvl w:ilvl="0">
      <w:lvlJc w:val="left"/>
      <w:lvlText w:val="%1."/>
      <w:numFmt w:val="decimal"/>
      <w:start w:val="2"/>
    </w:lvl>
    <w:lvl w:ilvl="1">
      <w:lvlJc w:val="left"/>
      <w:lvlText w:val="%2:"/>
      <w:numFmt w:val="upperLetter"/>
      <w:start w:val="1"/>
    </w:lvl>
  </w:abstractNum>
  <w:abstractNum w:abstractNumId="3">
    <w:nsid w:val="5BD062C2"/>
    <w:multiLevelType w:val="hybridMultilevel"/>
    <w:lvl w:ilvl="0">
      <w:lvlJc w:val="left"/>
      <w:lvlText w:val="%1."/>
      <w:numFmt w:val="decimal"/>
      <w:start w:val="5"/>
    </w:lvl>
    <w:lvl w:ilvl="1">
      <w:lvlJc w:val="left"/>
      <w:lvlText w:val="%2:"/>
      <w:numFmt w:val="upperLetter"/>
      <w:start w:val="1"/>
    </w:lvl>
  </w:abstractNum>
  <w:abstractNum w:abstractNumId="4">
    <w:nsid w:val="12200854"/>
    <w:multiLevelType w:val="hybridMultilevel"/>
    <w:lvl w:ilvl="0">
      <w:lvlJc w:val="left"/>
      <w:lvlText w:val="%1"/>
      <w:numFmt w:val="decimal"/>
      <w:start w:val="1"/>
    </w:lvl>
    <w:lvl w:ilvl="1">
      <w:lvlJc w:val="left"/>
      <w:lvlText w:val="%2:"/>
      <w:numFmt w:val="upperLetter"/>
      <w:start w:val="1"/>
    </w:lvl>
  </w:abstractNum>
  <w:abstractNum w:abstractNumId="5">
    <w:nsid w:val="4DB127F8"/>
    <w:multiLevelType w:val="hybridMultilevel"/>
    <w:lvl w:ilvl="0">
      <w:lvlJc w:val="left"/>
      <w:lvlText w:val="%1."/>
      <w:numFmt w:val="decimal"/>
      <w:start w:val="8"/>
    </w:lvl>
    <w:lvl w:ilvl="1">
      <w:lvlJc w:val="left"/>
      <w:lvlText w:val="%2:"/>
      <w:numFmt w:val="upperLetter"/>
      <w:start w:val="1"/>
    </w:lvl>
  </w:abstractNum>
  <w:abstractNum w:abstractNumId="6">
    <w:nsid w:val="216231B"/>
    <w:multiLevelType w:val="hybridMultilevel"/>
    <w:lvl w:ilvl="0">
      <w:lvlJc w:val="left"/>
      <w:lvlText w:val="%1."/>
      <w:numFmt w:val="decimal"/>
      <w:start w:val="9"/>
    </w:lvl>
    <w:lvl w:ilvl="1">
      <w:lvlJc w:val="left"/>
      <w:lvlText w:val="%2:"/>
      <w:numFmt w:val="upperLetter"/>
      <w:start w:val="1"/>
    </w:lvl>
  </w:abstractNum>
  <w:abstractNum w:abstractNumId="7">
    <w:nsid w:val="1F16E9E8"/>
    <w:multiLevelType w:val="hybridMultilevel"/>
    <w:lvl w:ilvl="0">
      <w:lvlJc w:val="left"/>
      <w:lvlText w:val="%1."/>
      <w:numFmt w:val="decimal"/>
      <w:start w:val="10"/>
    </w:lvl>
    <w:lvl w:ilvl="1">
      <w:lvlJc w:val="left"/>
      <w:lvlText w:val="%2:"/>
      <w:numFmt w:val="upperLetter"/>
      <w:start w:val="1"/>
    </w:lvl>
  </w:abstractNum>
  <w:abstractNum w:abstractNumId="8">
    <w:nsid w:val="1190CDE7"/>
    <w:multiLevelType w:val="hybridMultilevel"/>
    <w:lvl w:ilvl="0">
      <w:lvlJc w:val="left"/>
      <w:lvlText w:val="E"/>
      <w:numFmt w:val="bullet"/>
      <w:start w:val="1"/>
    </w:lvl>
  </w:abstractNum>
  <w:abstractNum w:abstractNumId="9">
    <w:nsid w:val="66EF438D"/>
    <w:multiLevelType w:val="hybridMultilevel"/>
    <w:lvl w:ilvl="0">
      <w:lvlJc w:val="left"/>
      <w:lvlText w:val="%1."/>
      <w:numFmt w:val="upperLetter"/>
      <w:start w:val="9"/>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13">
    <w:nsid w:val="DED7263"/>
    <w:multiLevelType w:val="hybridMultilevel"/>
    <w:lvl w:ilvl="0">
      <w:lvlJc w:val="left"/>
      <w:lvlText w:val="(%1)"/>
      <w:numFmt w:val="decimal"/>
      <w:start w:val="6"/>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2022-06-23T06:03:23Z</dcterms:created>
  <dcterms:modified xsi:type="dcterms:W3CDTF">2022-06-23T06:03:23Z</dcterms:modified>
</cp:coreProperties>
</file>