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McKechnie Mark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06/06/2019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07/31/2028</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40,000</w:t>
            </w:r>
          </w:p>
        </w:tc>
        <w:tc>
          <w:tcPr>
            <w:tcW w:w="880" w:type="dxa"/>
            <w:vAlign w:val="bottom"/>
          </w:tcPr>
          <w:p>
            <w:pPr>
              <w:ind w:left="240"/>
              <w:spacing w:after="0"/>
              <w:rPr>
                <w:sz w:val="20"/>
                <w:szCs w:val="20"/>
                <w:color w:val="auto"/>
              </w:rPr>
            </w:pPr>
            <w:r>
              <w:rPr>
                <w:rFonts w:ascii="Arial" w:cs="Arial" w:eastAsia="Arial" w:hAnsi="Arial"/>
                <w:sz w:val="18"/>
                <w:szCs w:val="18"/>
                <w:color w:val="0000FF"/>
              </w:rPr>
              <w:t>13.85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04/22/2029</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30,000</w:t>
            </w:r>
          </w:p>
        </w:tc>
        <w:tc>
          <w:tcPr>
            <w:tcW w:w="880" w:type="dxa"/>
            <w:vAlign w:val="bottom"/>
          </w:tcPr>
          <w:p>
            <w:pPr>
              <w:ind w:left="240"/>
              <w:spacing w:after="0"/>
              <w:rPr>
                <w:sz w:val="20"/>
                <w:szCs w:val="20"/>
                <w:color w:val="auto"/>
              </w:rPr>
            </w:pPr>
            <w:r>
              <w:rPr>
                <w:rFonts w:ascii="Arial" w:cs="Arial" w:eastAsia="Arial" w:hAnsi="Arial"/>
                <w:sz w:val="18"/>
                <w:szCs w:val="18"/>
                <w:color w:val="0000FF"/>
              </w:rPr>
              <w:t>16.81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will vest and become exercisable as to 10,000 shares on August 1, 2019 and the remaining 30,000 shares vest and become exercisable in equal monthly installments over the following 36 months, subject to continued service through each vesting date.</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will vest and become exercisable as to 7,500 shares on April 23, 2020 and the remaining 22,500 shares vest and become exercisable in equal monthly installments over the following 36 months, subject to continued service through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of Finance</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in-Fact for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90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06/17/2019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75007"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2019-12-24T09:00:54Z</dcterms:created>
  <dcterms:modified xsi:type="dcterms:W3CDTF">2019-12-24T09:00:54Z</dcterms:modified>
</cp:coreProperties>
</file>