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(Rule 13d-102)</w:t>
      </w:r>
    </w:p>
    <w:p>
      <w:pPr>
        <w:spacing w:after="0" w:line="211" w:lineRule="exact"/>
        <w:rPr>
          <w:sz w:val="24"/>
          <w:szCs w:val="24"/>
          <w:color w:val="auto"/>
        </w:rPr>
      </w:pPr>
    </w:p>
    <w:p>
      <w:pPr>
        <w:jc w:val="center"/>
        <w:spacing w:after="0" w:line="263" w:lineRule="auto"/>
        <w:rPr>
          <w:sz w:val="20"/>
          <w:szCs w:val="20"/>
          <w:color w:val="auto"/>
        </w:rPr>
      </w:pPr>
      <w:r>
        <w:rPr>
          <w:rFonts w:ascii="Arial" w:cs="Arial" w:eastAsia="Arial" w:hAnsi="Arial"/>
          <w:sz w:val="18"/>
          <w:szCs w:val="18"/>
          <w:color w:val="auto"/>
        </w:rPr>
        <w:t>INFORMATION TO BE INCLUDED IN STATEMENTS FILED PURSUANT TO RULES 13d-1(b)(c), AND (d) AND AMENDMENTS THERETO FILED PURSUANT TO RULE 13d-2(b)</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1) *</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ACM Research,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Class A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00108J109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July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080" w:hanging="262"/>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080" w:hanging="262"/>
        <w:spacing w:after="0"/>
        <w:tabs>
          <w:tab w:leader="none" w:pos="10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080" w:hanging="262"/>
        <w:spacing w:after="0"/>
        <w:tabs>
          <w:tab w:leader="none" w:pos="10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(Page 1 of 7 Pages)</w:t>
      </w:r>
    </w:p>
    <w:p>
      <w:pPr>
        <w:spacing w:after="0" w:line="23"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9" w:lineRule="exact"/>
        <w:rPr>
          <w:sz w:val="24"/>
          <w:szCs w:val="24"/>
          <w:color w:val="auto"/>
        </w:rPr>
      </w:pPr>
    </w:p>
    <w:p>
      <w:pPr>
        <w:ind w:firstLine="656"/>
        <w:spacing w:after="0" w:line="260" w:lineRule="auto"/>
        <w:tabs>
          <w:tab w:leader="none" w:pos="80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5"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tabs>
          <w:tab w:leader="none" w:pos="5500" w:val="left"/>
          <w:tab w:leader="none" w:pos="9900" w:val="left"/>
        </w:tabs>
        <w:rPr>
          <w:sz w:val="20"/>
          <w:szCs w:val="20"/>
          <w:color w:val="auto"/>
        </w:rPr>
      </w:pPr>
      <w:r>
        <w:rPr>
          <w:rFonts w:ascii="Arial" w:cs="Arial" w:eastAsia="Arial" w:hAnsi="Arial"/>
          <w:sz w:val="18"/>
          <w:szCs w:val="18"/>
          <w:color w:val="auto"/>
        </w:rPr>
        <w:t>CUSIP No.  00108J109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8 Pages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Explanatory Note: The purposes of this Amendment No. 1 are (i) to clarify that the number of shares of Class A common stock of the issuer reported as being beneficially owned by the Reporting Person as of December 31, 2022 gives effect to the three-for-one stock split effected by the issuer in the form of a stock dividend in March 2022 and (ii) to correct the percentage of Class A common stock of the issuer beneficially owned by the Reporting Person as of December 31, 2017, December 31, 2020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 w:name="page3"/>
    <w:bookmarkEnd w:id="2"/>
    <w:p>
      <w:pPr>
        <w:spacing w:after="0"/>
        <w:tabs>
          <w:tab w:leader="none" w:pos="1180" w:val="left"/>
          <w:tab w:leader="none" w:pos="5460" w:val="left"/>
          <w:tab w:leader="none" w:pos="99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00108J109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56489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00" w:hanging="1205"/>
        <w:spacing w:after="0"/>
        <w:tabs>
          <w:tab w:leader="none" w:pos="2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0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7120" w:type="dxa"/>
            <w:vAlign w:val="bottom"/>
          </w:tcPr>
          <w:p>
            <w:pPr>
              <w:ind w:left="540"/>
              <w:spacing w:after="0"/>
              <w:rPr>
                <w:sz w:val="20"/>
                <w:szCs w:val="20"/>
                <w:color w:val="auto"/>
              </w:rPr>
            </w:pPr>
            <w:r>
              <w:rPr>
                <w:rFonts w:ascii="Arial" w:cs="Arial" w:eastAsia="Arial" w:hAnsi="Arial"/>
                <w:sz w:val="18"/>
                <w:szCs w:val="18"/>
                <w:color w:val="auto"/>
              </w:rPr>
              <w:t>Shanghai Science and Technology Venture Capital (Group) Co., Ltd.</w:t>
            </w:r>
          </w:p>
        </w:tc>
        <w:tc>
          <w:tcPr>
            <w:tcW w:w="2320" w:type="dxa"/>
            <w:vAlign w:val="bottom"/>
          </w:tcPr>
          <w:p>
            <w:pPr>
              <w:spacing w:after="0"/>
              <w:rPr>
                <w:sz w:val="20"/>
                <w:szCs w:val="20"/>
                <w:color w:val="auto"/>
              </w:rPr>
            </w:pPr>
          </w:p>
        </w:tc>
      </w:tr>
      <w:tr>
        <w:trPr>
          <w:trHeight w:val="27"/>
        </w:trPr>
        <w:tc>
          <w:tcPr>
            <w:tcW w:w="1720" w:type="dxa"/>
            <w:vAlign w:val="bottom"/>
            <w:tcBorders>
              <w:bottom w:val="single" w:sz="8" w:color="auto"/>
            </w:tcBorders>
          </w:tcPr>
          <w:p>
            <w:pPr>
              <w:spacing w:after="0"/>
              <w:rPr>
                <w:sz w:val="2"/>
                <w:szCs w:val="2"/>
                <w:color w:val="auto"/>
              </w:rPr>
            </w:pPr>
          </w:p>
        </w:tc>
        <w:tc>
          <w:tcPr>
            <w:tcW w:w="71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183"/>
        </w:trPr>
        <w:tc>
          <w:tcPr>
            <w:tcW w:w="1720" w:type="dxa"/>
            <w:vAlign w:val="bottom"/>
          </w:tcPr>
          <w:p>
            <w:pPr>
              <w:jc w:val="right"/>
              <w:ind w:right="430"/>
              <w:spacing w:after="0" w:line="182" w:lineRule="exact"/>
              <w:rPr>
                <w:sz w:val="20"/>
                <w:szCs w:val="20"/>
                <w:color w:val="auto"/>
              </w:rPr>
            </w:pPr>
            <w:r>
              <w:rPr>
                <w:rFonts w:ascii="Arial" w:cs="Arial" w:eastAsia="Arial" w:hAnsi="Arial"/>
                <w:sz w:val="18"/>
                <w:szCs w:val="18"/>
                <w:color w:val="auto"/>
              </w:rPr>
              <w:t>2.</w:t>
            </w:r>
          </w:p>
        </w:tc>
        <w:tc>
          <w:tcPr>
            <w:tcW w:w="7120" w:type="dxa"/>
            <w:vAlign w:val="bottom"/>
          </w:tcPr>
          <w:p>
            <w:pPr>
              <w:ind w:left="540"/>
              <w:spacing w:after="0" w:line="182" w:lineRule="exact"/>
              <w:rPr>
                <w:sz w:val="20"/>
                <w:szCs w:val="20"/>
                <w:color w:val="auto"/>
              </w:rPr>
            </w:pPr>
            <w:r>
              <w:rPr>
                <w:rFonts w:ascii="Arial" w:cs="Arial" w:eastAsia="Arial" w:hAnsi="Arial"/>
                <w:sz w:val="18"/>
                <w:szCs w:val="18"/>
                <w:color w:val="auto"/>
              </w:rPr>
              <w:t>CHECK THE APPROPRIATE BOX IF A MEMBER OF A GROUP*</w:t>
            </w:r>
          </w:p>
        </w:tc>
        <w:tc>
          <w:tcPr>
            <w:tcW w:w="2320" w:type="dxa"/>
            <w:vAlign w:val="bottom"/>
          </w:tcPr>
          <w:p>
            <w:pPr>
              <w:ind w:left="1580"/>
              <w:spacing w:after="0" w:line="182"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172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320" w:type="dxa"/>
            <w:vAlign w:val="bottom"/>
          </w:tcPr>
          <w:p>
            <w:pPr>
              <w:ind w:left="15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236" w:lineRule="exact"/>
        <w:rPr>
          <w:sz w:val="20"/>
          <w:szCs w:val="20"/>
          <w:color w:val="auto"/>
        </w:rPr>
      </w:pPr>
    </w:p>
    <w:p>
      <w:pPr>
        <w:ind w:left="2300" w:hanging="1205"/>
        <w:spacing w:after="0"/>
        <w:tabs>
          <w:tab w:leader="none" w:pos="2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2300" w:right="5280" w:hanging="1205"/>
        <w:spacing w:after="0" w:line="399" w:lineRule="auto"/>
        <w:tabs>
          <w:tab w:leader="none" w:pos="2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People’s Republic of China</w:t>
      </w:r>
    </w:p>
    <w:tbl>
      <w:tblPr>
        <w:tblLayout w:type="fixed"/>
        <w:tblInd w:w="40" w:type="dxa"/>
        <w:tblCellMar>
          <w:top w:w="0" w:type="dxa"/>
          <w:left w:w="0" w:type="dxa"/>
          <w:bottom w:w="0" w:type="dxa"/>
          <w:right w:w="0" w:type="dxa"/>
        </w:tblCellMar>
      </w:tblPr>
      <w:tr>
        <w:trPr>
          <w:trHeight w:val="238"/>
        </w:trPr>
        <w:tc>
          <w:tcPr>
            <w:tcW w:w="2220" w:type="dxa"/>
            <w:vAlign w:val="bottom"/>
            <w:tcBorders>
              <w:top w:val="single" w:sz="8" w:color="auto"/>
            </w:tcBorders>
          </w:tcPr>
          <w:p>
            <w:pPr>
              <w:spacing w:after="0"/>
              <w:rPr>
                <w:sz w:val="20"/>
                <w:szCs w:val="20"/>
                <w:color w:val="auto"/>
              </w:rPr>
            </w:pPr>
          </w:p>
        </w:tc>
        <w:tc>
          <w:tcPr>
            <w:tcW w:w="2260" w:type="dxa"/>
            <w:vAlign w:val="bottom"/>
            <w:tcBorders>
              <w:top w:val="single" w:sz="8" w:color="auto"/>
              <w:right w:val="single" w:sz="8" w:color="auto"/>
            </w:tcBorders>
          </w:tcPr>
          <w:p>
            <w:pPr>
              <w:jc w:val="right"/>
              <w:ind w:right="970"/>
              <w:spacing w:after="0"/>
              <w:rPr>
                <w:sz w:val="20"/>
                <w:szCs w:val="20"/>
                <w:color w:val="auto"/>
              </w:rPr>
            </w:pPr>
            <w:r>
              <w:rPr>
                <w:rFonts w:ascii="Arial" w:cs="Arial" w:eastAsia="Arial" w:hAnsi="Arial"/>
                <w:sz w:val="18"/>
                <w:szCs w:val="18"/>
                <w:color w:val="auto"/>
              </w:rPr>
              <w:t>5.</w:t>
            </w:r>
          </w:p>
        </w:tc>
        <w:tc>
          <w:tcPr>
            <w:tcW w:w="6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22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2260" w:type="dxa"/>
            <w:vAlign w:val="bottom"/>
            <w:tcBorders>
              <w:right w:val="single" w:sz="8" w:color="auto"/>
            </w:tcBorders>
          </w:tcPr>
          <w:p>
            <w:pPr>
              <w:spacing w:after="0"/>
              <w:rPr>
                <w:sz w:val="24"/>
                <w:szCs w:val="24"/>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
        </w:trPr>
        <w:tc>
          <w:tcPr>
            <w:tcW w:w="222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2260" w:type="dxa"/>
            <w:vAlign w:val="bottom"/>
            <w:tcBorders>
              <w:bottom w:val="single" w:sz="8" w:color="auto"/>
              <w:right w:val="single" w:sz="8" w:color="auto"/>
            </w:tcBorders>
          </w:tcPr>
          <w:p>
            <w:pPr>
              <w:spacing w:after="0"/>
              <w:rPr>
                <w:sz w:val="3"/>
                <w:szCs w:val="3"/>
                <w:color w:val="auto"/>
              </w:rPr>
            </w:pPr>
          </w:p>
        </w:tc>
        <w:tc>
          <w:tcPr>
            <w:tcW w:w="6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2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jc w:val="right"/>
              <w:ind w:right="970"/>
              <w:spacing w:after="0"/>
              <w:rPr>
                <w:sz w:val="20"/>
                <w:szCs w:val="20"/>
                <w:color w:val="auto"/>
              </w:rPr>
            </w:pPr>
            <w:r>
              <w:rPr>
                <w:rFonts w:ascii="Arial" w:cs="Arial" w:eastAsia="Arial" w:hAnsi="Arial"/>
                <w:sz w:val="18"/>
                <w:szCs w:val="18"/>
                <w:color w:val="auto"/>
              </w:rPr>
              <w:t>6.</w:t>
            </w:r>
          </w:p>
        </w:tc>
        <w:tc>
          <w:tcPr>
            <w:tcW w:w="668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82"/>
        </w:trPr>
        <w:tc>
          <w:tcPr>
            <w:tcW w:w="222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2260" w:type="dxa"/>
            <w:vAlign w:val="bottom"/>
            <w:tcBorders>
              <w:right w:val="single" w:sz="8" w:color="auto"/>
            </w:tcBorders>
            <w:vMerge w:val="continue"/>
          </w:tcPr>
          <w:p>
            <w:pPr>
              <w:spacing w:after="0"/>
              <w:rPr>
                <w:sz w:val="7"/>
                <w:szCs w:val="7"/>
                <w:color w:val="auto"/>
              </w:rPr>
            </w:pPr>
          </w:p>
        </w:tc>
        <w:tc>
          <w:tcPr>
            <w:tcW w:w="6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2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6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2260" w:type="dxa"/>
            <w:vAlign w:val="bottom"/>
            <w:tcBorders>
              <w:right w:val="single" w:sz="8" w:color="auto"/>
            </w:tcBorders>
          </w:tcPr>
          <w:p>
            <w:pPr>
              <w:spacing w:after="0"/>
              <w:rPr>
                <w:sz w:val="18"/>
                <w:szCs w:val="18"/>
                <w:color w:val="auto"/>
              </w:rPr>
            </w:pPr>
          </w:p>
        </w:tc>
        <w:tc>
          <w:tcPr>
            <w:tcW w:w="6680" w:type="dxa"/>
            <w:vAlign w:val="bottom"/>
            <w:vMerge w:val="restart"/>
          </w:tcPr>
          <w:p>
            <w:pPr>
              <w:ind w:left="20"/>
              <w:spacing w:after="0"/>
              <w:rPr>
                <w:sz w:val="20"/>
                <w:szCs w:val="20"/>
                <w:color w:val="auto"/>
              </w:rPr>
            </w:pPr>
            <w:r>
              <w:rPr>
                <w:rFonts w:ascii="Arial" w:cs="Arial" w:eastAsia="Arial" w:hAnsi="Arial"/>
                <w:sz w:val="18"/>
                <w:szCs w:val="18"/>
                <w:color w:val="auto"/>
              </w:rPr>
              <w:t>3,438,510 (1)</w:t>
            </w:r>
          </w:p>
        </w:tc>
        <w:tc>
          <w:tcPr>
            <w:tcW w:w="0" w:type="dxa"/>
            <w:vAlign w:val="bottom"/>
          </w:tcPr>
          <w:p>
            <w:pPr>
              <w:spacing w:after="0"/>
              <w:rPr>
                <w:sz w:val="1"/>
                <w:szCs w:val="1"/>
                <w:color w:val="auto"/>
              </w:rPr>
            </w:pPr>
          </w:p>
        </w:tc>
      </w:tr>
      <w:tr>
        <w:trPr>
          <w:trHeight w:val="82"/>
        </w:trPr>
        <w:tc>
          <w:tcPr>
            <w:tcW w:w="222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2260" w:type="dxa"/>
            <w:vAlign w:val="bottom"/>
            <w:tcBorders>
              <w:right w:val="single" w:sz="8" w:color="auto"/>
            </w:tcBorders>
          </w:tcPr>
          <w:p>
            <w:pPr>
              <w:spacing w:after="0"/>
              <w:rPr>
                <w:sz w:val="7"/>
                <w:szCs w:val="7"/>
                <w:color w:val="auto"/>
              </w:rPr>
            </w:pPr>
          </w:p>
        </w:tc>
        <w:tc>
          <w:tcPr>
            <w:tcW w:w="6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2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2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jc w:val="right"/>
              <w:ind w:right="970"/>
              <w:spacing w:after="0"/>
              <w:rPr>
                <w:sz w:val="20"/>
                <w:szCs w:val="20"/>
                <w:color w:val="auto"/>
              </w:rPr>
            </w:pPr>
            <w:r>
              <w:rPr>
                <w:rFonts w:ascii="Arial" w:cs="Arial" w:eastAsia="Arial" w:hAnsi="Arial"/>
                <w:sz w:val="18"/>
                <w:szCs w:val="18"/>
                <w:color w:val="auto"/>
              </w:rPr>
              <w:t>7.</w:t>
            </w:r>
          </w:p>
        </w:tc>
        <w:tc>
          <w:tcPr>
            <w:tcW w:w="668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49"/>
        </w:trPr>
        <w:tc>
          <w:tcPr>
            <w:tcW w:w="22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60" w:type="dxa"/>
            <w:vAlign w:val="bottom"/>
            <w:tcBorders>
              <w:right w:val="single" w:sz="8" w:color="auto"/>
            </w:tcBorders>
            <w:vMerge w:val="continue"/>
          </w:tcPr>
          <w:p>
            <w:pPr>
              <w:spacing w:after="0"/>
              <w:rPr>
                <w:sz w:val="12"/>
                <w:szCs w:val="12"/>
                <w:color w:val="auto"/>
              </w:rPr>
            </w:pPr>
          </w:p>
        </w:tc>
        <w:tc>
          <w:tcPr>
            <w:tcW w:w="6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2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6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2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2260" w:type="dxa"/>
            <w:vAlign w:val="bottom"/>
            <w:tcBorders>
              <w:right w:val="single" w:sz="8" w:color="auto"/>
            </w:tcBorders>
          </w:tcPr>
          <w:p>
            <w:pPr>
              <w:spacing w:after="0"/>
              <w:rPr>
                <w:sz w:val="18"/>
                <w:szCs w:val="18"/>
                <w:color w:val="auto"/>
              </w:rPr>
            </w:pPr>
          </w:p>
        </w:tc>
        <w:tc>
          <w:tcPr>
            <w:tcW w:w="66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9"/>
        </w:trPr>
        <w:tc>
          <w:tcPr>
            <w:tcW w:w="222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rPr>
              <w:t>WITH</w:t>
            </w:r>
          </w:p>
        </w:tc>
        <w:tc>
          <w:tcPr>
            <w:tcW w:w="2260" w:type="dxa"/>
            <w:vAlign w:val="bottom"/>
            <w:tcBorders>
              <w:right w:val="single" w:sz="8" w:color="auto"/>
            </w:tcBorders>
          </w:tcPr>
          <w:p>
            <w:pPr>
              <w:spacing w:after="0"/>
              <w:rPr>
                <w:sz w:val="12"/>
                <w:szCs w:val="12"/>
                <w:color w:val="auto"/>
              </w:rPr>
            </w:pPr>
          </w:p>
        </w:tc>
        <w:tc>
          <w:tcPr>
            <w:tcW w:w="6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2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2260" w:type="dxa"/>
            <w:vAlign w:val="bottom"/>
            <w:tcBorders>
              <w:right w:val="single" w:sz="8" w:color="auto"/>
            </w:tcBorders>
          </w:tcPr>
          <w:p>
            <w:pPr>
              <w:jc w:val="right"/>
              <w:ind w:right="970"/>
              <w:spacing w:after="0"/>
              <w:rPr>
                <w:sz w:val="20"/>
                <w:szCs w:val="20"/>
                <w:color w:val="auto"/>
              </w:rPr>
            </w:pPr>
            <w:r>
              <w:rPr>
                <w:rFonts w:ascii="Arial" w:cs="Arial" w:eastAsia="Arial" w:hAnsi="Arial"/>
                <w:sz w:val="18"/>
                <w:szCs w:val="18"/>
                <w:color w:val="auto"/>
              </w:rPr>
              <w:t>8.</w:t>
            </w:r>
          </w:p>
        </w:tc>
        <w:tc>
          <w:tcPr>
            <w:tcW w:w="66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222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3,438,510 (1)</w:t>
            </w:r>
          </w:p>
        </w:tc>
        <w:tc>
          <w:tcPr>
            <w:tcW w:w="0" w:type="dxa"/>
            <w:vAlign w:val="bottom"/>
          </w:tcPr>
          <w:p>
            <w:pPr>
              <w:spacing w:after="0"/>
              <w:rPr>
                <w:sz w:val="1"/>
                <w:szCs w:val="1"/>
                <w:color w:val="auto"/>
              </w:rPr>
            </w:pPr>
          </w:p>
        </w:tc>
      </w:tr>
      <w:tr>
        <w:trPr>
          <w:trHeight w:val="27"/>
        </w:trPr>
        <w:tc>
          <w:tcPr>
            <w:tcW w:w="222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300" w:hanging="1205"/>
        <w:spacing w:after="0"/>
        <w:tabs>
          <w:tab w:leader="none" w:pos="2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tbl>
      <w:tblPr>
        <w:tblLayout w:type="fixed"/>
        <w:tblInd w:w="106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8300" w:type="dxa"/>
            <w:vAlign w:val="bottom"/>
          </w:tcPr>
          <w:p>
            <w:pPr>
              <w:ind w:left="520"/>
              <w:spacing w:after="0"/>
              <w:rPr>
                <w:sz w:val="20"/>
                <w:szCs w:val="20"/>
                <w:color w:val="auto"/>
              </w:rPr>
            </w:pPr>
            <w:r>
              <w:rPr>
                <w:rFonts w:ascii="Arial" w:cs="Arial" w:eastAsia="Arial" w:hAnsi="Arial"/>
                <w:sz w:val="18"/>
                <w:szCs w:val="18"/>
                <w:color w:val="auto"/>
              </w:rPr>
              <w:t>3,438,510 (1)</w:t>
            </w:r>
          </w:p>
        </w:tc>
        <w:tc>
          <w:tcPr>
            <w:tcW w:w="800" w:type="dxa"/>
            <w:vAlign w:val="bottom"/>
          </w:tcPr>
          <w:p>
            <w:pPr>
              <w:spacing w:after="0"/>
              <w:rPr>
                <w:sz w:val="20"/>
                <w:szCs w:val="20"/>
                <w:color w:val="auto"/>
              </w:rPr>
            </w:pPr>
          </w:p>
        </w:tc>
      </w:tr>
      <w:tr>
        <w:trPr>
          <w:trHeight w:val="311"/>
        </w:trPr>
        <w:tc>
          <w:tcPr>
            <w:tcW w:w="720" w:type="dxa"/>
            <w:vAlign w:val="bottom"/>
          </w:tcPr>
          <w:p>
            <w:pPr>
              <w:jc w:val="right"/>
              <w:ind w:right="410"/>
              <w:spacing w:after="0"/>
              <w:rPr>
                <w:sz w:val="20"/>
                <w:szCs w:val="20"/>
                <w:color w:val="auto"/>
              </w:rPr>
            </w:pPr>
            <w:r>
              <w:rPr>
                <w:rFonts w:ascii="Arial" w:cs="Arial" w:eastAsia="Arial" w:hAnsi="Arial"/>
                <w:sz w:val="18"/>
                <w:szCs w:val="18"/>
                <w:color w:val="auto"/>
                <w:w w:val="79"/>
              </w:rPr>
              <w:t>10.</w:t>
            </w:r>
          </w:p>
        </w:tc>
        <w:tc>
          <w:tcPr>
            <w:tcW w:w="8300" w:type="dxa"/>
            <w:vAlign w:val="bottom"/>
          </w:tcPr>
          <w:p>
            <w:pPr>
              <w:ind w:left="5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0"/>
          <w:szCs w:val="20"/>
          <w:color w:val="auto"/>
        </w:rPr>
      </w:pPr>
    </w:p>
    <w:p>
      <w:pPr>
        <w:spacing w:after="0" w:line="257" w:lineRule="exact"/>
        <w:rPr>
          <w:sz w:val="20"/>
          <w:szCs w:val="20"/>
          <w:color w:val="auto"/>
        </w:rPr>
      </w:pPr>
    </w:p>
    <w:p>
      <w:pPr>
        <w:ind w:left="2300" w:right="4020" w:hanging="1246"/>
        <w:spacing w:after="0" w:line="414" w:lineRule="auto"/>
        <w:tabs>
          <w:tab w:leader="none" w:pos="2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6.3%</w:t>
      </w:r>
    </w:p>
    <w:p>
      <w:pPr>
        <w:spacing w:after="0" w:line="1" w:lineRule="exact"/>
        <w:rPr>
          <w:rFonts w:ascii="Arial" w:cs="Arial" w:eastAsia="Arial" w:hAnsi="Arial"/>
          <w:sz w:val="18"/>
          <w:szCs w:val="18"/>
          <w:color w:val="auto"/>
        </w:rPr>
      </w:pPr>
    </w:p>
    <w:p>
      <w:pPr>
        <w:ind w:left="2300" w:right="6340" w:hanging="1250"/>
        <w:spacing w:after="0" w:line="527" w:lineRule="auto"/>
        <w:tabs>
          <w:tab w:leader="none" w:pos="2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ind w:firstLine="8"/>
        <w:spacing w:after="0" w:line="260" w:lineRule="auto"/>
        <w:tabs>
          <w:tab w:leader="none" w:pos="25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shares of Class A common stock reported as being beneficially owned by the Reporting Person as of December 31, 2022 gives effect to a three-for-one stock split of the Class A common stock effected by the Issuer in March 2022 through a stock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w w:val="99"/>
              </w:rPr>
              <w:t>CUSIP No.</w:t>
            </w:r>
          </w:p>
        </w:tc>
        <w:tc>
          <w:tcPr>
            <w:tcW w:w="4480" w:type="dxa"/>
            <w:vAlign w:val="bottom"/>
          </w:tcPr>
          <w:p>
            <w:pPr>
              <w:ind w:left="300"/>
              <w:spacing w:after="0"/>
              <w:rPr>
                <w:sz w:val="20"/>
                <w:szCs w:val="20"/>
                <w:color w:val="auto"/>
              </w:rPr>
            </w:pPr>
            <w:r>
              <w:rPr>
                <w:rFonts w:ascii="Arial" w:cs="Arial" w:eastAsia="Arial" w:hAnsi="Arial"/>
                <w:sz w:val="18"/>
                <w:szCs w:val="18"/>
                <w:color w:val="auto"/>
              </w:rPr>
              <w:t>00108J109</w:t>
            </w:r>
          </w:p>
        </w:tc>
        <w:tc>
          <w:tcPr>
            <w:tcW w:w="4020" w:type="dxa"/>
            <w:vAlign w:val="bottom"/>
          </w:tcPr>
          <w:p>
            <w:pPr>
              <w:ind w:left="100"/>
              <w:spacing w:after="0"/>
              <w:rPr>
                <w:sz w:val="20"/>
                <w:szCs w:val="20"/>
                <w:color w:val="auto"/>
              </w:rPr>
            </w:pPr>
            <w:r>
              <w:rPr>
                <w:rFonts w:ascii="Arial" w:cs="Arial" w:eastAsia="Arial" w:hAnsi="Arial"/>
                <w:sz w:val="18"/>
                <w:szCs w:val="18"/>
                <w:color w:val="auto"/>
              </w:rPr>
              <w:t>13G</w:t>
            </w:r>
          </w:p>
        </w:tc>
        <w:tc>
          <w:tcPr>
            <w:tcW w:w="1840" w:type="dxa"/>
            <w:vAlign w:val="bottom"/>
          </w:tcPr>
          <w:p>
            <w:pPr>
              <w:ind w:left="560"/>
              <w:spacing w:after="0"/>
              <w:rPr>
                <w:sz w:val="20"/>
                <w:szCs w:val="20"/>
                <w:color w:val="auto"/>
              </w:rPr>
            </w:pPr>
            <w:r>
              <w:rPr>
                <w:rFonts w:ascii="Arial" w:cs="Arial" w:eastAsia="Arial" w:hAnsi="Arial"/>
                <w:sz w:val="18"/>
                <w:szCs w:val="18"/>
                <w:color w:val="auto"/>
                <w:w w:val="85"/>
              </w:rPr>
              <w:t>Page 4 of 8 Pages</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4480" w:type="dxa"/>
            <w:vAlign w:val="bottom"/>
          </w:tcPr>
          <w:p>
            <w:pPr>
              <w:spacing w:after="0"/>
              <w:rPr>
                <w:sz w:val="20"/>
                <w:szCs w:val="20"/>
                <w:color w:val="auto"/>
              </w:rPr>
            </w:pPr>
            <w:r>
              <w:rPr>
                <w:rFonts w:ascii="Arial" w:cs="Arial" w:eastAsia="Arial" w:hAnsi="Arial"/>
                <w:sz w:val="18"/>
                <w:szCs w:val="18"/>
                <w:color w:val="auto"/>
              </w:rPr>
              <w:t>Name of Issuer:</w:t>
            </w:r>
          </w:p>
        </w:tc>
        <w:tc>
          <w:tcPr>
            <w:tcW w:w="40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ACM Research, Inc.</w:t>
            </w:r>
          </w:p>
        </w:tc>
        <w:tc>
          <w:tcPr>
            <w:tcW w:w="40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1(b).</w:t>
            </w:r>
          </w:p>
        </w:tc>
        <w:tc>
          <w:tcPr>
            <w:tcW w:w="448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c>
          <w:tcPr>
            <w:tcW w:w="40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18"/>
        </w:trPr>
        <w:tc>
          <w:tcPr>
            <w:tcW w:w="90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42307 Osgood Road, Suite I,</w:t>
            </w:r>
          </w:p>
        </w:tc>
        <w:tc>
          <w:tcPr>
            <w:tcW w:w="40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37"/>
        </w:trPr>
        <w:tc>
          <w:tcPr>
            <w:tcW w:w="90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Fremont, CA 94539</w:t>
            </w:r>
          </w:p>
        </w:tc>
        <w:tc>
          <w:tcPr>
            <w:tcW w:w="40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2(a).</w:t>
            </w:r>
          </w:p>
        </w:tc>
        <w:tc>
          <w:tcPr>
            <w:tcW w:w="4480" w:type="dxa"/>
            <w:vAlign w:val="bottom"/>
          </w:tcPr>
          <w:p>
            <w:pPr>
              <w:spacing w:after="0"/>
              <w:rPr>
                <w:sz w:val="20"/>
                <w:szCs w:val="20"/>
                <w:color w:val="auto"/>
              </w:rPr>
            </w:pPr>
            <w:r>
              <w:rPr>
                <w:rFonts w:ascii="Arial" w:cs="Arial" w:eastAsia="Arial" w:hAnsi="Arial"/>
                <w:sz w:val="18"/>
                <w:szCs w:val="18"/>
                <w:color w:val="auto"/>
              </w:rPr>
              <w:t>Name of Person Filing:</w:t>
            </w:r>
          </w:p>
        </w:tc>
        <w:tc>
          <w:tcPr>
            <w:tcW w:w="40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8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Shanghai Science and Technology Venture Capital (Group) Co., Ltd.</w:t>
            </w:r>
          </w:p>
        </w:tc>
        <w:tc>
          <w:tcPr>
            <w:tcW w:w="1840" w:type="dxa"/>
            <w:vAlign w:val="bottom"/>
            <w:tcBorders>
              <w:bottom w:val="single" w:sz="8" w:color="auto"/>
            </w:tcBorders>
          </w:tcPr>
          <w:p>
            <w:pPr>
              <w:spacing w:after="0"/>
              <w:rPr>
                <w:sz w:val="24"/>
                <w:szCs w:val="24"/>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2(b).</w:t>
            </w:r>
          </w:p>
        </w:tc>
        <w:tc>
          <w:tcPr>
            <w:tcW w:w="4480" w:type="dxa"/>
            <w:vAlign w:val="bottom"/>
          </w:tcPr>
          <w:p>
            <w:pPr>
              <w:spacing w:after="0"/>
              <w:rPr>
                <w:sz w:val="20"/>
                <w:szCs w:val="20"/>
                <w:color w:val="auto"/>
              </w:rPr>
            </w:pPr>
            <w:r>
              <w:rPr>
                <w:rFonts w:ascii="Arial" w:cs="Arial" w:eastAsia="Arial" w:hAnsi="Arial"/>
                <w:sz w:val="18"/>
                <w:szCs w:val="18"/>
                <w:color w:val="auto"/>
                <w:w w:val="93"/>
              </w:rPr>
              <w:t>Address of Principal Business Office, or if None, Residence:</w:t>
            </w:r>
          </w:p>
        </w:tc>
        <w:tc>
          <w:tcPr>
            <w:tcW w:w="40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8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Floor 16-17, #118 Rongke Road, Pudong District, Shanghai, People’s Republic of China 201203</w:t>
            </w:r>
          </w:p>
        </w:tc>
        <w:tc>
          <w:tcPr>
            <w:tcW w:w="1840" w:type="dxa"/>
            <w:vAlign w:val="bottom"/>
            <w:tcBorders>
              <w:bottom w:val="single" w:sz="8" w:color="auto"/>
            </w:tcBorders>
          </w:tcPr>
          <w:p>
            <w:pPr>
              <w:spacing w:after="0"/>
              <w:rPr>
                <w:sz w:val="24"/>
                <w:szCs w:val="24"/>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2(c).</w:t>
            </w:r>
          </w:p>
        </w:tc>
        <w:tc>
          <w:tcPr>
            <w:tcW w:w="4480" w:type="dxa"/>
            <w:vAlign w:val="bottom"/>
          </w:tcPr>
          <w:p>
            <w:pPr>
              <w:spacing w:after="0"/>
              <w:rPr>
                <w:sz w:val="20"/>
                <w:szCs w:val="20"/>
                <w:color w:val="auto"/>
              </w:rPr>
            </w:pPr>
            <w:r>
              <w:rPr>
                <w:rFonts w:ascii="Arial" w:cs="Arial" w:eastAsia="Arial" w:hAnsi="Arial"/>
                <w:sz w:val="18"/>
                <w:szCs w:val="18"/>
                <w:color w:val="auto"/>
              </w:rPr>
              <w:t>Citizenship:</w:t>
            </w:r>
          </w:p>
        </w:tc>
        <w:tc>
          <w:tcPr>
            <w:tcW w:w="40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People’s Republic of China</w:t>
            </w:r>
          </w:p>
        </w:tc>
        <w:tc>
          <w:tcPr>
            <w:tcW w:w="40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2(d).</w:t>
            </w:r>
          </w:p>
        </w:tc>
        <w:tc>
          <w:tcPr>
            <w:tcW w:w="4480" w:type="dxa"/>
            <w:vAlign w:val="bottom"/>
          </w:tcPr>
          <w:p>
            <w:pPr>
              <w:spacing w:after="0"/>
              <w:rPr>
                <w:sz w:val="20"/>
                <w:szCs w:val="20"/>
                <w:color w:val="auto"/>
              </w:rPr>
            </w:pPr>
            <w:r>
              <w:rPr>
                <w:rFonts w:ascii="Arial" w:cs="Arial" w:eastAsia="Arial" w:hAnsi="Arial"/>
                <w:sz w:val="18"/>
                <w:szCs w:val="18"/>
                <w:color w:val="auto"/>
              </w:rPr>
              <w:t>Title of Class of Securities:</w:t>
            </w:r>
          </w:p>
        </w:tc>
        <w:tc>
          <w:tcPr>
            <w:tcW w:w="40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Class A Common Stock, par value $0.0001 per share</w:t>
            </w:r>
          </w:p>
        </w:tc>
        <w:tc>
          <w:tcPr>
            <w:tcW w:w="40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2(e).</w:t>
            </w:r>
          </w:p>
        </w:tc>
        <w:tc>
          <w:tcPr>
            <w:tcW w:w="4480" w:type="dxa"/>
            <w:vAlign w:val="bottom"/>
          </w:tcPr>
          <w:p>
            <w:pPr>
              <w:spacing w:after="0"/>
              <w:rPr>
                <w:sz w:val="20"/>
                <w:szCs w:val="20"/>
                <w:color w:val="auto"/>
              </w:rPr>
            </w:pPr>
            <w:r>
              <w:rPr>
                <w:rFonts w:ascii="Arial" w:cs="Arial" w:eastAsia="Arial" w:hAnsi="Arial"/>
                <w:sz w:val="18"/>
                <w:szCs w:val="18"/>
                <w:color w:val="auto"/>
              </w:rPr>
              <w:t>CUSIP Number:</w:t>
            </w:r>
          </w:p>
        </w:tc>
        <w:tc>
          <w:tcPr>
            <w:tcW w:w="40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00108J109</w:t>
            </w:r>
          </w:p>
        </w:tc>
        <w:tc>
          <w:tcPr>
            <w:tcW w:w="40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8500" w:type="dxa"/>
            <w:vAlign w:val="bottom"/>
            <w:gridSpan w:val="2"/>
          </w:tcPr>
          <w:p>
            <w:pPr>
              <w:spacing w:after="0"/>
              <w:rPr>
                <w:sz w:val="20"/>
                <w:szCs w:val="20"/>
                <w:color w:val="auto"/>
              </w:rPr>
            </w:pPr>
            <w:r>
              <w:rPr>
                <w:rFonts w:ascii="Arial" w:cs="Arial" w:eastAsia="Arial" w:hAnsi="Arial"/>
                <w:sz w:val="18"/>
                <w:szCs w:val="18"/>
                <w:color w:val="auto"/>
                <w:w w:val="97"/>
              </w:rPr>
              <w:t>If This Statement is Filed Pursuant to Rule 13d-1(b), or 13d-2(b) or (c), Check Whether the Person Filing is a:</w:t>
            </w:r>
          </w:p>
        </w:tc>
        <w:tc>
          <w:tcPr>
            <w:tcW w:w="1840" w:type="dxa"/>
            <w:vAlign w:val="bottom"/>
          </w:tcPr>
          <w:p>
            <w:pPr>
              <w:spacing w:after="0"/>
              <w:rPr>
                <w:sz w:val="24"/>
                <w:szCs w:val="24"/>
                <w:color w:val="auto"/>
              </w:rPr>
            </w:pPr>
          </w:p>
        </w:tc>
      </w:tr>
    </w:tbl>
    <w:p>
      <w:pPr>
        <w:spacing w:after="0" w:line="157" w:lineRule="exact"/>
        <w:rPr>
          <w:sz w:val="20"/>
          <w:szCs w:val="20"/>
          <w:color w:val="auto"/>
        </w:rPr>
      </w:pPr>
    </w:p>
    <w:p>
      <w:pPr>
        <w:ind w:left="1040" w:hanging="636"/>
        <w:spacing w:after="0" w:line="207" w:lineRule="exact"/>
        <w:tabs>
          <w:tab w:leader="none" w:pos="104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1040" w:hanging="636"/>
        <w:spacing w:after="0" w:line="207" w:lineRule="exact"/>
        <w:tabs>
          <w:tab w:leader="none" w:pos="104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1040" w:hanging="636"/>
        <w:spacing w:after="0" w:line="207" w:lineRule="exact"/>
        <w:tabs>
          <w:tab w:leader="none" w:pos="104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25" w:lineRule="exact"/>
        <w:rPr>
          <w:rFonts w:ascii="Arial" w:cs="Arial" w:eastAsia="Arial" w:hAnsi="Arial"/>
          <w:sz w:val="18"/>
          <w:szCs w:val="18"/>
          <w:color w:val="auto"/>
        </w:rPr>
      </w:pPr>
    </w:p>
    <w:p>
      <w:pPr>
        <w:ind w:left="1040" w:hanging="636"/>
        <w:spacing w:after="0" w:line="207" w:lineRule="exact"/>
        <w:tabs>
          <w:tab w:leader="none" w:pos="104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225" w:lineRule="exact"/>
        <w:rPr>
          <w:rFonts w:ascii="Arial" w:cs="Arial" w:eastAsia="Arial" w:hAnsi="Arial"/>
          <w:sz w:val="18"/>
          <w:szCs w:val="18"/>
          <w:color w:val="auto"/>
        </w:rPr>
      </w:pPr>
    </w:p>
    <w:p>
      <w:pPr>
        <w:ind w:left="1040" w:hanging="636"/>
        <w:spacing w:after="0" w:line="207" w:lineRule="exact"/>
        <w:tabs>
          <w:tab w:leader="none" w:pos="104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1040" w:hanging="636"/>
        <w:spacing w:after="0" w:line="207" w:lineRule="exact"/>
        <w:tabs>
          <w:tab w:leader="none" w:pos="104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25" w:lineRule="exact"/>
        <w:rPr>
          <w:rFonts w:ascii="Arial" w:cs="Arial" w:eastAsia="Arial" w:hAnsi="Arial"/>
          <w:sz w:val="18"/>
          <w:szCs w:val="18"/>
          <w:color w:val="auto"/>
        </w:rPr>
      </w:pPr>
    </w:p>
    <w:p>
      <w:pPr>
        <w:ind w:left="1040" w:hanging="636"/>
        <w:spacing w:after="0" w:line="207" w:lineRule="exact"/>
        <w:tabs>
          <w:tab w:leader="none" w:pos="104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25" w:lineRule="exact"/>
        <w:rPr>
          <w:rFonts w:ascii="Arial" w:cs="Arial" w:eastAsia="Arial" w:hAnsi="Arial"/>
          <w:sz w:val="18"/>
          <w:szCs w:val="18"/>
          <w:color w:val="auto"/>
        </w:rPr>
      </w:pPr>
    </w:p>
    <w:p>
      <w:pPr>
        <w:ind w:left="1040" w:hanging="636"/>
        <w:spacing w:after="0" w:line="207" w:lineRule="exact"/>
        <w:tabs>
          <w:tab w:leader="none" w:pos="104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tabs>
          <w:tab w:leader="none" w:pos="1180" w:val="left"/>
          <w:tab w:leader="none" w:pos="5460" w:val="left"/>
          <w:tab w:leader="none" w:pos="99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00108J109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8 Pages</w:t>
      </w:r>
    </w:p>
    <w:p>
      <w:pPr>
        <w:spacing w:after="0" w:line="25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[_] A church plan that is excluded from the definition of an investment company under Section 3(c)(14) of the Investment Company Act;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[_] A non-U.S. institution in accordance with Rule 13d-1(b)(1)(ii)(J);</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[_] Group, in accordance with Rule 13d-1(b)(1)(ii)(K).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5221605</wp:posOffset>
            </wp:positionH>
            <wp:positionV relativeFrom="paragraph">
              <wp:posOffset>-10160</wp:posOffset>
            </wp:positionV>
            <wp:extent cx="342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Item 4. Ownership.</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November 2, 2017 (the “Registration Date”), the Class A Common Stock, $0.0001 par value per share (the “Common Stock”), of ACM Research, Inc. (the “Issuer”) first became registered under the Securities Exchange Act of 1934, as amended. At such time, Shanghai Science and Technology Venture Capital Co., Ltd. (the “Reporting Persons”) beneficially owned over 5% of the outstanding shares of Common Stock, as they also did at December 31, 2017, 2018, 2019 and 2021. The Reporting Persons did not acquire beneficial ownership of any shares of Common Stock subsequent to the Registration Date and on or prior to December 31, 2022 (except pursuant to the March 2022 Dividend (as defined below), which was applicable to all outstanding shares of Common Stock), but sold shares of Common Stock in 2020 and 2021. Accordingly, this Schedule 13G discloses beneficial ownership as of December 31, 2017, 2020, 2021 and 2022. The number of shares of Common Stock reported as being beneficially owned by the Reporting Person as of December 31, 2022 gives effect to the three-for-one stock split of the Common Stock effected by the Issuer in March 2022 through a stock dividend (the “March 2022 Dividend”). The number of shares of Common Stock reported as being beneficially owned by the Reporting Person as of December 31, 2017, 2020 and 2021 have not been adjusted to reflect March 2022 Dividend. Prior to his resignation, Weiguo Shen, the former chairman of the Reporting Person, may have been deemed to beneficially own shares of Common Stock held by the Reporting Person.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beneficially owned: 1,666,170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12.9%*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1,666,170</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1,666,170</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*Percentage of Common Stock beneficially owned by the Reporting Person as of December 31, 2017 reflects 12,935,546 shares of Common Stock outstanding, as set forth in the Issuer’s Annual Report on Form 10-K for the annual period then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tabs>
          <w:tab w:leader="none" w:pos="1180" w:val="left"/>
          <w:tab w:leader="none" w:pos="5460" w:val="left"/>
          <w:tab w:leader="none" w:pos="99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00108J109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8 Pages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beneficially owned: 1,506,170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8.9%*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1,506,170</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1,506,170</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*Percentage of Common Stock beneficially owned by the Reporting Person as of December 31, 2020 reflects 16,896,693 shares of Common Stock outstanding, as set forth in the Issuer’s Annual Report on Form 10-K for the annual period then ended.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beneficially owned: 1,146,170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6.4%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1,146,170</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1,146,170</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*Percentage of Common Stock beneficially owned by the Reporting Person as of December 31, 2021 reflects 17,869,643 shares of Common Stock outstanding, as set forth in the Issuer’s Annual Report on Form 10-K for the annual period then ended.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beneficially owned: 3,438,510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6.3%*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vote or to direct the vote: 3,438,510</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3,438,510</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5"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*Percentage of Common Stock beneficially owned by the Reporting Person as of December 31, 2022 reflects 54,655,286 shares of Common Stock outstanding, as set forth in the Issuer’s Annual Report on Form 10-K for the annual period then ended. The change in the number of shares beneficially owned by the Reporting Person from December 31, 2021 to December 31, 2022 resulted solely from the March 2022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 w:name="page7"/>
    <w:bookmarkEnd w:id="6"/>
    <w:p>
      <w:pPr>
        <w:spacing w:after="0"/>
        <w:tabs>
          <w:tab w:leader="none" w:pos="1180" w:val="left"/>
          <w:tab w:leader="none" w:pos="5460" w:val="left"/>
          <w:tab w:leader="none" w:pos="99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00108J109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7 of 8 Pages</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jc w:val="both"/>
        <w:ind w:firstLine="648"/>
        <w:spacing w:after="0" w:line="237"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257810</wp:posOffset>
            </wp:positionV>
            <wp:extent cx="6558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8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82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58280" cy="17145"/>
                    </a:xfrm>
                    <a:prstGeom prst="rect">
                      <a:avLst/>
                    </a:prstGeom>
                    <a:noFill/>
                  </pic:spPr>
                </pic:pic>
              </a:graphicData>
            </a:graphic>
          </wp:anchor>
        </w:drawing>
      </w:r>
    </w:p>
    <w:p>
      <w:pPr>
        <w:spacing w:after="0" w:line="232" w:lineRule="exact"/>
        <w:rPr>
          <w:sz w:val="20"/>
          <w:szCs w:val="20"/>
          <w:color w:val="auto"/>
        </w:rPr>
      </w:pPr>
    </w:p>
    <w:p>
      <w:pPr>
        <w:ind w:left="900" w:right="40" w:hanging="897"/>
        <w:spacing w:after="0" w:line="277" w:lineRule="auto"/>
        <w:tabs>
          <w:tab w:leader="none" w:pos="8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82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828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See Exhibit B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82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5828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82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5828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82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82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 w:name="page8"/>
    <w:bookmarkEnd w:id="7"/>
    <w:p>
      <w:pPr>
        <w:spacing w:after="0"/>
        <w:tabs>
          <w:tab w:leader="none" w:pos="1180" w:val="left"/>
          <w:tab w:leader="none" w:pos="5460" w:val="left"/>
          <w:tab w:leader="none" w:pos="99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00108J109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8 of 8 Pages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18, 2023</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SHANGHAI SCIENCE AND TECHNOLOGY VENTURE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CAPITAL (GROUP) CO., LTD.</w:t>
      </w:r>
    </w:p>
    <w:p>
      <w:pPr>
        <w:spacing w:after="0" w:line="211"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Guangda Liu</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20" w:type="dxa"/>
            <w:vAlign w:val="bottom"/>
          </w:tcPr>
          <w:p>
            <w:pPr>
              <w:spacing w:after="0" w:line="195" w:lineRule="exact"/>
              <w:rPr>
                <w:sz w:val="20"/>
                <w:szCs w:val="20"/>
                <w:color w:val="auto"/>
              </w:rPr>
            </w:pPr>
            <w:r>
              <w:rPr>
                <w:rFonts w:ascii="Arial" w:cs="Arial" w:eastAsia="Arial" w:hAnsi="Arial"/>
                <w:sz w:val="18"/>
                <w:szCs w:val="18"/>
                <w:color w:val="auto"/>
              </w:rPr>
              <w:t>Guangda Liu</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spacing w:after="0"/>
              <w:rPr>
                <w:sz w:val="20"/>
                <w:szCs w:val="20"/>
                <w:color w:val="auto"/>
              </w:rPr>
            </w:pPr>
            <w:r>
              <w:rPr>
                <w:rFonts w:ascii="Arial" w:cs="Arial" w:eastAsia="Arial" w:hAnsi="Arial"/>
                <w:sz w:val="18"/>
                <w:szCs w:val="18"/>
                <w:color w:val="auto"/>
              </w:rPr>
              <w:t>Authorized Representative</w:t>
            </w:r>
          </w:p>
        </w:tc>
      </w:tr>
    </w:tbl>
    <w:p>
      <w:pPr>
        <w:spacing w:after="0" w:line="1" w:lineRule="exact"/>
        <w:rPr>
          <w:sz w:val="20"/>
          <w:szCs w:val="20"/>
          <w:color w:val="auto"/>
        </w:rPr>
      </w:pP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3"/>
    </w:lvl>
  </w:abstractNum>
  <w:abstractNum w:abstractNumId="6">
    <w:nsid w:val="1F16E9E8"/>
    <w:multiLevelType w:val="hybridMultilevel"/>
    <w:lvl w:ilvl="0">
      <w:lvlJc w:val="left"/>
      <w:lvlText w:val="%1."/>
      <w:numFmt w:val="decimal"/>
      <w:start w:val="9"/>
    </w:lvl>
  </w:abstractNum>
  <w:abstractNum w:abstractNumId="7">
    <w:nsid w:val="1190CDE7"/>
    <w:multiLevelType w:val="hybridMultilevel"/>
    <w:lvl w:ilvl="0">
      <w:lvlJc w:val="left"/>
      <w:lvlText w:val="%1."/>
      <w:numFmt w:val="decimal"/>
      <w:start w:val="1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lvl w:ilvl="1">
      <w:lvlJc w:val="left"/>
      <w:lvlText w:val="(%2)"/>
      <w:numFmt w:val="lowerRoman"/>
      <w:start w:val="1"/>
    </w:lvl>
  </w:abstractNum>
  <w:abstractNum w:abstractNumId="12">
    <w:nsid w:val="DED7263"/>
    <w:multiLevelType w:val="hybridMultilevel"/>
    <w:lvl w:ilvl="0">
      <w:lvlJc w:val="left"/>
      <w:lvlText w:val="(%1)"/>
      <w:numFmt w:val="lowerLetter"/>
      <w:start w:val="1"/>
    </w:lvl>
    <w:lvl w:ilvl="1">
      <w:lvlJc w:val="left"/>
      <w:lvlText w:val="(%2)"/>
      <w:numFmt w:val="lowerRoman"/>
      <w:start w:val="1"/>
    </w:lvl>
  </w:abstractNum>
  <w:abstractNum w:abstractNumId="13">
    <w:nsid w:val="7FDCC233"/>
    <w:multiLevelType w:val="hybridMultilevel"/>
    <w:lvl w:ilvl="0">
      <w:lvlJc w:val="left"/>
      <w:lvlText w:val="(%1)"/>
      <w:numFmt w:val="lowerLetter"/>
      <w:start w:val="1"/>
    </w:lvl>
    <w:lvl w:ilvl="1">
      <w:lvlJc w:val="left"/>
      <w:lvlText w:val="(%2)"/>
      <w:numFmt w:val="lowerRoman"/>
      <w:start w:val="1"/>
    </w:lvl>
  </w:abstractNum>
  <w:abstractNum w:abstractNumId="14">
    <w:nsid w:val="1BEFD79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2023-07-18T07:55:37Z</dcterms:created>
  <dcterms:modified xsi:type="dcterms:W3CDTF">2023-07-18T07:55:37Z</dcterms:modified>
</cp:coreProperties>
</file>