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Wang Jian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19"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02/12/2023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680" w:type="dxa"/>
            <w:vAlign w:val="bottom"/>
            <w:gridSpan w:val="8"/>
          </w:tcPr>
          <w:p>
            <w:pPr>
              <w:jc w:val="center"/>
              <w:ind w:right="4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15,000</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25.45</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02/12/2023</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15,000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03/03/2032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2022, the reporting person was granted an option to purchase 75,000 shares of Class A Common Stock of the Issuer. The option vests and becomes exercisable based on the Issuer's satisfaction of certain performance criteria. On February 12, 2023, the Issuer confirmed that certain of the performance criteria were met, resulting in vesting of the option as to 15,000 shares.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and President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02/14/2023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Jian Wang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22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62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2023-02-14T18:27:35Z</dcterms:created>
  <dcterms:modified xsi:type="dcterms:W3CDTF">2023-02-14T18:27:35Z</dcterms:modified>
</cp:coreProperties>
</file>