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8,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1"/>
              </w:rPr>
              <w:t>(State or Other Jurisdiction of</w:t>
            </w:r>
          </w:p>
        </w:tc>
        <w:tc>
          <w:tcPr>
            <w:tcW w:w="538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8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358"/>
        </w:trPr>
        <w:tc>
          <w:tcPr>
            <w:tcW w:w="2360" w:type="dxa"/>
            <w:vAlign w:val="bottom"/>
          </w:tcPr>
          <w:p>
            <w:pPr>
              <w:spacing w:after="0"/>
              <w:rPr>
                <w:sz w:val="24"/>
                <w:szCs w:val="24"/>
                <w:color w:val="auto"/>
              </w:rPr>
            </w:pPr>
          </w:p>
        </w:tc>
        <w:tc>
          <w:tcPr>
            <w:tcW w:w="5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8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80" w:type="dxa"/>
            <w:vAlign w:val="bottom"/>
          </w:tcPr>
          <w:p>
            <w:pPr>
              <w:jc w:val="center"/>
              <w:ind w:right="152"/>
              <w:spacing w:after="0"/>
              <w:rPr>
                <w:sz w:val="20"/>
                <w:szCs w:val="20"/>
                <w:color w:val="auto"/>
              </w:rPr>
            </w:pPr>
            <w:r>
              <w:rPr>
                <w:rFonts w:ascii="Arial" w:cs="Arial" w:eastAsia="Arial" w:hAnsi="Arial"/>
                <w:sz w:val="18"/>
                <w:szCs w:val="18"/>
                <w:i w:val="1"/>
                <w:iCs w:val="1"/>
                <w:color w:val="auto"/>
                <w:w w:val="89"/>
              </w:rPr>
              <w:t xml:space="preserve">Registrant’s telephone number, including area code: </w:t>
            </w:r>
            <w:r>
              <w:rPr>
                <w:rFonts w:ascii="Arial" w:cs="Arial" w:eastAsia="Arial" w:hAnsi="Arial"/>
                <w:sz w:val="18"/>
                <w:szCs w:val="18"/>
                <w:b w:val="1"/>
                <w:bCs w:val="1"/>
                <w:color w:val="auto"/>
                <w:w w:val="89"/>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2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6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 May 8, 2018 we issued a press release announcing financial results for the first quarter of 2018. The full text of this press release is furnished as Exhibit 99.01 hereto and is incorporated herein by reference.</w:t>
      </w:r>
    </w:p>
    <w:p>
      <w:pPr>
        <w:spacing w:after="0" w:line="11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On August 7, 2018 we issued a press release announcing financial results for the second quarter of 2018. The full text of this press release is furnished as Exhibit 99.02 hereto and is incorporated herein by reference.</w:t>
      </w:r>
    </w:p>
    <w:p>
      <w:pPr>
        <w:spacing w:after="0" w:line="118"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The information contained herein, including the exhibits furnished herewith,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ExhibitNumber</w:t>
            </w:r>
          </w:p>
        </w:tc>
        <w:tc>
          <w:tcPr>
            <w:tcW w:w="200" w:type="dxa"/>
            <w:vAlign w:val="bottom"/>
          </w:tcPr>
          <w:p>
            <w:pPr>
              <w:spacing w:after="0"/>
              <w:rPr>
                <w:sz w:val="20"/>
                <w:szCs w:val="20"/>
                <w:color w:val="auto"/>
              </w:rPr>
            </w:pPr>
          </w:p>
        </w:tc>
        <w:tc>
          <w:tcPr>
            <w:tcW w:w="1002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01</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Press Release of ACM Research, Inc. dated May 8, 2018</w:t>
            </w: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02</w:t>
              </w:r>
            </w:hyperlink>
          </w:p>
        </w:tc>
        <w:tc>
          <w:tcPr>
            <w:tcW w:w="8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gridSpan w:val="2"/>
          </w:tcPr>
          <w:p>
            <w:pPr>
              <w:ind w:left="200"/>
              <w:spacing w:after="0" w:line="176" w:lineRule="exact"/>
              <w:rPr>
                <w:sz w:val="20"/>
                <w:szCs w:val="20"/>
                <w:color w:val="auto"/>
              </w:rPr>
            </w:pPr>
            <w:r>
              <w:rPr>
                <w:rFonts w:ascii="Arial" w:cs="Arial" w:eastAsia="Arial" w:hAnsi="Arial"/>
                <w:sz w:val="18"/>
                <w:szCs w:val="18"/>
                <w:color w:val="auto"/>
              </w:rPr>
              <w:t>Press Release of ACM Research, Inc. dated August 7, 2018</w:t>
            </w:r>
          </w:p>
        </w:tc>
      </w:tr>
      <w:tr>
        <w:trPr>
          <w:trHeight w:val="2397"/>
        </w:trPr>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3"/>
          </w:tcPr>
          <w:p>
            <w:pPr>
              <w:ind w:left="196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394"/>
        </w:trPr>
        <w:tc>
          <w:tcPr>
            <w:tcW w:w="3700" w:type="dxa"/>
            <w:vAlign w:val="bottom"/>
          </w:tcPr>
          <w:p>
            <w:pPr>
              <w:spacing w:after="0"/>
              <w:rPr>
                <w:sz w:val="20"/>
                <w:szCs w:val="20"/>
                <w:color w:val="auto"/>
              </w:rPr>
            </w:pPr>
            <w:r>
              <w:rPr>
                <w:rFonts w:ascii="Arial" w:cs="Arial" w:eastAsia="Arial" w:hAnsi="Arial"/>
                <w:sz w:val="18"/>
                <w:szCs w:val="18"/>
                <w:color w:val="auto"/>
              </w:rPr>
              <w:t>Dated: October 15, 2018</w:t>
            </w:r>
          </w:p>
        </w:tc>
        <w:tc>
          <w:tcPr>
            <w:tcW w:w="7720" w:type="dxa"/>
            <w:vAlign w:val="bottom"/>
            <w:gridSpan w:val="3"/>
          </w:tcPr>
          <w:p>
            <w:pPr>
              <w:ind w:left="1960"/>
              <w:spacing w:after="0"/>
              <w:rPr>
                <w:sz w:val="20"/>
                <w:szCs w:val="20"/>
                <w:color w:val="auto"/>
              </w:rPr>
            </w:pPr>
            <w:r>
              <w:rPr>
                <w:rFonts w:ascii="Arial" w:cs="Arial" w:eastAsia="Arial" w:hAnsi="Arial"/>
                <w:sz w:val="18"/>
                <w:szCs w:val="18"/>
                <w:color w:val="auto"/>
              </w:rPr>
              <w:t>By: /s/ David H. Wang</w:t>
            </w:r>
          </w:p>
        </w:tc>
      </w:tr>
      <w:tr>
        <w:trPr>
          <w:trHeight w:val="228"/>
        </w:trPr>
        <w:tc>
          <w:tcPr>
            <w:tcW w:w="3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 Wang</w:t>
            </w:r>
          </w:p>
        </w:tc>
        <w:tc>
          <w:tcPr>
            <w:tcW w:w="4120" w:type="dxa"/>
            <w:vAlign w:val="bottom"/>
          </w:tcPr>
          <w:p>
            <w:pPr>
              <w:spacing w:after="0"/>
              <w:rPr>
                <w:sz w:val="19"/>
                <w:szCs w:val="19"/>
                <w:color w:val="auto"/>
              </w:rPr>
            </w:pPr>
          </w:p>
        </w:tc>
      </w:tr>
      <w:tr>
        <w:trPr>
          <w:trHeight w:val="222"/>
        </w:trPr>
        <w:tc>
          <w:tcPr>
            <w:tcW w:w="3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4756"/>
        </w:trPr>
        <w:tc>
          <w:tcPr>
            <w:tcW w:w="3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165735</wp:posOffset>
            </wp:positionV>
            <wp:extent cx="92646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First Quarter 2018 Results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FREMONT, California, May 8, 2018 (Globe Newswire) – ACM Research, Inc. (“ACM Research” or the “Company”) (NASDAQ:ACMR), a provider of single-wafer wet cleaning equipment used by manufacturers of advanced semiconductors, today reported financial results for its first fiscal quarter ended March 31, 2018.</w:t>
      </w:r>
    </w:p>
    <w:p>
      <w:pPr>
        <w:spacing w:after="0" w:line="127"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ACM Research’s President and Chief Executive Officer Dr. David Wang commented, “We continued to execute against key initiatives across our business, delivering solid results in the first quarter. On a year-over-year basis, revenue grew over 70%, and gross margin expanded by over 10 percentage points. Additionally, we established an R&amp;D facility in Bundang, Korea to further expand our R&amp;D capability and build our engineering talent pool in the region.”</w:t>
      </w:r>
    </w:p>
    <w:p>
      <w:pPr>
        <w:spacing w:after="0" w:line="9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Dr. Wang continued, “We remain committed to developing high-performance products to meet our customer needs and strengthen our competitive position globally. We are excited about the opportunities ahead of us, and confident that our differentiated technology and geographic focus positions us for profitable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Operating Highlights</w:t>
      </w:r>
    </w:p>
    <w:p>
      <w:pPr>
        <w:spacing w:after="0" w:line="158" w:lineRule="exact"/>
        <w:rPr>
          <w:sz w:val="20"/>
          <w:szCs w:val="20"/>
          <w:color w:val="auto"/>
        </w:rPr>
      </w:pPr>
    </w:p>
    <w:p>
      <w:pPr>
        <w:jc w:val="both"/>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SAPS III Cleaning Tool Used in Mass Production. </w:t>
      </w:r>
      <w:r>
        <w:rPr>
          <w:rFonts w:ascii="Arial" w:cs="Arial" w:eastAsia="Arial" w:hAnsi="Arial"/>
          <w:sz w:val="18"/>
          <w:szCs w:val="18"/>
          <w:color w:val="auto"/>
        </w:rPr>
        <w:t>The Company’s latest SAPS wafer cleaning tool, SAPS III, is being used in mass production in a key</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manufacturing line. The SAPS III tool is ideally suited for existing wafer fabs that intend to migrate to next-generation technology node and require more cleaning process steps and limited clean room floor space. The SAPS III tool is equipped with 8 chambers, which enable high throughput, along with a 40% reduction in footprint.</w:t>
      </w:r>
    </w:p>
    <w:p>
      <w:pPr>
        <w:spacing w:after="0" w:line="122"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ACM Korea R&amp;D and Service Support Center. </w:t>
      </w:r>
      <w:r>
        <w:rPr>
          <w:rFonts w:ascii="Arial" w:cs="Arial" w:eastAsia="Arial" w:hAnsi="Arial"/>
          <w:sz w:val="18"/>
          <w:szCs w:val="18"/>
          <w:color w:val="auto"/>
        </w:rPr>
        <w:t>The Company established the ACM Korea R&amp;D and Service Support Centers to further strengthen its</w:t>
      </w:r>
      <w:r>
        <w:rPr>
          <w:rFonts w:ascii="Arial" w:cs="Arial" w:eastAsia="Arial" w:hAnsi="Arial"/>
          <w:sz w:val="18"/>
          <w:szCs w:val="18"/>
          <w:b w:val="1"/>
          <w:bCs w:val="1"/>
          <w:color w:val="auto"/>
        </w:rPr>
        <w:t xml:space="preserve"> </w:t>
      </w:r>
      <w:r>
        <w:rPr>
          <w:rFonts w:ascii="Arial" w:cs="Arial" w:eastAsia="Arial" w:hAnsi="Arial"/>
          <w:sz w:val="18"/>
          <w:szCs w:val="18"/>
          <w:color w:val="auto"/>
        </w:rPr>
        <w:t>R&amp;D and service support capabilities. The R&amp;D Center in Bundang will enable the Company to recruit engineering talent locally to implement new R&amp;D programs. The support facility in Icheon will enable ACM to better support customers in the region.</w:t>
      </w:r>
    </w:p>
    <w:p>
      <w:pPr>
        <w:spacing w:after="0" w:line="118" w:lineRule="exact"/>
        <w:rPr>
          <w:rFonts w:ascii="Arial" w:cs="Arial" w:eastAsia="Arial" w:hAnsi="Arial"/>
          <w:sz w:val="18"/>
          <w:szCs w:val="18"/>
          <w:color w:val="auto"/>
        </w:rPr>
      </w:pPr>
    </w:p>
    <w:p>
      <w:pPr>
        <w:ind w:left="340" w:right="20" w:hanging="332"/>
        <w:spacing w:after="0" w:line="33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Multiple Orders for SAPS tools</w:t>
      </w:r>
      <w:r>
        <w:rPr>
          <w:rFonts w:ascii="Arial" w:cs="Arial" w:eastAsia="Arial" w:hAnsi="Arial"/>
          <w:sz w:val="16"/>
          <w:szCs w:val="16"/>
          <w:color w:val="auto"/>
        </w:rPr>
        <w:t>. The Company received multiple orders from existing customers for SAPS-based cleaning equipment and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packaging tools. ACM expects to ship all of the ordered tools by the third quarter of 2018, and anticipates acceptance and revenue recognition in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All figures refer to the first quarter of 2018, unless noted otherwise. All comparisons are with the first quarter of 2017, unless otherwise noted.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ind w:left="760"/>
              <w:spacing w:after="0"/>
              <w:rPr>
                <w:sz w:val="20"/>
                <w:szCs w:val="20"/>
                <w:color w:val="auto"/>
              </w:rPr>
            </w:pPr>
            <w:r>
              <w:rPr>
                <w:rFonts w:ascii="Arial" w:cs="Arial" w:eastAsia="Arial" w:hAnsi="Arial"/>
                <w:sz w:val="18"/>
                <w:szCs w:val="18"/>
                <w:b w:val="1"/>
                <w:bCs w:val="1"/>
                <w:color w:val="auto"/>
              </w:rPr>
              <w:t>GAAP</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Non-GAAP(1)</w:t>
            </w: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r>
      <w:tr>
        <w:trPr>
          <w:trHeight w:val="208"/>
        </w:trPr>
        <w:tc>
          <w:tcPr>
            <w:tcW w:w="6060" w:type="dxa"/>
            <w:vAlign w:val="bottom"/>
          </w:tcPr>
          <w:p>
            <w:pPr>
              <w:spacing w:after="0"/>
              <w:rPr>
                <w:sz w:val="20"/>
                <w:szCs w:val="20"/>
                <w:color w:val="auto"/>
              </w:rPr>
            </w:pPr>
            <w:r>
              <w:rPr>
                <w:rFonts w:ascii="Arial" w:cs="Arial" w:eastAsia="Arial" w:hAnsi="Arial"/>
                <w:sz w:val="18"/>
                <w:szCs w:val="18"/>
                <w:color w:val="auto"/>
              </w:rPr>
              <w:t>Net loss attributable to ACM Research, Inc.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(2,089)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(1,254)</w:t>
            </w: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Diluted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(0.26)</w:t>
            </w:r>
          </w:p>
        </w:tc>
      </w:tr>
    </w:tbl>
    <w:p>
      <w:pPr>
        <w:spacing w:after="0" w:line="201" w:lineRule="exact"/>
        <w:rPr>
          <w:sz w:val="20"/>
          <w:szCs w:val="20"/>
          <w:color w:val="auto"/>
        </w:rPr>
      </w:pPr>
    </w:p>
    <w:p>
      <w:pPr>
        <w:ind w:left="660" w:right="40" w:hanging="328"/>
        <w:spacing w:after="0" w:line="268"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Non-GAAP financial measures exclude stock-based compensation.</w:t>
      </w:r>
    </w:p>
    <w:p>
      <w:pPr>
        <w:spacing w:after="0" w:line="15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increased 72.1% to $9.7 million, due to higher selling prices associated with the higher value of the equipment sold.</w:t>
      </w:r>
    </w:p>
    <w:p>
      <w:pPr>
        <w:spacing w:after="0" w:line="157" w:lineRule="exact"/>
        <w:rPr>
          <w:rFonts w:ascii="Arial" w:cs="Arial" w:eastAsia="Arial" w:hAnsi="Arial"/>
          <w:sz w:val="18"/>
          <w:szCs w:val="18"/>
          <w:b w:val="1"/>
          <w:bCs w:val="1"/>
          <w:color w:val="auto"/>
        </w:rPr>
      </w:pPr>
    </w:p>
    <w:p>
      <w:pPr>
        <w:jc w:val="both"/>
        <w:ind w:left="340" w:hanging="332"/>
        <w:spacing w:after="0" w:line="31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Gross margin was 52.6%, compared to 42.4% in the first quarter of 2017. The strong gross margin performance was due to sales of higher</w:t>
      </w:r>
      <w:r>
        <w:rPr>
          <w:rFonts w:ascii="Arial" w:cs="Arial" w:eastAsia="Arial" w:hAnsi="Arial"/>
          <w:sz w:val="16"/>
          <w:szCs w:val="16"/>
          <w:b w:val="1"/>
          <w:bCs w:val="1"/>
          <w:color w:val="auto"/>
        </w:rPr>
        <w:t xml:space="preserve"> </w:t>
      </w:r>
      <w:r>
        <w:rPr>
          <w:rFonts w:ascii="Arial" w:cs="Arial" w:eastAsia="Arial" w:hAnsi="Arial"/>
          <w:sz w:val="16"/>
          <w:szCs w:val="16"/>
          <w:color w:val="auto"/>
        </w:rPr>
        <w:t>value products in the quarter. Gross margin was above the range of 40.0% to 45.0% generally anticipated by the Company for the foreseeable future. Gross margin may vary from period to period due to the mix between higher-margin products and relatively lower-margin products.</w:t>
      </w:r>
    </w:p>
    <w:p>
      <w:pPr>
        <w:spacing w:after="0" w:line="83" w:lineRule="exact"/>
        <w:rPr>
          <w:rFonts w:ascii="Arial" w:cs="Arial" w:eastAsia="Arial" w:hAnsi="Arial"/>
          <w:sz w:val="16"/>
          <w:szCs w:val="16"/>
          <w:color w:val="auto"/>
        </w:rPr>
      </w:pPr>
    </w:p>
    <w:p>
      <w:pPr>
        <w:ind w:left="340" w:hanging="332"/>
        <w:spacing w:after="0" w:line="339"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Operating Expenses</w:t>
      </w:r>
      <w:r>
        <w:rPr>
          <w:rFonts w:ascii="Arial" w:cs="Arial" w:eastAsia="Arial" w:hAnsi="Arial"/>
          <w:sz w:val="16"/>
          <w:szCs w:val="16"/>
          <w:color w:val="auto"/>
        </w:rPr>
        <w:t>. Operating expenses were $7.0 million. Non-GAAP operating expense, which removes stock-based compensation, was $4.8 million, up</w:t>
      </w:r>
      <w:r>
        <w:rPr>
          <w:rFonts w:ascii="Arial" w:cs="Arial" w:eastAsia="Arial" w:hAnsi="Arial"/>
          <w:sz w:val="16"/>
          <w:szCs w:val="16"/>
          <w:b w:val="1"/>
          <w:bCs w:val="1"/>
          <w:color w:val="auto"/>
        </w:rPr>
        <w:t xml:space="preserve"> </w:t>
      </w:r>
      <w:r>
        <w:rPr>
          <w:rFonts w:ascii="Arial" w:cs="Arial" w:eastAsia="Arial" w:hAnsi="Arial"/>
          <w:sz w:val="16"/>
          <w:szCs w:val="16"/>
          <w:color w:val="auto"/>
        </w:rPr>
        <w:t>55%. Non-GAAP operating expenses as a percent of revenue decreased, as planned, due to the Company’s disciplined budgeting process.</w:t>
      </w:r>
    </w:p>
    <w:p>
      <w:pPr>
        <w:spacing w:after="0" w:line="60"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attributable to ACM Research. </w:t>
      </w:r>
      <w:r>
        <w:rPr>
          <w:rFonts w:ascii="Arial" w:cs="Arial" w:eastAsia="Arial" w:hAnsi="Arial"/>
          <w:sz w:val="18"/>
          <w:szCs w:val="18"/>
          <w:color w:val="auto"/>
        </w:rPr>
        <w:t>Net loss was $2.8 million. Non-GAAP net loss was $0.6 million, a substantial improvement from the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$1.3 million in the first quarter of 2017.</w:t>
      </w:r>
    </w:p>
    <w:p>
      <w:pPr>
        <w:spacing w:after="0" w:line="106"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held $15.2 million in cash and cash equivalents as of March 31, 2018, down from $17.7 million as of December 31,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cash balance reflected an increase in purchase orders for parts and components associated with the assembly of products expected to be shipped in the second and third quarters.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4"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ACM is reiterating its full year 2018 revenue guidance of $65 million. The Company’s confidence in this outlook was strengthened by the recent receipt of several orders that are expected to ship and be recognized within the year. ACM now has a backlog more than $50 million in orders, most of which are expected to be delivered to customers by the third quarter. A very high proportion of the shipments are expected to be accepted and revenue recognized before year-end.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conference call to discuss results will be held today at 8:00 a.m. U.S Eastern Time (8:00 p.m. China Time). Dial-in details for the call are as follows. Please reference conference ID 8936308.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Phone Number</w:t>
            </w:r>
          </w:p>
        </w:tc>
        <w:tc>
          <w:tcPr>
            <w:tcW w:w="1360" w:type="dxa"/>
            <w:vAlign w:val="bottom"/>
          </w:tcPr>
          <w:p>
            <w:pPr>
              <w:spacing w:after="0"/>
              <w:rPr>
                <w:sz w:val="20"/>
                <w:szCs w:val="20"/>
                <w:color w:val="auto"/>
              </w:rPr>
            </w:pPr>
            <w:r>
              <w:rPr>
                <w:rFonts w:ascii="Arial" w:cs="Arial" w:eastAsia="Arial" w:hAnsi="Arial"/>
                <w:sz w:val="18"/>
                <w:szCs w:val="18"/>
                <w:b w:val="1"/>
                <w:bCs w:val="1"/>
                <w:color w:val="auto"/>
                <w:w w:val="89"/>
              </w:rPr>
              <w:t>Toll-Free Number</w:t>
            </w:r>
          </w:p>
        </w:tc>
      </w:tr>
      <w:tr>
        <w:trPr>
          <w:trHeight w:val="20"/>
        </w:trPr>
        <w:tc>
          <w:tcPr>
            <w:tcW w:w="354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4000" w:type="dxa"/>
            <w:vAlign w:val="bottom"/>
            <w:gridSpan w:val="3"/>
          </w:tcPr>
          <w:p>
            <w:pPr>
              <w:spacing w:after="0"/>
              <w:rPr>
                <w:sz w:val="20"/>
                <w:szCs w:val="20"/>
                <w:color w:val="auto"/>
              </w:rPr>
            </w:pPr>
            <w:r>
              <w:rPr>
                <w:rFonts w:ascii="Arial" w:cs="Arial" w:eastAsia="Arial" w:hAnsi="Arial"/>
                <w:sz w:val="18"/>
                <w:szCs w:val="18"/>
                <w:color w:val="auto"/>
              </w:rPr>
              <w:t>+1 (845) 675-0437</w:t>
            </w:r>
          </w:p>
        </w:tc>
        <w:tc>
          <w:tcPr>
            <w:tcW w:w="1360" w:type="dxa"/>
            <w:vAlign w:val="bottom"/>
          </w:tcPr>
          <w:p>
            <w:pPr>
              <w:spacing w:after="0"/>
              <w:rPr>
                <w:sz w:val="20"/>
                <w:szCs w:val="20"/>
                <w:color w:val="auto"/>
              </w:rPr>
            </w:pPr>
            <w:r>
              <w:rPr>
                <w:rFonts w:ascii="Arial" w:cs="Arial" w:eastAsia="Arial" w:hAnsi="Arial"/>
                <w:sz w:val="18"/>
                <w:szCs w:val="18"/>
                <w:color w:val="auto"/>
                <w:w w:val="90"/>
              </w:rPr>
              <w:t>+1 (866) 519-4004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Hong Kong</w:t>
            </w:r>
          </w:p>
        </w:tc>
        <w:tc>
          <w:tcPr>
            <w:tcW w:w="4000" w:type="dxa"/>
            <w:vAlign w:val="bottom"/>
            <w:gridSpan w:val="3"/>
          </w:tcPr>
          <w:p>
            <w:pPr>
              <w:spacing w:after="0"/>
              <w:rPr>
                <w:sz w:val="20"/>
                <w:szCs w:val="20"/>
                <w:color w:val="auto"/>
              </w:rPr>
            </w:pPr>
            <w:r>
              <w:rPr>
                <w:rFonts w:ascii="Arial" w:cs="Arial" w:eastAsia="Arial" w:hAnsi="Arial"/>
                <w:sz w:val="18"/>
                <w:szCs w:val="18"/>
                <w:color w:val="auto"/>
              </w:rPr>
              <w:t>+852 3018 6771</w:t>
            </w:r>
          </w:p>
        </w:tc>
        <w:tc>
          <w:tcPr>
            <w:tcW w:w="1360" w:type="dxa"/>
            <w:vAlign w:val="bottom"/>
          </w:tcPr>
          <w:p>
            <w:pPr>
              <w:spacing w:after="0"/>
              <w:rPr>
                <w:sz w:val="20"/>
                <w:szCs w:val="20"/>
                <w:color w:val="auto"/>
              </w:rPr>
            </w:pPr>
            <w:r>
              <w:rPr>
                <w:rFonts w:ascii="Arial" w:cs="Arial" w:eastAsia="Arial" w:hAnsi="Arial"/>
                <w:sz w:val="18"/>
                <w:szCs w:val="18"/>
                <w:color w:val="auto"/>
                <w:w w:val="98"/>
              </w:rPr>
              <w:t>+852 800906601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Mainland China</w:t>
            </w: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(800) 819 0121</w:t>
            </w:r>
          </w:p>
        </w:tc>
        <w:tc>
          <w:tcPr>
            <w:tcW w:w="13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(400) 620 8038</w:t>
            </w:r>
          </w:p>
        </w:tc>
        <w:tc>
          <w:tcPr>
            <w:tcW w:w="1360" w:type="dxa"/>
            <w:vAlign w:val="bottom"/>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Other International</w:t>
            </w:r>
          </w:p>
        </w:tc>
        <w:tc>
          <w:tcPr>
            <w:tcW w:w="300" w:type="dxa"/>
            <w:vAlign w:val="bottom"/>
          </w:tcPr>
          <w:p>
            <w:pPr>
              <w:spacing w:after="0"/>
              <w:rPr>
                <w:sz w:val="20"/>
                <w:szCs w:val="20"/>
                <w:color w:val="auto"/>
              </w:rPr>
            </w:pPr>
            <w:r>
              <w:rPr>
                <w:rFonts w:ascii="Arial" w:cs="Arial" w:eastAsia="Arial" w:hAnsi="Arial"/>
                <w:sz w:val="18"/>
                <w:szCs w:val="18"/>
                <w:color w:val="auto"/>
                <w:w w:val="91"/>
              </w:rPr>
              <w:t>+65</w:t>
            </w:r>
          </w:p>
        </w:tc>
        <w:tc>
          <w:tcPr>
            <w:tcW w:w="840" w:type="dxa"/>
            <w:vAlign w:val="bottom"/>
          </w:tcPr>
          <w:p>
            <w:pPr>
              <w:ind w:left="20"/>
              <w:spacing w:after="0"/>
              <w:rPr>
                <w:sz w:val="20"/>
                <w:szCs w:val="20"/>
                <w:color w:val="auto"/>
              </w:rPr>
            </w:pPr>
            <w:r>
              <w:rPr>
                <w:rFonts w:ascii="Arial" w:cs="Arial" w:eastAsia="Arial" w:hAnsi="Arial"/>
                <w:sz w:val="18"/>
                <w:szCs w:val="18"/>
                <w:color w:val="auto"/>
                <w:w w:val="93"/>
              </w:rPr>
              <w:t>6713 5090</w:t>
            </w:r>
          </w:p>
        </w:tc>
        <w:tc>
          <w:tcPr>
            <w:tcW w:w="28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27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22" w:lineRule="exact"/>
        <w:rPr>
          <w:sz w:val="20"/>
          <w:szCs w:val="20"/>
          <w:color w:val="auto"/>
        </w:rPr>
      </w:pPr>
    </w:p>
    <w:p>
      <w:pPr>
        <w:ind w:right="840"/>
        <w:spacing w:after="0" w:line="422" w:lineRule="auto"/>
        <w:rPr>
          <w:sz w:val="20"/>
          <w:szCs w:val="20"/>
          <w:color w:val="auto"/>
        </w:rPr>
      </w:pPr>
      <w:r>
        <w:rPr>
          <w:rFonts w:ascii="Arial" w:cs="Arial" w:eastAsia="Arial" w:hAnsi="Arial"/>
          <w:sz w:val="18"/>
          <w:szCs w:val="18"/>
          <w:color w:val="auto"/>
        </w:rPr>
        <w:t xml:space="preserve">A recording of the webcast will be available on the investor page of the ACM Research website at </w:t>
      </w:r>
      <w:r>
        <w:rPr>
          <w:rFonts w:ascii="Arial" w:cs="Arial" w:eastAsia="Arial" w:hAnsi="Arial"/>
          <w:sz w:val="18"/>
          <w:szCs w:val="18"/>
          <w:u w:val="single" w:color="auto"/>
          <w:color w:val="0563C1"/>
        </w:rPr>
        <w:t>www.acmrcsh.com</w:t>
      </w:r>
      <w:r>
        <w:rPr>
          <w:rFonts w:ascii="Arial" w:cs="Arial" w:eastAsia="Arial" w:hAnsi="Arial"/>
          <w:sz w:val="18"/>
          <w:szCs w:val="18"/>
          <w:color w:val="auto"/>
        </w:rPr>
        <w:t xml:space="preserve"> for one week following the call. </w:t>
      </w:r>
      <w:r>
        <w:rPr>
          <w:rFonts w:ascii="Arial" w:cs="Arial" w:eastAsia="Arial" w:hAnsi="Arial"/>
          <w:sz w:val="18"/>
          <w:szCs w:val="18"/>
          <w:b w:val="1"/>
          <w:bCs w:val="1"/>
          <w:u w:val="single" w:color="auto"/>
          <w:color w:val="auto"/>
        </w:rPr>
        <w:t>Use of Non-GAAP Financial Measures</w:t>
      </w:r>
    </w:p>
    <w:p>
      <w:pPr>
        <w:spacing w:after="0" w:line="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ACM Research presents non-GAAP gross margin, operating income (loss) and net loss as supplemental measures to GAAP financial measures regarding ACM Research’s operational performance. These supplemental measures exclude the impact of stock-based compensation, which ACM Research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ACM Research believes these non-GAAP financial measures are useful to investors in assessing its operating performance. ACM Research uses these financial measures internally to evaluate its operating performance and for planning and forecasting of future periods. Financial analysts may focus on and publish both historical results and future projections based on the non-GAAP financial measures. ACM Research also believes it is in the best interests of investors for ACM Research to provide this non-GAAP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ACM Research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 Research’s consolidated financial statements prepared in accordance with GAAP.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Information presented above under “Financial Summary—Gross Margin” with respect to the expected range of gross margin for the foreseeable future and under “Fiscal 2018 Revenue Outlook” contains forward-looking statements for purposes of the safe harbor provisions of the Private Securities Litigation Reform Act of 1995. Actual results may vary significantly from ACM Research’s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 Research’s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Research due to its substantial non-U.S. customer and supplier base and its substantial non-U.S. manufacturing operations. ACM Research cannot guarantee any future results, levels of activity, performance or achievements. ACM Research expressly disclaims any obligation to update forward-looking statements after the date of this press release.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16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49" w:lineRule="exact"/>
        <w:rPr>
          <w:sz w:val="20"/>
          <w:szCs w:val="20"/>
          <w:color w:val="auto"/>
        </w:rPr>
      </w:pPr>
    </w:p>
    <w:p>
      <w:pPr>
        <w:ind w:right="360" w:firstLine="8"/>
        <w:spacing w:after="0" w:line="268" w:lineRule="auto"/>
        <w:tabs>
          <w:tab w:leader="none" w:pos="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ACM Research, Inc. SAPS, TEBO and the ACM Research logo are trademarks of ACM Research, Inc. All rights reserved. Any other trademarks are the property of their respective owners.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2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20" w:type="dxa"/>
            <w:vAlign w:val="bottom"/>
            <w:tcBorders>
              <w:bottom w:val="single" w:sz="8" w:color="0563C1"/>
            </w:tcBorders>
            <w:gridSpan w:val="2"/>
          </w:tcPr>
          <w:p>
            <w:pPr>
              <w:spacing w:after="0" w:line="184" w:lineRule="exact"/>
              <w:rPr>
                <w:sz w:val="20"/>
                <w:szCs w:val="20"/>
                <w:color w:val="auto"/>
              </w:rPr>
            </w:pPr>
            <w:r>
              <w:rPr>
                <w:rFonts w:ascii="Arial" w:cs="Arial" w:eastAsia="Arial" w:hAnsi="Arial"/>
                <w:sz w:val="18"/>
                <w:szCs w:val="18"/>
                <w:i w:val="1"/>
                <w:iCs w:val="1"/>
                <w:color w:val="0563C1"/>
                <w:w w:val="89"/>
              </w:rPr>
              <w:t>ralph@blueshirtgroup.com</w:t>
            </w:r>
          </w:p>
        </w:tc>
      </w:tr>
      <w:tr>
        <w:trPr>
          <w:trHeight w:val="412"/>
        </w:trPr>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20" w:type="dxa"/>
            <w:vAlign w:val="bottom"/>
            <w:gridSpan w:val="2"/>
          </w:tcPr>
          <w:p>
            <w:pPr>
              <w:spacing w:after="0"/>
              <w:rPr>
                <w:sz w:val="20"/>
                <w:szCs w:val="20"/>
                <w:color w:val="auto"/>
              </w:rPr>
            </w:pPr>
            <w:r>
              <w:rPr>
                <w:rFonts w:ascii="Arial" w:cs="Arial" w:eastAsia="Arial" w:hAnsi="Arial"/>
                <w:sz w:val="18"/>
                <w:szCs w:val="18"/>
                <w:color w:val="auto"/>
                <w:w w:val="94"/>
              </w:rPr>
              <w:t>The Blueshirt Group Asia</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Borders>
              <w:bottom w:val="single" w:sz="8" w:color="0563C1"/>
            </w:tcBorders>
          </w:tcPr>
          <w:p>
            <w:pPr>
              <w:spacing w:after="0" w:line="184" w:lineRule="exact"/>
              <w:rPr>
                <w:sz w:val="20"/>
                <w:szCs w:val="20"/>
                <w:color w:val="auto"/>
              </w:rPr>
            </w:pPr>
            <w:r>
              <w:rPr>
                <w:rFonts w:ascii="Arial" w:cs="Arial" w:eastAsia="Arial" w:hAnsi="Arial"/>
                <w:sz w:val="18"/>
                <w:szCs w:val="18"/>
                <w:i w:val="1"/>
                <w:iCs w:val="1"/>
                <w:color w:val="0563C1"/>
                <w:w w:val="89"/>
              </w:rPr>
              <w:t>gary@blueshirtgroup.com</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March 31</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52"/>
        </w:trPr>
        <w:tc>
          <w:tcPr>
            <w:tcW w:w="8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i w:val="1"/>
                <w:iCs w:val="1"/>
                <w:color w:val="auto"/>
                <w:w w:val="90"/>
              </w:rPr>
              <w:t>(unaudited)</w:t>
            </w: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0"/>
              </w:rPr>
              <w:t>(audited)</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auto"/>
                <w:w w:val="85"/>
              </w:rPr>
              <w:t>(in thousands, except share and</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c>
          <w:tcPr>
            <w:tcW w:w="0" w:type="dxa"/>
            <w:vAlign w:val="bottom"/>
          </w:tcPr>
          <w:p>
            <w:pPr>
              <w:spacing w:after="0"/>
              <w:rPr>
                <w:sz w:val="1"/>
                <w:szCs w:val="1"/>
                <w:color w:val="auto"/>
              </w:rPr>
            </w:pPr>
          </w:p>
        </w:tc>
      </w:tr>
      <w:tr>
        <w:trPr>
          <w:trHeight w:val="244"/>
        </w:trPr>
        <w:tc>
          <w:tcPr>
            <w:tcW w:w="88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820"/>
              <w:spacing w:after="0"/>
              <w:rPr>
                <w:sz w:val="20"/>
                <w:szCs w:val="20"/>
                <w:color w:val="auto"/>
              </w:rPr>
            </w:pPr>
            <w:r>
              <w:rPr>
                <w:rFonts w:ascii="Arial" w:cs="Arial" w:eastAsia="Arial" w:hAnsi="Arial"/>
                <w:sz w:val="18"/>
                <w:szCs w:val="18"/>
                <w:color w:val="auto"/>
                <w:w w:val="91"/>
              </w:rPr>
              <w:t>Accounts receivable, less allowance for doubtful accounts of $0 as of March 31, 2018 and $0 as of December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31, 2017(note 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Inventory (note 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8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Property, plant and equipment, net (note 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assets (note 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in affiliates, equity method (note 10)</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0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Short-term borrowings (note 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Warrant liability (note 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Accounts payable (including amounts due to a related party of $264 at March 31, 2018 and $1,925 at December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31, 2017 (note 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Advances from customers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820"/>
              <w:spacing w:after="0"/>
              <w:rPr>
                <w:sz w:val="20"/>
                <w:szCs w:val="20"/>
                <w:color w:val="auto"/>
              </w:rPr>
            </w:pPr>
            <w:r>
              <w:rPr>
                <w:rFonts w:ascii="Arial" w:cs="Arial" w:eastAsia="Arial" w:hAnsi="Arial"/>
                <w:sz w:val="18"/>
                <w:szCs w:val="18"/>
                <w:color w:val="auto"/>
                <w:w w:val="88"/>
              </w:rPr>
              <w:t>Other payables and accrued expenses (including amounts due to a related-party of $ 2,247 as of March 31, 2018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and $2,118 as of December 31, 2017(note 11) (note 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Other long-term liabilities (note 9)</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Commitments and contingencies (Note 17)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820"/>
              <w:spacing w:after="0"/>
              <w:rPr>
                <w:sz w:val="20"/>
                <w:szCs w:val="20"/>
                <w:color w:val="auto"/>
              </w:rPr>
            </w:pPr>
            <w:r>
              <w:rPr>
                <w:rFonts w:ascii="Arial" w:cs="Arial" w:eastAsia="Arial" w:hAnsi="Arial"/>
                <w:sz w:val="18"/>
                <w:szCs w:val="18"/>
                <w:color w:val="auto"/>
                <w:w w:val="91"/>
              </w:rPr>
              <w:t>Common stock – Class A, with par value $0.0001: 100,000,000 shares authorized, 13,390,270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w w:val="92"/>
              </w:rPr>
              <w:t>and outstanding as of March 31, 2018; 100,000,000 shares authorized, 12,935,546 shares issued and outstanding as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December 31, 2017; (note 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Common stock – Class B, with par value $0.0001: 7,303,533 shares authorized and 2,409,738 shares issued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as of March 31, 2018 and 7,303,533 shares authorized and 2,409,738 shares issued and outstanding as of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(note 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23"/>
        </w:trPr>
        <w:tc>
          <w:tcPr>
            <w:tcW w:w="8820" w:type="dxa"/>
            <w:vAlign w:val="bottom"/>
          </w:tcPr>
          <w:p>
            <w:pPr>
              <w:ind w:left="8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43,002</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71,934</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56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Three Months ended March 31,</w:t>
            </w:r>
          </w:p>
        </w:tc>
      </w:tr>
      <w:tr>
        <w:trPr>
          <w:trHeight w:val="250"/>
        </w:trPr>
        <w:tc>
          <w:tcPr>
            <w:tcW w:w="88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35"/>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w w:val="90"/>
              </w:rPr>
              <w:t>(unaudited)</w:t>
            </w: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90"/>
              </w:rPr>
              <w:t>(unaudited)</w:t>
            </w: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86"/>
              </w:rPr>
              <w:t>(in thousands, except share and</w:t>
            </w:r>
          </w:p>
        </w:tc>
      </w:tr>
      <w:tr>
        <w:trPr>
          <w:trHeight w:val="223"/>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88"/>
              </w:rPr>
              <w:t>per share data)</w:t>
            </w:r>
          </w:p>
        </w:tc>
      </w:tr>
      <w:tr>
        <w:trPr>
          <w:trHeight w:val="217"/>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Total operating expenses,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income in net income of affiliates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 (note 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Net loss attributable to ACM Research, Inc.</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r>
      <w:tr>
        <w:trPr>
          <w:trHeight w:val="223"/>
        </w:trPr>
        <w:tc>
          <w:tcPr>
            <w:tcW w:w="88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(2,430)</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1140"/>
              <w:spacing w:after="0"/>
              <w:rPr>
                <w:sz w:val="20"/>
                <w:szCs w:val="20"/>
                <w:color w:val="auto"/>
              </w:rPr>
            </w:pPr>
            <w:r>
              <w:rPr>
                <w:rFonts w:ascii="Arial" w:cs="Arial" w:eastAsia="Arial" w:hAnsi="Arial"/>
                <w:sz w:val="18"/>
                <w:szCs w:val="18"/>
                <w:b w:val="1"/>
                <w:bCs w:val="1"/>
                <w:color w:val="auto"/>
              </w:rPr>
              <w:t>Total comprehensive loss attributable to ACM Research, Inc. (note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(2,061)</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common share (note 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 used in computing per share amounts (note 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15,383,086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shd w:val="clear" w:color="auto" w:fill="CCEEFF"/>
          </w:tcPr>
          <w:p>
            <w:pPr>
              <w:spacing w:after="0"/>
              <w:rPr>
                <w:sz w:val="18"/>
                <w:szCs w:val="18"/>
                <w:color w:val="auto"/>
              </w:rPr>
            </w:pPr>
          </w:p>
        </w:tc>
      </w:tr>
      <w:tr>
        <w:trPr>
          <w:trHeight w:val="431"/>
        </w:trPr>
        <w:tc>
          <w:tcPr>
            <w:tcW w:w="88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described under “Use of Non-GAAP Financial Measures” above, ACM Research presents non-GAAP gross margin, operating income and net income (loss) as supplemental measures to GAAP financial measures, each of which excludes stock-based compensation (“SBC”) from the equivalent GAAP financial line items. The following tables reconcile gross margin, operating income and net income (loss) to the related non-GAAP financial measures: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March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Actual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6"/>
              </w:rPr>
              <w:t>(GAAP)</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3"/>
              </w:rPr>
              <w:t>GAAP)</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(GAAP)</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(3,258)</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(1,904)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(2,175)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ACM Research,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105410</wp:posOffset>
            </wp:positionV>
            <wp:extent cx="92646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Second Quarter 2018 Results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FREMONT, California, August 7, 2018 (Globe Newswire) – ACM Research, Inc. (“ACM Research” or the “Company”) (NASDAQ:ACMR), a provider of single-wafer wet cleaning equipment used by manufacturers of advanced semiconductors, today reported financial results for its second fiscal quarter ended June 30, 2018.</w:t>
      </w:r>
    </w:p>
    <w:p>
      <w:pPr>
        <w:spacing w:after="0" w:line="12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ACM Research’s President and Chief Executive Officer Dr. David Wang commented, “Our business momentum accelerated in the second quarter, with record revenue, strong profitability, and new product development. We also made excellent progress on the capacity expansion at our new Shanghai facility, which is intended to support demand for many quarters to come.”</w:t>
      </w:r>
    </w:p>
    <w:p>
      <w:pPr>
        <w:spacing w:after="0" w:line="12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Dr. Wang continued, “We are thrilled with the market interest in our product offerings, as demonstrated by a purchase order from a new strategic DRAM customer announced during the quarter, and evaluation of our platforms by major global semiconductor manufacturers. ACM remains focused on its mission to become a significant player by producing the most advanced cleaning tools for the next generation of semiconductor manufacturing.”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Operating Highlights</w:t>
      </w:r>
    </w:p>
    <w:p>
      <w:pPr>
        <w:spacing w:after="0" w:line="158" w:lineRule="exact"/>
        <w:rPr>
          <w:sz w:val="20"/>
          <w:szCs w:val="20"/>
          <w:color w:val="auto"/>
        </w:rPr>
      </w:pPr>
    </w:p>
    <w:p>
      <w:pPr>
        <w:jc w:val="both"/>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Expanding Customer Base in Memory. </w:t>
      </w:r>
      <w:r>
        <w:rPr>
          <w:rFonts w:ascii="Arial" w:cs="Arial" w:eastAsia="Arial" w:hAnsi="Arial"/>
          <w:sz w:val="18"/>
          <w:szCs w:val="18"/>
          <w:color w:val="auto"/>
        </w:rPr>
        <w:t>ACM Research received a purchase order for wafer-cleaning tools based on its proprietary Space Alternated Phase</w:t>
      </w:r>
      <w:r>
        <w:rPr>
          <w:rFonts w:ascii="Arial" w:cs="Arial" w:eastAsia="Arial" w:hAnsi="Arial"/>
          <w:sz w:val="18"/>
          <w:szCs w:val="18"/>
          <w:b w:val="1"/>
          <w:bCs w:val="1"/>
          <w:color w:val="auto"/>
        </w:rPr>
        <w:t xml:space="preserve"> </w:t>
      </w:r>
      <w:r>
        <w:rPr>
          <w:rFonts w:ascii="Arial" w:cs="Arial" w:eastAsia="Arial" w:hAnsi="Arial"/>
          <w:sz w:val="18"/>
          <w:szCs w:val="18"/>
          <w:color w:val="auto"/>
        </w:rPr>
        <w:t>Shift (SAPS) technology from a leading manufacturer of DRAM memory chips in China. The Company intends to ship the initial SAPS tool in the third quarter of 2018, with revenue recognition in future periods upon qualification and acceptance. This platform can also support TEBO capability to enable the megasonic cleaning of pattern wafers.</w:t>
      </w:r>
    </w:p>
    <w:p>
      <w:pPr>
        <w:spacing w:after="0" w:line="122"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Capacity additions to support our growth objectives. </w:t>
      </w:r>
      <w:r>
        <w:rPr>
          <w:rFonts w:ascii="Arial" w:cs="Arial" w:eastAsia="Arial" w:hAnsi="Arial"/>
          <w:sz w:val="18"/>
          <w:szCs w:val="18"/>
          <w:color w:val="auto"/>
        </w:rPr>
        <w:t>During the second quarter, ACM Research completed the first phase of its capacity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at an additional facility in Shanghai, China. The $1.5 million investment has provided approximately 50,000 additional square feet of production space intended to support more than $250 million of revenue, when fully-tooled. Initial production is expected to begin in the third quarter of 2018, with a gradual ramp in future quarters.</w:t>
      </w:r>
    </w:p>
    <w:p>
      <w:pPr>
        <w:spacing w:after="0" w:line="122"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Strengthens Executive Leadership Team. </w:t>
      </w:r>
      <w:r>
        <w:rPr>
          <w:rFonts w:ascii="Arial" w:cs="Arial" w:eastAsia="Arial" w:hAnsi="Arial"/>
          <w:sz w:val="18"/>
          <w:szCs w:val="18"/>
          <w:color w:val="auto"/>
        </w:rPr>
        <w:t>The Company announced the appointment of Mark McKechnie as Vice President of Finance. McKechnie brings</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25 years of experience in product management, corporate finance, and public equity markets, and will lead ACM’s Financial Planning and Analysis (FP&amp;A), Investor Relations, Strategy, and Capital Markets efforts.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All figures refer to the second quarter of 2018, unless noted otherwise. All comparisons are with the second quarter of 2017, unless otherwise noted.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GAAP</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Non-GAAP(1)</w:t>
            </w: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Net income (loss) attributable to ACM Research, Inc.(2)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(144)</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r>
      <w:tr>
        <w:trPr>
          <w:trHeight w:val="222"/>
        </w:trPr>
        <w:tc>
          <w:tcPr>
            <w:tcW w:w="6060" w:type="dxa"/>
            <w:vAlign w:val="bottom"/>
          </w:tcPr>
          <w:p>
            <w:pPr>
              <w:ind w:left="340"/>
              <w:spacing w:after="0"/>
              <w:rPr>
                <w:sz w:val="20"/>
                <w:szCs w:val="20"/>
                <w:color w:val="auto"/>
              </w:rPr>
            </w:pPr>
            <w:r>
              <w:rPr>
                <w:rFonts w:ascii="Arial" w:cs="Arial" w:eastAsia="Arial" w:hAnsi="Arial"/>
                <w:sz w:val="18"/>
                <w:szCs w:val="18"/>
                <w:color w:val="auto"/>
              </w:rPr>
              <w:t>Diluted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(0.03)</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89"/>
              </w:rPr>
              <w:t>Six Months Ended June 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GAAP</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Non-GAAP(1)</w:t>
            </w: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Net income (loss) attributable to ACM Research, Inc.(2)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2,795</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(1,400)</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r>
      <w:tr>
        <w:trPr>
          <w:trHeight w:val="222"/>
        </w:trPr>
        <w:tc>
          <w:tcPr>
            <w:tcW w:w="6060" w:type="dxa"/>
            <w:vAlign w:val="bottom"/>
          </w:tcPr>
          <w:p>
            <w:pPr>
              <w:ind w:left="340"/>
              <w:spacing w:after="0"/>
              <w:rPr>
                <w:sz w:val="20"/>
                <w:szCs w:val="20"/>
                <w:color w:val="auto"/>
              </w:rPr>
            </w:pPr>
            <w:r>
              <w:rPr>
                <w:rFonts w:ascii="Arial" w:cs="Arial" w:eastAsia="Arial" w:hAnsi="Arial"/>
                <w:sz w:val="18"/>
                <w:szCs w:val="18"/>
                <w:color w:val="auto"/>
              </w:rPr>
              <w:t>Diluted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(0.28)</w:t>
            </w:r>
          </w:p>
        </w:tc>
      </w:tr>
    </w:tbl>
    <w:p>
      <w:pPr>
        <w:spacing w:after="0" w:line="201" w:lineRule="exact"/>
        <w:rPr>
          <w:sz w:val="20"/>
          <w:szCs w:val="20"/>
          <w:color w:val="auto"/>
        </w:rPr>
      </w:pPr>
    </w:p>
    <w:p>
      <w:pPr>
        <w:ind w:left="660" w:right="40" w:hanging="328"/>
        <w:spacing w:after="0" w:line="268"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Non-GAAP financial measures exclude stock-based compensation.</w:t>
      </w:r>
    </w:p>
    <w:p>
      <w:pPr>
        <w:spacing w:after="0" w:line="151"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138.2% to $20.9 million, due to increased volume of tools shipped, coupled with higher selling prices associated with the higher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equipment sold.</w:t>
      </w:r>
    </w:p>
    <w:p>
      <w:pPr>
        <w:spacing w:after="0" w:line="106"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41.8%, compared to 39.4% in the second quarter of 2017. The improvement in gross margin was due to better absorption of fixed costs</w:t>
      </w:r>
      <w:r>
        <w:rPr>
          <w:rFonts w:ascii="Arial" w:cs="Arial" w:eastAsia="Arial" w:hAnsi="Arial"/>
          <w:sz w:val="18"/>
          <w:szCs w:val="18"/>
          <w:b w:val="1"/>
          <w:bCs w:val="1"/>
          <w:color w:val="auto"/>
        </w:rPr>
        <w:t xml:space="preserve"> </w:t>
      </w:r>
      <w:r>
        <w:rPr>
          <w:rFonts w:ascii="Arial" w:cs="Arial" w:eastAsia="Arial" w:hAnsi="Arial"/>
          <w:sz w:val="18"/>
          <w:szCs w:val="18"/>
          <w:color w:val="auto"/>
        </w:rPr>
        <w:t>on higher product sales. Gross margin was within the Company’s long-term business model range of 40.0% to 45.0%. The Company expects gross margin to vary from period to period due to a variety of factors, such as sales volume and product mix.</w:t>
      </w:r>
    </w:p>
    <w:p>
      <w:pPr>
        <w:spacing w:after="0" w:line="118"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$6.4 million. Non-GAAP operating expense, which removes stock-based compensation, was $6.2 million, up 98%.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as a percent of revenue decreased to 30%, versus 36% in the second quarter of 2017.</w:t>
      </w:r>
    </w:p>
    <w:p>
      <w:pPr>
        <w:spacing w:after="0" w:line="106" w:lineRule="exact"/>
        <w:rPr>
          <w:rFonts w:ascii="Arial" w:cs="Arial" w:eastAsia="Arial" w:hAnsi="Arial"/>
          <w:sz w:val="18"/>
          <w:szCs w:val="18"/>
          <w:color w:val="auto"/>
        </w:rPr>
      </w:pPr>
    </w:p>
    <w:p>
      <w:pPr>
        <w:ind w:left="340" w:right="20" w:hanging="332"/>
        <w:spacing w:after="0" w:line="27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ACM Research, Inc. was $3.2 million. Non-GAAP net income was $3.4 million, versus a non-GAAP net loss of $0.1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2017.</w:t>
      </w:r>
    </w:p>
    <w:p>
      <w:pPr>
        <w:spacing w:after="0" w:line="106"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and equivalents at quarter end was $17.4 million, up from $15.2 million at the start of the quarter.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raised its full year 2018 revenue guidance to $70 million, an increase of $5 million versus its previous 2018 revenue guidance.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conference call to discuss results will be held today at 8:00 a.m. U.S Eastern Time (8:00 p.m. China Time). Dial-in details for the call are as follows. Please reference conference ID 5172047.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Phone Number</w:t>
            </w:r>
          </w:p>
        </w:tc>
        <w:tc>
          <w:tcPr>
            <w:tcW w:w="1360" w:type="dxa"/>
            <w:vAlign w:val="bottom"/>
          </w:tcPr>
          <w:p>
            <w:pPr>
              <w:spacing w:after="0"/>
              <w:rPr>
                <w:sz w:val="20"/>
                <w:szCs w:val="20"/>
                <w:color w:val="auto"/>
              </w:rPr>
            </w:pPr>
            <w:r>
              <w:rPr>
                <w:rFonts w:ascii="Arial" w:cs="Arial" w:eastAsia="Arial" w:hAnsi="Arial"/>
                <w:sz w:val="18"/>
                <w:szCs w:val="18"/>
                <w:b w:val="1"/>
                <w:bCs w:val="1"/>
                <w:color w:val="auto"/>
                <w:w w:val="89"/>
              </w:rPr>
              <w:t>Toll-Free Number</w:t>
            </w:r>
          </w:p>
        </w:tc>
      </w:tr>
      <w:tr>
        <w:trPr>
          <w:trHeight w:val="20"/>
        </w:trPr>
        <w:tc>
          <w:tcPr>
            <w:tcW w:w="354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4000" w:type="dxa"/>
            <w:vAlign w:val="bottom"/>
            <w:gridSpan w:val="3"/>
          </w:tcPr>
          <w:p>
            <w:pPr>
              <w:spacing w:after="0"/>
              <w:rPr>
                <w:sz w:val="20"/>
                <w:szCs w:val="20"/>
                <w:color w:val="auto"/>
              </w:rPr>
            </w:pPr>
            <w:r>
              <w:rPr>
                <w:rFonts w:ascii="Arial" w:cs="Arial" w:eastAsia="Arial" w:hAnsi="Arial"/>
                <w:sz w:val="18"/>
                <w:szCs w:val="18"/>
                <w:color w:val="auto"/>
              </w:rPr>
              <w:t>+1 (845) 675-0437</w:t>
            </w:r>
          </w:p>
        </w:tc>
        <w:tc>
          <w:tcPr>
            <w:tcW w:w="1360" w:type="dxa"/>
            <w:vAlign w:val="bottom"/>
          </w:tcPr>
          <w:p>
            <w:pPr>
              <w:spacing w:after="0"/>
              <w:rPr>
                <w:sz w:val="20"/>
                <w:szCs w:val="20"/>
                <w:color w:val="auto"/>
              </w:rPr>
            </w:pPr>
            <w:r>
              <w:rPr>
                <w:rFonts w:ascii="Arial" w:cs="Arial" w:eastAsia="Arial" w:hAnsi="Arial"/>
                <w:sz w:val="18"/>
                <w:szCs w:val="18"/>
                <w:color w:val="auto"/>
                <w:w w:val="90"/>
              </w:rPr>
              <w:t>+1 (866) 519-4004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Hong Kong</w:t>
            </w:r>
          </w:p>
        </w:tc>
        <w:tc>
          <w:tcPr>
            <w:tcW w:w="4000" w:type="dxa"/>
            <w:vAlign w:val="bottom"/>
            <w:gridSpan w:val="3"/>
          </w:tcPr>
          <w:p>
            <w:pPr>
              <w:spacing w:after="0"/>
              <w:rPr>
                <w:sz w:val="20"/>
                <w:szCs w:val="20"/>
                <w:color w:val="auto"/>
              </w:rPr>
            </w:pPr>
            <w:r>
              <w:rPr>
                <w:rFonts w:ascii="Arial" w:cs="Arial" w:eastAsia="Arial" w:hAnsi="Arial"/>
                <w:sz w:val="18"/>
                <w:szCs w:val="18"/>
                <w:color w:val="auto"/>
              </w:rPr>
              <w:t>+852 3018 6771</w:t>
            </w:r>
          </w:p>
        </w:tc>
        <w:tc>
          <w:tcPr>
            <w:tcW w:w="1360" w:type="dxa"/>
            <w:vAlign w:val="bottom"/>
          </w:tcPr>
          <w:p>
            <w:pPr>
              <w:spacing w:after="0"/>
              <w:rPr>
                <w:sz w:val="20"/>
                <w:szCs w:val="20"/>
                <w:color w:val="auto"/>
              </w:rPr>
            </w:pPr>
            <w:r>
              <w:rPr>
                <w:rFonts w:ascii="Arial" w:cs="Arial" w:eastAsia="Arial" w:hAnsi="Arial"/>
                <w:sz w:val="18"/>
                <w:szCs w:val="18"/>
                <w:color w:val="auto"/>
                <w:w w:val="98"/>
              </w:rPr>
              <w:t>+852 800906601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Mainland China</w:t>
            </w: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(800) 819 0121</w:t>
            </w:r>
          </w:p>
        </w:tc>
        <w:tc>
          <w:tcPr>
            <w:tcW w:w="13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(400) 620 8038</w:t>
            </w:r>
          </w:p>
        </w:tc>
        <w:tc>
          <w:tcPr>
            <w:tcW w:w="1360" w:type="dxa"/>
            <w:vAlign w:val="bottom"/>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Other International</w:t>
            </w:r>
          </w:p>
        </w:tc>
        <w:tc>
          <w:tcPr>
            <w:tcW w:w="300" w:type="dxa"/>
            <w:vAlign w:val="bottom"/>
          </w:tcPr>
          <w:p>
            <w:pPr>
              <w:spacing w:after="0"/>
              <w:rPr>
                <w:sz w:val="20"/>
                <w:szCs w:val="20"/>
                <w:color w:val="auto"/>
              </w:rPr>
            </w:pPr>
            <w:r>
              <w:rPr>
                <w:rFonts w:ascii="Arial" w:cs="Arial" w:eastAsia="Arial" w:hAnsi="Arial"/>
                <w:sz w:val="18"/>
                <w:szCs w:val="18"/>
                <w:color w:val="auto"/>
                <w:w w:val="91"/>
              </w:rPr>
              <w:t>+65</w:t>
            </w:r>
          </w:p>
        </w:tc>
        <w:tc>
          <w:tcPr>
            <w:tcW w:w="840" w:type="dxa"/>
            <w:vAlign w:val="bottom"/>
          </w:tcPr>
          <w:p>
            <w:pPr>
              <w:ind w:left="20"/>
              <w:spacing w:after="0"/>
              <w:rPr>
                <w:sz w:val="20"/>
                <w:szCs w:val="20"/>
                <w:color w:val="auto"/>
              </w:rPr>
            </w:pPr>
            <w:r>
              <w:rPr>
                <w:rFonts w:ascii="Arial" w:cs="Arial" w:eastAsia="Arial" w:hAnsi="Arial"/>
                <w:sz w:val="18"/>
                <w:szCs w:val="18"/>
                <w:color w:val="auto"/>
                <w:w w:val="93"/>
              </w:rPr>
              <w:t>6713 5090</w:t>
            </w:r>
          </w:p>
        </w:tc>
        <w:tc>
          <w:tcPr>
            <w:tcW w:w="28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37" w:lineRule="exact"/>
        <w:rPr>
          <w:sz w:val="20"/>
          <w:szCs w:val="20"/>
          <w:color w:val="auto"/>
        </w:rPr>
      </w:pPr>
    </w:p>
    <w:p>
      <w:pPr>
        <w:ind w:right="840"/>
        <w:spacing w:after="0" w:line="422" w:lineRule="auto"/>
        <w:rPr>
          <w:sz w:val="20"/>
          <w:szCs w:val="20"/>
          <w:color w:val="auto"/>
        </w:rPr>
      </w:pPr>
      <w:r>
        <w:rPr>
          <w:rFonts w:ascii="Arial" w:cs="Arial" w:eastAsia="Arial" w:hAnsi="Arial"/>
          <w:sz w:val="18"/>
          <w:szCs w:val="18"/>
          <w:color w:val="auto"/>
        </w:rPr>
        <w:t xml:space="preserve">A recording of the webcast will be available on the investor page of the ACM Research website at </w:t>
      </w:r>
      <w:r>
        <w:rPr>
          <w:rFonts w:ascii="Arial" w:cs="Arial" w:eastAsia="Arial" w:hAnsi="Arial"/>
          <w:sz w:val="18"/>
          <w:szCs w:val="18"/>
          <w:u w:val="single" w:color="auto"/>
          <w:color w:val="0563C1"/>
        </w:rPr>
        <w:t>www.acmrcsh.com</w:t>
      </w:r>
      <w:r>
        <w:rPr>
          <w:rFonts w:ascii="Arial" w:cs="Arial" w:eastAsia="Arial" w:hAnsi="Arial"/>
          <w:sz w:val="18"/>
          <w:szCs w:val="18"/>
          <w:color w:val="auto"/>
        </w:rPr>
        <w:t xml:space="preserve"> for one week following the call. </w:t>
      </w:r>
      <w:r>
        <w:rPr>
          <w:rFonts w:ascii="Arial" w:cs="Arial" w:eastAsia="Arial" w:hAnsi="Arial"/>
          <w:sz w:val="18"/>
          <w:szCs w:val="18"/>
          <w:b w:val="1"/>
          <w:bCs w:val="1"/>
          <w:u w:val="single" w:color="auto"/>
          <w:color w:val="auto"/>
        </w:rPr>
        <w:t>Use of Non-GAAP Financial Measures</w:t>
      </w:r>
    </w:p>
    <w:p>
      <w:pPr>
        <w:spacing w:after="0" w:line="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ACM Research presents non-GAAP gross margin, operating income (loss) and net loss as supplemental measures to GAAP financial measures regarding ACM Research’s operational performance. These supplemental measures exclude the impact of stock-based compensation, which ACM Research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ACM Research believes these non-GAAP financial measures are useful to investors in assessing its operating performance. ACM Research uses these financial measures internally to evaluate its operating performance and for planning and forecasting of future periods. Financial analysts may focus on and publish both historical results and future projections based on the non-GAAP financial measures. ACM Research also believes it is in the best interests of investors for ACM Research to provide this non-GAAP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ACM Research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 Research’s consolidated financial statements prepared in accordance with GAAP.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Information presented above under “Financial Summary—Gross Margin” with respect to the expected range of gross margin for the foreseeable future and under “Fiscal 2018 Revenue Outlook” contains forward-looking statements for purposes of the safe harbor provisions of the Private Securities Litigation Reform Act of 1995. Actual results may vary significantly from ACM Research’s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 Research’s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Research due to its substantial non-U.S. customer and supplier base and its substantial non-U.S. manufacturing operations. ACM Research cannot guarantee any future results, levels of activity, performance or achievements. ACM Research expressly disclaims any obligation to update forward-looking statements after the date of this press release.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16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49" w:lineRule="exact"/>
        <w:rPr>
          <w:sz w:val="20"/>
          <w:szCs w:val="20"/>
          <w:color w:val="auto"/>
        </w:rPr>
      </w:pPr>
    </w:p>
    <w:p>
      <w:pPr>
        <w:ind w:right="360" w:firstLine="8"/>
        <w:spacing w:after="0" w:line="268"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ACM Research, Inc. SAPS, TEBO and the ACM Research logo are trademarks of ACM Research, Inc. All rights reserved. Any other trademarks are the property of their respective owners.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2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20" w:type="dxa"/>
            <w:vAlign w:val="bottom"/>
            <w:tcBorders>
              <w:bottom w:val="single" w:sz="8" w:color="0563C1"/>
            </w:tcBorders>
            <w:gridSpan w:val="2"/>
          </w:tcPr>
          <w:p>
            <w:pPr>
              <w:spacing w:after="0" w:line="184" w:lineRule="exact"/>
              <w:rPr>
                <w:sz w:val="20"/>
                <w:szCs w:val="20"/>
                <w:color w:val="auto"/>
              </w:rPr>
            </w:pPr>
            <w:r>
              <w:rPr>
                <w:rFonts w:ascii="Arial" w:cs="Arial" w:eastAsia="Arial" w:hAnsi="Arial"/>
                <w:sz w:val="18"/>
                <w:szCs w:val="18"/>
                <w:i w:val="1"/>
                <w:iCs w:val="1"/>
                <w:color w:val="0563C1"/>
                <w:w w:val="89"/>
              </w:rPr>
              <w:t>ralph@blueshirtgroup.com</w:t>
            </w:r>
          </w:p>
        </w:tc>
      </w:tr>
      <w:tr>
        <w:trPr>
          <w:trHeight w:val="412"/>
        </w:trPr>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20" w:type="dxa"/>
            <w:vAlign w:val="bottom"/>
            <w:gridSpan w:val="2"/>
          </w:tcPr>
          <w:p>
            <w:pPr>
              <w:spacing w:after="0"/>
              <w:rPr>
                <w:sz w:val="20"/>
                <w:szCs w:val="20"/>
                <w:color w:val="auto"/>
              </w:rPr>
            </w:pPr>
            <w:r>
              <w:rPr>
                <w:rFonts w:ascii="Arial" w:cs="Arial" w:eastAsia="Arial" w:hAnsi="Arial"/>
                <w:sz w:val="18"/>
                <w:szCs w:val="18"/>
                <w:color w:val="auto"/>
                <w:w w:val="94"/>
              </w:rPr>
              <w:t>The Blueshirt Group Asia</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Borders>
              <w:bottom w:val="single" w:sz="8" w:color="0563C1"/>
            </w:tcBorders>
          </w:tcPr>
          <w:p>
            <w:pPr>
              <w:spacing w:after="0" w:line="184" w:lineRule="exact"/>
              <w:rPr>
                <w:sz w:val="20"/>
                <w:szCs w:val="20"/>
                <w:color w:val="auto"/>
              </w:rPr>
            </w:pPr>
            <w:r>
              <w:rPr>
                <w:rFonts w:ascii="Arial" w:cs="Arial" w:eastAsia="Arial" w:hAnsi="Arial"/>
                <w:sz w:val="18"/>
                <w:szCs w:val="18"/>
                <w:i w:val="1"/>
                <w:iCs w:val="1"/>
                <w:color w:val="0563C1"/>
                <w:w w:val="89"/>
              </w:rPr>
              <w:t>gary@blueshirtgroup.com</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June 30,</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December 31,</w:t>
            </w:r>
          </w:p>
        </w:tc>
      </w:tr>
      <w:tr>
        <w:trPr>
          <w:trHeight w:val="25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i w:val="1"/>
                <w:iCs w:val="1"/>
                <w:color w:val="auto"/>
                <w:w w:val="90"/>
              </w:rPr>
              <w:t>(unaudited)</w:t>
            </w: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0"/>
              </w:rPr>
              <w:t>(audited)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auto"/>
                <w:w w:val="85"/>
              </w:rPr>
              <w:t>(in thousands, except share and</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77"/>
              </w:rPr>
              <w:t>Assets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Accounts receivable, less allowance for doubtful accounts of $ nil as of June 30, 2018 and $ nil as of December 31, 2017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 term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87,833</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8"/>
              </w:rPr>
              <w:t>Liabilities and 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Advances from customers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42,236</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Common stock – Class A, par value $0.0001: 100,000,000 shares authorized as of June 30, 2018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2017. 13,957,339 shares issued and outstanding as of June 30, 2018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and 12,935,546 shares issued and outstanding as of December 31, 2017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Common stock–Class B, par value $0.0001: 7,303,533 shares authorized as of June 30, 2018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2017. 1,920,173 shares issued and outstanding as of June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30, 2018 and 2,409,738 shares issued and outstanding as of December 31, 2017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45,597</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87,833</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88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0"/>
                <w:szCs w:val="20"/>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center"/>
              <w:ind w:left="592"/>
              <w:spacing w:after="0"/>
              <w:rPr>
                <w:sz w:val="20"/>
                <w:szCs w:val="20"/>
                <w:color w:val="auto"/>
              </w:rPr>
            </w:pPr>
            <w:r>
              <w:rPr>
                <w:rFonts w:ascii="Arial" w:cs="Arial" w:eastAsia="Arial" w:hAnsi="Arial"/>
                <w:sz w:val="18"/>
                <w:szCs w:val="18"/>
                <w:i w:val="1"/>
                <w:iCs w:val="1"/>
                <w:color w:val="auto"/>
                <w:w w:val="91"/>
              </w:rPr>
              <w:t>(Unaudited)</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left="572"/>
              <w:spacing w:after="0"/>
              <w:rPr>
                <w:sz w:val="20"/>
                <w:szCs w:val="20"/>
                <w:color w:val="auto"/>
              </w:rPr>
            </w:pPr>
            <w:r>
              <w:rPr>
                <w:rFonts w:ascii="Arial" w:cs="Arial" w:eastAsia="Arial" w:hAnsi="Arial"/>
                <w:sz w:val="18"/>
                <w:szCs w:val="18"/>
                <w:i w:val="1"/>
                <w:iCs w:val="1"/>
                <w:color w:val="auto"/>
                <w:w w:val="91"/>
              </w:rPr>
              <w:t>(Unaudited)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8"/>
                <w:szCs w:val="18"/>
                <w:i w:val="1"/>
                <w:iCs w:val="1"/>
                <w:color w:val="auto"/>
                <w:w w:val="87"/>
              </w:rPr>
              <w:t>( in thousands, except share and</w:t>
            </w:r>
          </w:p>
        </w:tc>
        <w:tc>
          <w:tcPr>
            <w:tcW w:w="100" w:type="dxa"/>
            <w:vAlign w:val="bottom"/>
          </w:tcPr>
          <w:p>
            <w:pPr>
              <w:spacing w:after="0"/>
              <w:rPr>
                <w:sz w:val="18"/>
                <w:szCs w:val="18"/>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86"/>
              </w:rPr>
              <w:t>( in thousands, except share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8"/>
                <w:szCs w:val="18"/>
                <w:i w:val="1"/>
                <w:iCs w:val="1"/>
                <w:color w:val="auto"/>
                <w:w w:val="88"/>
              </w:rPr>
              <w:t>per share data)</w:t>
            </w:r>
          </w:p>
        </w:tc>
        <w:tc>
          <w:tcPr>
            <w:tcW w:w="100" w:type="dxa"/>
            <w:vAlign w:val="bottom"/>
          </w:tcPr>
          <w:p>
            <w:pPr>
              <w:spacing w:after="0"/>
              <w:rPr>
                <w:sz w:val="19"/>
                <w:szCs w:val="19"/>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i w:val="1"/>
                <w:iCs w:val="1"/>
                <w:color w:val="auto"/>
                <w:w w:val="88"/>
              </w:rPr>
              <w:t>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 net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b w:val="1"/>
                <w:bCs w:val="1"/>
                <w:color w:val="auto"/>
                <w:w w:val="94"/>
              </w:rPr>
              <w:t>Total comprehensive income (loss)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(loss) attributable to ACM Research, Inc. per common share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15,838,540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5,086,989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15,611,863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20"/>
              <w:spacing w:after="0"/>
              <w:rPr>
                <w:sz w:val="20"/>
                <w:szCs w:val="20"/>
                <w:color w:val="auto"/>
              </w:rPr>
            </w:pPr>
            <w:r>
              <w:rPr>
                <w:rFonts w:ascii="Arial" w:cs="Arial" w:eastAsia="Arial" w:hAnsi="Arial"/>
                <w:sz w:val="18"/>
                <w:szCs w:val="18"/>
                <w:color w:val="auto"/>
              </w:rPr>
              <w:t>Diluted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18,119,733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5,086,989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17,669,650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4,964,989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900" w:type="dxa"/>
            <w:vAlign w:val="bottom"/>
            <w:vMerge w:val="restart"/>
          </w:tcPr>
          <w:p>
            <w:pPr>
              <w:jc w:val="right"/>
              <w:ind w:right="172"/>
              <w:spacing w:after="0"/>
              <w:rPr>
                <w:sz w:val="20"/>
                <w:szCs w:val="20"/>
                <w:color w:val="auto"/>
              </w:rPr>
            </w:pPr>
            <w:r>
              <w:rPr>
                <w:rFonts w:ascii="Arial" w:cs="Arial" w:eastAsia="Arial" w:hAnsi="Arial"/>
                <w:sz w:val="18"/>
                <w:szCs w:val="18"/>
                <w:color w:val="auto"/>
              </w:rPr>
              <w:t>-6-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5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described under “Use of Non-GAAP Financial Measures” above, ACM Research presents non-GAAP gross margin, operating income and net income (loss) as supplemental measures to GAAP financial measures, each of which excludes stock-based compensation (“SBC”) from the equivalent GAAP financial line items. The following tables reconcile gross margin, operating income and net income (loss) to the related non-GAAP financial measures:</w:t>
      </w: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Actual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Actual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(GAAP)</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3"/>
              </w:rPr>
              <w:t>GAAP)</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(GAAP)</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(12,149)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(12,138)</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(5,312)</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2,331</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Actual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Actual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(GAAP)</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3"/>
              </w:rPr>
              <w:t>GAAP)</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(GAAP)</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(16,770)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(16,751)</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(8,570)</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(3,960)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(1,867)</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2)"/>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2019-12-28T19:13:06Z</dcterms:created>
  <dcterms:modified xsi:type="dcterms:W3CDTF">2019-12-28T19:13:06Z</dcterms:modified>
</cp:coreProperties>
</file>