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Liu Tracy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ACM Research,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was effected pursuant to a Rule 10b5-1 trading plan adopted by the reporting person.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L. Johnson,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Tracy Liu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2021-02-16T17:07:05Z</dcterms:created>
  <dcterms:modified xsi:type="dcterms:W3CDTF">2021-02-16T17:07:05Z</dcterms:modified>
</cp:coreProperties>
</file>