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206375</wp:posOffset>
            </wp:positionH>
            <wp:positionV relativeFrom="page">
              <wp:posOffset>821690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846455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 SECURITIES AND EXCHANGE COMMISSION</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 January 30, 2026</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ACM Research, Inc.</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255" w:lineRule="exact"/>
        <w:rPr>
          <w:sz w:val="24"/>
          <w:szCs w:val="24"/>
          <w:color w:val="auto"/>
        </w:rPr>
      </w:pPr>
    </w:p>
    <w:tbl>
      <w:tblPr>
        <w:tblLayout w:type="fixed"/>
        <w:tblInd w:w="280" w:type="dxa"/>
        <w:tblCellMar>
          <w:top w:w="0" w:type="dxa"/>
          <w:left w:w="0" w:type="dxa"/>
          <w:bottom w:w="0" w:type="dxa"/>
          <w:right w:w="0" w:type="dxa"/>
        </w:tblCellMar>
      </w:tblPr>
      <w:tr>
        <w:trPr>
          <w:trHeight w:val="230"/>
        </w:trPr>
        <w:tc>
          <w:tcPr>
            <w:tcW w:w="4160" w:type="dxa"/>
            <w:vAlign w:val="bottom"/>
          </w:tcPr>
          <w:p>
            <w:pPr>
              <w:jc w:val="center"/>
              <w:ind w:right="89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880" w:type="dxa"/>
            <w:vAlign w:val="bottom"/>
          </w:tcPr>
          <w:p>
            <w:pPr>
              <w:jc w:val="right"/>
              <w:ind w:right="1233"/>
              <w:spacing w:after="0"/>
              <w:rPr>
                <w:sz w:val="20"/>
                <w:szCs w:val="20"/>
                <w:color w:val="auto"/>
              </w:rPr>
            </w:pPr>
            <w:r>
              <w:rPr>
                <w:rFonts w:ascii="Times New Roman" w:cs="Times New Roman" w:eastAsia="Times New Roman" w:hAnsi="Times New Roman"/>
                <w:sz w:val="17"/>
                <w:szCs w:val="17"/>
                <w:b w:val="1"/>
                <w:bCs w:val="1"/>
                <w:color w:val="auto"/>
              </w:rPr>
              <w:t>001-38273</w:t>
            </w:r>
          </w:p>
        </w:tc>
        <w:tc>
          <w:tcPr>
            <w:tcW w:w="324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94-3290283</w:t>
            </w:r>
          </w:p>
        </w:tc>
      </w:tr>
      <w:tr>
        <w:trPr>
          <w:trHeight w:val="249"/>
        </w:trPr>
        <w:tc>
          <w:tcPr>
            <w:tcW w:w="4160" w:type="dxa"/>
            <w:vAlign w:val="bottom"/>
          </w:tcPr>
          <w:p>
            <w:pPr>
              <w:jc w:val="center"/>
              <w:ind w:right="873"/>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w:t>
            </w:r>
          </w:p>
        </w:tc>
        <w:tc>
          <w:tcPr>
            <w:tcW w:w="2880" w:type="dxa"/>
            <w:vAlign w:val="bottom"/>
          </w:tcPr>
          <w:p>
            <w:pPr>
              <w:jc w:val="center"/>
              <w:ind w:right="433"/>
              <w:spacing w:after="0"/>
              <w:rPr>
                <w:sz w:val="20"/>
                <w:szCs w:val="20"/>
                <w:color w:val="auto"/>
              </w:rPr>
            </w:pPr>
            <w:r>
              <w:rPr>
                <w:rFonts w:ascii="Times New Roman" w:cs="Times New Roman" w:eastAsia="Times New Roman" w:hAnsi="Times New Roman"/>
                <w:sz w:val="17"/>
                <w:szCs w:val="17"/>
                <w:i w:val="1"/>
                <w:iCs w:val="1"/>
                <w:color w:val="auto"/>
              </w:rPr>
              <w:t>(Commission File Number)</w:t>
            </w:r>
          </w:p>
        </w:tc>
        <w:tc>
          <w:tcPr>
            <w:tcW w:w="3240" w:type="dxa"/>
            <w:vAlign w:val="bottom"/>
          </w:tcPr>
          <w:p>
            <w:pPr>
              <w:jc w:val="center"/>
              <w:ind w:left="773"/>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tc>
      </w:tr>
      <w:tr>
        <w:trPr>
          <w:trHeight w:val="557"/>
        </w:trPr>
        <w:tc>
          <w:tcPr>
            <w:tcW w:w="4160" w:type="dxa"/>
            <w:vAlign w:val="bottom"/>
          </w:tcPr>
          <w:p>
            <w:pPr>
              <w:jc w:val="center"/>
              <w:ind w:left="813"/>
              <w:spacing w:after="0"/>
              <w:rPr>
                <w:sz w:val="20"/>
                <w:szCs w:val="20"/>
                <w:color w:val="auto"/>
              </w:rPr>
            </w:pPr>
            <w:r>
              <w:rPr>
                <w:rFonts w:ascii="Times New Roman" w:cs="Times New Roman" w:eastAsia="Times New Roman" w:hAnsi="Times New Roman"/>
                <w:sz w:val="17"/>
                <w:szCs w:val="17"/>
                <w:b w:val="1"/>
                <w:bCs w:val="1"/>
                <w:color w:val="auto"/>
              </w:rPr>
              <w:t>42307 Osgood Road, Suite I</w:t>
            </w:r>
          </w:p>
        </w:tc>
        <w:tc>
          <w:tcPr>
            <w:tcW w:w="28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43"/>
        </w:trPr>
        <w:tc>
          <w:tcPr>
            <w:tcW w:w="4160" w:type="dxa"/>
            <w:vAlign w:val="bottom"/>
          </w:tcPr>
          <w:p>
            <w:pPr>
              <w:jc w:val="center"/>
              <w:ind w:left="813"/>
              <w:spacing w:after="0"/>
              <w:rPr>
                <w:sz w:val="20"/>
                <w:szCs w:val="20"/>
                <w:color w:val="auto"/>
              </w:rPr>
            </w:pPr>
            <w:r>
              <w:rPr>
                <w:rFonts w:ascii="Times New Roman" w:cs="Times New Roman" w:eastAsia="Times New Roman" w:hAnsi="Times New Roman"/>
                <w:sz w:val="17"/>
                <w:szCs w:val="17"/>
                <w:b w:val="1"/>
                <w:bCs w:val="1"/>
                <w:color w:val="auto"/>
              </w:rPr>
              <w:t>Fremont, California</w:t>
            </w:r>
          </w:p>
        </w:tc>
        <w:tc>
          <w:tcPr>
            <w:tcW w:w="2880" w:type="dxa"/>
            <w:vAlign w:val="bottom"/>
          </w:tcPr>
          <w:p>
            <w:pPr>
              <w:spacing w:after="0"/>
              <w:rPr>
                <w:sz w:val="21"/>
                <w:szCs w:val="21"/>
                <w:color w:val="auto"/>
              </w:rPr>
            </w:pPr>
          </w:p>
        </w:tc>
        <w:tc>
          <w:tcPr>
            <w:tcW w:w="3240" w:type="dxa"/>
            <w:vAlign w:val="bottom"/>
          </w:tcPr>
          <w:p>
            <w:pPr>
              <w:jc w:val="right"/>
              <w:ind w:right="1833"/>
              <w:spacing w:after="0"/>
              <w:rPr>
                <w:sz w:val="20"/>
                <w:szCs w:val="20"/>
                <w:color w:val="auto"/>
              </w:rPr>
            </w:pPr>
            <w:r>
              <w:rPr>
                <w:rFonts w:ascii="Times New Roman" w:cs="Times New Roman" w:eastAsia="Times New Roman" w:hAnsi="Times New Roman"/>
                <w:sz w:val="17"/>
                <w:szCs w:val="17"/>
                <w:b w:val="1"/>
                <w:bCs w:val="1"/>
                <w:color w:val="auto"/>
              </w:rPr>
              <w:t>94539</w:t>
            </w:r>
          </w:p>
        </w:tc>
      </w:tr>
      <w:tr>
        <w:trPr>
          <w:trHeight w:val="249"/>
        </w:trPr>
        <w:tc>
          <w:tcPr>
            <w:tcW w:w="4160" w:type="dxa"/>
            <w:vAlign w:val="bottom"/>
          </w:tcPr>
          <w:p>
            <w:pPr>
              <w:jc w:val="center"/>
              <w:ind w:left="813"/>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tc>
        <w:tc>
          <w:tcPr>
            <w:tcW w:w="2880" w:type="dxa"/>
            <w:vAlign w:val="bottom"/>
          </w:tcPr>
          <w:p>
            <w:pPr>
              <w:spacing w:after="0"/>
              <w:rPr>
                <w:sz w:val="21"/>
                <w:szCs w:val="21"/>
                <w:color w:val="auto"/>
              </w:rPr>
            </w:pPr>
          </w:p>
        </w:tc>
        <w:tc>
          <w:tcPr>
            <w:tcW w:w="3240" w:type="dxa"/>
            <w:vAlign w:val="bottom"/>
          </w:tcPr>
          <w:p>
            <w:pPr>
              <w:jc w:val="center"/>
              <w:ind w:right="933"/>
              <w:spacing w:after="0"/>
              <w:rPr>
                <w:sz w:val="20"/>
                <w:szCs w:val="20"/>
                <w:color w:val="auto"/>
              </w:rPr>
            </w:pPr>
            <w:r>
              <w:rPr>
                <w:rFonts w:ascii="Times New Roman" w:cs="Times New Roman" w:eastAsia="Times New Roman" w:hAnsi="Times New Roman"/>
                <w:sz w:val="17"/>
                <w:szCs w:val="17"/>
                <w:i w:val="1"/>
                <w:iCs w:val="1"/>
                <w:color w:val="auto"/>
              </w:rPr>
              <w:t>(Zip Code)</w:t>
            </w:r>
          </w:p>
        </w:tc>
      </w:tr>
    </w:tbl>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(510) 445-3700</w:t>
      </w:r>
    </w:p>
    <w:p>
      <w:pPr>
        <w:spacing w:after="0" w:line="226" w:lineRule="exact"/>
        <w:rPr>
          <w:sz w:val="24"/>
          <w:szCs w:val="24"/>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20" w:hanging="398"/>
        <w:spacing w:after="0"/>
        <w:tabs>
          <w:tab w:leader="none" w:pos="4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53" w:lineRule="exact"/>
        <w:rPr>
          <w:rFonts w:ascii="Wingdings" w:cs="Wingdings" w:eastAsia="Wingdings" w:hAnsi="Wingdings"/>
          <w:sz w:val="17"/>
          <w:szCs w:val="17"/>
          <w:b w:val="1"/>
          <w:bCs w:val="1"/>
          <w:color w:val="auto"/>
        </w:rPr>
      </w:pPr>
    </w:p>
    <w:p>
      <w:pPr>
        <w:ind w:left="420" w:hanging="398"/>
        <w:spacing w:after="0"/>
        <w:tabs>
          <w:tab w:leader="none" w:pos="4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53" w:lineRule="exact"/>
        <w:rPr>
          <w:rFonts w:ascii="Wingdings" w:cs="Wingdings" w:eastAsia="Wingdings" w:hAnsi="Wingdings"/>
          <w:sz w:val="17"/>
          <w:szCs w:val="17"/>
          <w:b w:val="1"/>
          <w:bCs w:val="1"/>
          <w:color w:val="auto"/>
        </w:rPr>
      </w:pPr>
    </w:p>
    <w:p>
      <w:pPr>
        <w:ind w:left="420" w:hanging="398"/>
        <w:spacing w:after="0"/>
        <w:tabs>
          <w:tab w:leader="none" w:pos="4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53" w:lineRule="exact"/>
        <w:rPr>
          <w:rFonts w:ascii="Wingdings" w:cs="Wingdings" w:eastAsia="Wingdings" w:hAnsi="Wingdings"/>
          <w:sz w:val="17"/>
          <w:szCs w:val="17"/>
          <w:b w:val="1"/>
          <w:bCs w:val="1"/>
          <w:color w:val="auto"/>
        </w:rPr>
      </w:pPr>
    </w:p>
    <w:p>
      <w:pPr>
        <w:ind w:left="420" w:hanging="398"/>
        <w:spacing w:after="0"/>
        <w:tabs>
          <w:tab w:leader="none" w:pos="4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492"/>
        </w:trPr>
        <w:tc>
          <w:tcPr>
            <w:tcW w:w="36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center"/>
              <w:ind w:right="693"/>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1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05"/>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Class A Common Stock, par value $0.0001 per</w:t>
            </w:r>
          </w:p>
        </w:tc>
        <w:tc>
          <w:tcPr>
            <w:tcW w:w="3020" w:type="dxa"/>
            <w:vAlign w:val="bottom"/>
            <w:gridSpan w:val="2"/>
          </w:tcPr>
          <w:p>
            <w:pPr>
              <w:jc w:val="center"/>
              <w:ind w:right="860"/>
              <w:spacing w:after="0"/>
              <w:rPr>
                <w:sz w:val="20"/>
                <w:szCs w:val="20"/>
                <w:color w:val="auto"/>
              </w:rPr>
            </w:pPr>
            <w:r>
              <w:rPr>
                <w:rFonts w:ascii="Times New Roman" w:cs="Times New Roman" w:eastAsia="Times New Roman" w:hAnsi="Times New Roman"/>
                <w:sz w:val="17"/>
                <w:szCs w:val="17"/>
                <w:color w:val="auto"/>
              </w:rPr>
              <w:t>ACMR</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bl>
    <w:p>
      <w:pPr>
        <w:spacing w:after="0" w:line="297" w:lineRule="exact"/>
        <w:rPr>
          <w:sz w:val="24"/>
          <w:szCs w:val="24"/>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7"/>
          <w:szCs w:val="17"/>
          <w:b w:val="1"/>
          <w:bCs w:val="1"/>
          <w:color w:val="auto"/>
        </w:rPr>
        <w:t>o</w:t>
      </w:r>
    </w:p>
    <w:p>
      <w:pPr>
        <w:spacing w:after="0" w:line="146" w:lineRule="exact"/>
        <w:rPr>
          <w:sz w:val="24"/>
          <w:szCs w:val="24"/>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791210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137160</wp:posOffset>
            </wp:positionV>
            <wp:extent cx="7136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162560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8.01 Other Events.</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shares of the operating subsidiary of ACM Research, Inc. (the “Company”), ACM Research (Shanghai), Inc. (“ACM Shanghai”), are listed on the Sci-Tech innovation board of the Shanghai Stock Exchange (the “SSE”).</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January 30, 2026, ACM Shanghai issued a notice (the “Notice”) to the SSE that the Company intends to sell 4,801,648 shares (the “Shares”) of ACM Shanghai through an inquiry-based transfer plan (the “Plan”). The Shares represent approximately 1.34% of the Company’s ownership interest in ACM</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Shanghai and approximately 1% of the total shares outstanding of ACM Shanghai, each as of January 30, 2026. The Company intends to use the proceeds from sales of the Shares for general corporate purposes. The Notice was posted to the SSE’s website on January 30, 2026. A copy of the Notice is attached as Exhibit 99.1 hereto.</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the Company under the Securities Act of 1933, as amended.</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that involve risks and uncertainties. These risks and uncertainties include the number of Shares the Company may sell under the Plan (if any), the prices at which such Shares may be sold, the aggregate proceeds to the Company from such sales, market conditions, and other risks detailed from time to time in the Company’s periodic reports and other filings with the U.S. Securities and Exchange Commission. You are cautioned not to place undue reliance on forward-looking statements, which are based on the Company’s current intentions, expectations and assumptions and speak only as of the date of this Current Report on Form 8-K. The Company does not intend to revise or update any forward-looking statement in this Current Report on Form 8-K as a result of new information, future events or otherwise, except as required by law.</w:t>
      </w:r>
    </w:p>
    <w:p>
      <w:pPr>
        <w:spacing w:after="0" w:line="1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15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(d)</w:t>
        <w:tab/>
        <w:t>Exhibits.</w:t>
      </w:r>
    </w:p>
    <w:p>
      <w:pPr>
        <w:spacing w:after="0" w:line="220" w:lineRule="exact"/>
        <w:rPr>
          <w:sz w:val="20"/>
          <w:szCs w:val="20"/>
          <w:color w:val="auto"/>
        </w:rPr>
      </w:pPr>
    </w:p>
    <w:p>
      <w:pPr>
        <w:ind w:left="200"/>
        <w:spacing w:after="0"/>
        <w:tabs>
          <w:tab w:leader="none" w:pos="58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u w:val="single" w:color="auto"/>
          <w:color w:val="0000FF"/>
        </w:rPr>
        <w:t>99.1</w:t>
      </w:r>
      <w:r>
        <w:rPr>
          <w:rFonts w:ascii="Times New Roman" w:cs="Times New Roman" w:eastAsia="Times New Roman" w:hAnsi="Times New Roman"/>
          <w:sz w:val="16"/>
          <w:szCs w:val="16"/>
          <w:color w:val="000000"/>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ACM Research (Shanghai), Inc. Shareholder Inquiry-Based Transfer Plan, submitted by ACM Research, Inc. to the Shanghai Stock Exchange on January 30, 2026.</w:t>
      </w:r>
    </w:p>
    <w:p>
      <w:pPr>
        <w:spacing w:after="0" w:line="55" w:lineRule="exact"/>
        <w:rPr>
          <w:sz w:val="20"/>
          <w:szCs w:val="20"/>
          <w:color w:val="auto"/>
        </w:rPr>
      </w:pPr>
    </w:p>
    <w:p>
      <w:pPr>
        <w:sectPr>
          <w:pgSz w:w="11900" w:h="16838" w:orient="portrait"/>
          <w:cols w:equalWidth="0" w:num="2">
            <w:col w:w="620" w:space="600"/>
            <w:col w:w="10020"/>
          </w:cols>
          <w:pgMar w:left="320" w:top="1365" w:right="339" w:bottom="1440" w:gutter="0" w:footer="0" w:header="0"/>
          <w:type w:val="continuous"/>
        </w:sectPr>
      </w:pPr>
    </w:p>
    <w:p>
      <w:pPr>
        <w:jc w:val="right"/>
        <w:ind w:right="4860"/>
        <w:spacing w:after="0" w:line="191" w:lineRule="auto"/>
        <w:rPr>
          <w:sz w:val="20"/>
          <w:szCs w:val="20"/>
          <w:color w:val="auto"/>
        </w:rPr>
      </w:pPr>
      <w:r>
        <w:rPr>
          <w:rFonts w:ascii="Times New Roman" w:cs="Times New Roman" w:eastAsia="Times New Roman" w:hAnsi="Times New Roman"/>
          <w:sz w:val="15"/>
          <w:szCs w:val="15"/>
          <w:color w:val="auto"/>
        </w:rPr>
        <w:t>Cover Page Interactive Data File (embedded within the XBRL document)</w:t>
      </w:r>
    </w:p>
    <w:p>
      <w:pPr>
        <w:ind w:left="300"/>
        <w:spacing w:after="0"/>
        <w:rPr>
          <w:sz w:val="20"/>
          <w:szCs w:val="20"/>
          <w:color w:val="auto"/>
        </w:rPr>
      </w:pPr>
      <w:r>
        <w:rPr>
          <w:rFonts w:ascii="Times New Roman" w:cs="Times New Roman" w:eastAsia="Times New Roman" w:hAnsi="Times New Roman"/>
          <w:sz w:val="17"/>
          <w:szCs w:val="17"/>
          <w:color w:val="auto"/>
        </w:rPr>
        <w:t>104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Unofficial English translation of original document prepared in Mandarin Chinese.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6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ACM RESEARCH, INC.</w:t>
      </w:r>
    </w:p>
    <w:p>
      <w:pPr>
        <w:spacing w:after="0" w:line="390" w:lineRule="exact"/>
        <w:rPr>
          <w:sz w:val="20"/>
          <w:szCs w:val="20"/>
          <w:color w:val="auto"/>
        </w:rPr>
      </w:pPr>
    </w:p>
    <w:p>
      <w:pPr>
        <w:ind w:left="4100"/>
        <w:spacing w:after="0"/>
        <w:tabs>
          <w:tab w:leader="none" w:pos="45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Mark McKechnie</w:t>
      </w:r>
      <w:r>
        <w:rPr>
          <w:rFonts w:ascii="Times New Roman" w:cs="Times New Roman" w:eastAsia="Times New Roman" w:hAnsi="Times New Roman"/>
          <w:sz w:val="17"/>
          <w:szCs w:val="17"/>
          <w:color w:val="auto"/>
        </w:rPr>
        <w:t>________________________</w:t>
      </w:r>
    </w:p>
    <w:p>
      <w:pPr>
        <w:ind w:left="4280"/>
        <w:spacing w:after="0" w:line="225" w:lineRule="auto"/>
        <w:rPr>
          <w:sz w:val="20"/>
          <w:szCs w:val="20"/>
          <w:color w:val="auto"/>
        </w:rPr>
      </w:pPr>
      <w:r>
        <w:rPr>
          <w:rFonts w:ascii="Times New Roman" w:cs="Times New Roman" w:eastAsia="Times New Roman" w:hAnsi="Times New Roman"/>
          <w:sz w:val="17"/>
          <w:szCs w:val="17"/>
          <w:color w:val="auto"/>
        </w:rPr>
        <w:t>Mark McKechnie</w:t>
      </w:r>
    </w:p>
    <w:p>
      <w:pPr>
        <w:ind w:left="442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January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65" w:right="33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17"/>
          <w:szCs w:val="17"/>
          <w:color w:val="auto"/>
        </w:rPr>
        <w:t>Stock Code: 688082 Stock Short Name: ACM Shanghai </w:t>
      </w:r>
      <w:r>
        <w:rPr>
          <w:sz w:val="20"/>
          <w:szCs w:val="20"/>
          <w:color w:val="auto"/>
        </w:rPr>
        <w:tab/>
      </w:r>
      <w:r>
        <w:rPr>
          <w:rFonts w:ascii="Times New Roman" w:cs="Times New Roman" w:eastAsia="Times New Roman" w:hAnsi="Times New Roman"/>
          <w:sz w:val="16"/>
          <w:szCs w:val="16"/>
          <w:color w:val="auto"/>
        </w:rPr>
        <w:t>Announcement No: 2026-003</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31"/>
          <w:szCs w:val="31"/>
          <w:b w:val="1"/>
          <w:bCs w:val="1"/>
          <w:color w:val="FF0000"/>
        </w:rPr>
        <w:t>ACM Research (Shanghai), Inc.</w:t>
      </w:r>
    </w:p>
    <w:p>
      <w:pPr>
        <w:spacing w:after="0" w:line="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31"/>
          <w:szCs w:val="31"/>
          <w:b w:val="1"/>
          <w:bCs w:val="1"/>
          <w:color w:val="FF0000"/>
        </w:rPr>
        <w:t>Shareholder Inquiry-Based Transfer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262255</wp:posOffset>
            </wp:positionV>
            <wp:extent cx="6931025" cy="1440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1025" cy="144081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left="500" w:firstLine="420"/>
        <w:spacing w:after="0" w:line="361" w:lineRule="auto"/>
        <w:rPr>
          <w:sz w:val="20"/>
          <w:szCs w:val="20"/>
          <w:color w:val="auto"/>
        </w:rPr>
      </w:pPr>
      <w:r>
        <w:rPr>
          <w:rFonts w:ascii="Times New Roman" w:cs="Times New Roman" w:eastAsia="Times New Roman" w:hAnsi="Times New Roman"/>
          <w:sz w:val="21"/>
          <w:szCs w:val="21"/>
          <w:color w:val="auto"/>
        </w:rPr>
        <w:t>ACM RESEARCH, INC. (hereinafter referred to as “ACMR US” or the “Transferor”) warrants that the information provi to ACM Research (Shanghai), Inc. (hereinafter referred to as the “Company” or “ACM Shanghai”) contains no false recor misleading statements or material omissions, and is legally liable for its authenticity, accuracy and completeness thereof accordance with the law.</w:t>
      </w:r>
    </w:p>
    <w:p>
      <w:pPr>
        <w:spacing w:after="0" w:line="3" w:lineRule="exact"/>
        <w:rPr>
          <w:sz w:val="20"/>
          <w:szCs w:val="20"/>
          <w:color w:val="auto"/>
        </w:rPr>
      </w:pPr>
    </w:p>
    <w:p>
      <w:pPr>
        <w:jc w:val="both"/>
        <w:ind w:left="500" w:firstLine="420"/>
        <w:spacing w:after="0" w:line="398" w:lineRule="auto"/>
        <w:rPr>
          <w:sz w:val="20"/>
          <w:szCs w:val="20"/>
          <w:color w:val="auto"/>
        </w:rPr>
      </w:pPr>
      <w:r>
        <w:rPr>
          <w:rFonts w:ascii="Times New Roman" w:cs="Times New Roman" w:eastAsia="Times New Roman" w:hAnsi="Times New Roman"/>
          <w:sz w:val="21"/>
          <w:szCs w:val="21"/>
          <w:color w:val="auto"/>
        </w:rPr>
        <w:t>ACM Shanghai and all members of its Board of Directors hereby warrant that the content of this announcement is consist with the information provided by the person subject to disclosure obligations.</w:t>
      </w:r>
    </w:p>
    <w:p>
      <w:pPr>
        <w:spacing w:after="0" w:line="200" w:lineRule="exact"/>
        <w:rPr>
          <w:sz w:val="20"/>
          <w:szCs w:val="20"/>
          <w:color w:val="auto"/>
        </w:rPr>
      </w:pPr>
    </w:p>
    <w:p>
      <w:pPr>
        <w:spacing w:after="0" w:line="3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Important Notices:</w:t>
      </w:r>
    </w:p>
    <w:p>
      <w:pPr>
        <w:spacing w:after="0" w:line="274" w:lineRule="exact"/>
        <w:rPr>
          <w:sz w:val="20"/>
          <w:szCs w:val="20"/>
          <w:color w:val="auto"/>
        </w:rPr>
      </w:pPr>
    </w:p>
    <w:p>
      <w:pPr>
        <w:jc w:val="both"/>
        <w:ind w:right="100" w:firstLine="472"/>
        <w:spacing w:after="0" w:line="358" w:lineRule="auto"/>
        <w:rPr>
          <w:sz w:val="20"/>
          <w:szCs w:val="20"/>
          <w:color w:val="auto"/>
        </w:rPr>
      </w:pPr>
      <w:r>
        <w:rPr>
          <w:rFonts w:ascii="Times New Roman" w:cs="Times New Roman" w:eastAsia="Times New Roman" w:hAnsi="Times New Roman"/>
          <w:sz w:val="21"/>
          <w:szCs w:val="21"/>
          <w:color w:val="auto"/>
        </w:rPr>
        <w:t>The shareholder intending to participate in the pre-IPO inquiry-based transfer of ACM Shanghai (hereinafter referred to as the “Inquiry-Based Transfer”) is ACMR US;</w:t>
      </w:r>
    </w:p>
    <w:p>
      <w:pPr>
        <w:spacing w:after="0" w:line="1" w:lineRule="exact"/>
        <w:rPr>
          <w:sz w:val="20"/>
          <w:szCs w:val="20"/>
          <w:color w:val="auto"/>
        </w:rPr>
      </w:pPr>
    </w:p>
    <w:p>
      <w:pPr>
        <w:jc w:val="both"/>
        <w:ind w:right="100" w:firstLine="472"/>
        <w:spacing w:after="0" w:line="364" w:lineRule="auto"/>
        <w:rPr>
          <w:sz w:val="20"/>
          <w:szCs w:val="20"/>
          <w:color w:val="auto"/>
        </w:rPr>
      </w:pPr>
      <w:r>
        <w:rPr>
          <w:rFonts w:ascii="Times New Roman" w:cs="Times New Roman" w:eastAsia="Times New Roman" w:hAnsi="Times New Roman"/>
          <w:sz w:val="21"/>
          <w:szCs w:val="21"/>
          <w:color w:val="auto"/>
        </w:rPr>
        <w:t>The total number of shares intended to be transferred by the Transferor is 4,801,648 shares, representing 1.00% of the total share capital of ACM Shanghai;</w:t>
      </w:r>
    </w:p>
    <w:p>
      <w:pPr>
        <w:spacing w:after="0" w:line="2" w:lineRule="exact"/>
        <w:rPr>
          <w:sz w:val="20"/>
          <w:szCs w:val="20"/>
          <w:color w:val="auto"/>
        </w:rPr>
      </w:pPr>
    </w:p>
    <w:p>
      <w:pPr>
        <w:jc w:val="both"/>
        <w:ind w:right="100" w:firstLine="472"/>
        <w:spacing w:after="0" w:line="364" w:lineRule="auto"/>
        <w:rPr>
          <w:sz w:val="20"/>
          <w:szCs w:val="20"/>
          <w:color w:val="auto"/>
        </w:rPr>
      </w:pPr>
      <w:r>
        <w:rPr>
          <w:rFonts w:ascii="Times New Roman" w:cs="Times New Roman" w:eastAsia="Times New Roman" w:hAnsi="Times New Roman"/>
          <w:sz w:val="21"/>
          <w:szCs w:val="21"/>
          <w:color w:val="auto"/>
        </w:rPr>
        <w:t>The Inquiry-Based Transfer will not be conducted through centralized bidding trading or block trading and will not constitute a reduction of shares on the secondary market. Shares acquired by a transferee through the Inquiry-Based Transfer shall not be transferred within six (6) months after its acquisition thereof;</w:t>
      </w:r>
    </w:p>
    <w:p>
      <w:pPr>
        <w:spacing w:after="0" w:line="3" w:lineRule="exact"/>
        <w:rPr>
          <w:sz w:val="20"/>
          <w:szCs w:val="20"/>
          <w:color w:val="auto"/>
        </w:rPr>
      </w:pPr>
    </w:p>
    <w:p>
      <w:pPr>
        <w:jc w:val="both"/>
        <w:ind w:right="100" w:firstLine="472"/>
        <w:spacing w:after="0" w:line="385" w:lineRule="auto"/>
        <w:rPr>
          <w:sz w:val="20"/>
          <w:szCs w:val="20"/>
          <w:color w:val="auto"/>
        </w:rPr>
      </w:pPr>
      <w:r>
        <w:rPr>
          <w:rFonts w:ascii="Times New Roman" w:cs="Times New Roman" w:eastAsia="Times New Roman" w:hAnsi="Times New Roman"/>
          <w:sz w:val="21"/>
          <w:szCs w:val="21"/>
          <w:color w:val="auto"/>
        </w:rPr>
        <w:t>Each transferee of this Inquiry-Based Transfer shall be an institutional investor possessing corresponding pricing capability and risk tolerance.</w:t>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I. Details on the Shareholder Intending to Participate in the Transfer</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(I) Name, Number of Shares Held, and Shareholding Percentage of the Transferor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340"/>
          </w:cols>
          <w:pgMar w:left="320" w:top="125" w:right="239" w:bottom="1440" w:gutter="0" w:footer="0" w:header="0"/>
        </w:sectPr>
      </w:pPr>
    </w:p>
    <w:bookmarkStart w:id="4" w:name="page5"/>
    <w:bookmarkEnd w:id="4"/>
    <w:p>
      <w:pPr>
        <w:jc w:val="right"/>
        <w:ind w:right="100"/>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00" w:firstLine="420"/>
        <w:spacing w:after="0" w:line="381" w:lineRule="auto"/>
        <w:rPr>
          <w:sz w:val="20"/>
          <w:szCs w:val="20"/>
          <w:color w:val="auto"/>
        </w:rPr>
      </w:pPr>
      <w:r>
        <w:rPr>
          <w:rFonts w:ascii="Times New Roman" w:cs="Times New Roman" w:eastAsia="Times New Roman" w:hAnsi="Times New Roman"/>
          <w:sz w:val="21"/>
          <w:szCs w:val="21"/>
          <w:color w:val="auto"/>
        </w:rPr>
        <w:t>The Transferor has entrusted Guotai Haitong Securities Co., Ltd. (hereinafter referred to as “Guotai Haitong”) to organize and implement the Inquiry-Based Transfer. As of January 30, 2026, the number of pre-IPO shares held by the Transferor and its percentage of the total share capital in ACM Shanghai are as follows:</w:t>
      </w:r>
    </w:p>
    <w:p>
      <w:pPr>
        <w:spacing w:after="0" w:line="287" w:lineRule="exact"/>
        <w:rPr>
          <w:sz w:val="20"/>
          <w:szCs w:val="20"/>
          <w:color w:val="auto"/>
        </w:rPr>
      </w:pPr>
    </w:p>
    <w:tbl>
      <w:tblPr>
        <w:tblLayout w:type="fixed"/>
        <w:tblInd w:w="470" w:type="dxa"/>
        <w:tblCellMar>
          <w:top w:w="0" w:type="dxa"/>
          <w:left w:w="0" w:type="dxa"/>
          <w:bottom w:w="0" w:type="dxa"/>
          <w:right w:w="0" w:type="dxa"/>
        </w:tblCellMar>
      </w:tblPr>
      <w:tr>
        <w:trPr>
          <w:trHeight w:val="389"/>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S.N.</w:t>
            </w:r>
          </w:p>
        </w:tc>
        <w:tc>
          <w:tcPr>
            <w:tcW w:w="484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Name of the Shareholder Intending to Participate in the</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 of Shares Held (Shares)</w:t>
            </w: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of Total Share Capi</w:t>
            </w:r>
          </w:p>
        </w:tc>
      </w:tr>
      <w:tr>
        <w:trPr>
          <w:trHeight w:val="275"/>
        </w:trPr>
        <w:tc>
          <w:tcPr>
            <w:tcW w:w="1040" w:type="dxa"/>
            <w:vAlign w:val="bottom"/>
            <w:tcBorders>
              <w:left w:val="single" w:sz="8" w:color="auto"/>
              <w:right w:val="single" w:sz="8" w:color="auto"/>
            </w:tcBorders>
          </w:tcPr>
          <w:p>
            <w:pPr>
              <w:spacing w:after="0"/>
              <w:rPr>
                <w:sz w:val="23"/>
                <w:szCs w:val="23"/>
                <w:color w:val="auto"/>
              </w:rPr>
            </w:pP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Transfer</w:t>
            </w:r>
          </w:p>
        </w:tc>
        <w:tc>
          <w:tcPr>
            <w:tcW w:w="2760" w:type="dxa"/>
            <w:vAlign w:val="bottom"/>
            <w:tcBorders>
              <w:right w:val="single" w:sz="8" w:color="auto"/>
            </w:tcBorders>
          </w:tcPr>
          <w:p>
            <w:pPr>
              <w:spacing w:after="0"/>
              <w:rPr>
                <w:sz w:val="23"/>
                <w:szCs w:val="23"/>
                <w:color w:val="auto"/>
              </w:rPr>
            </w:pPr>
          </w:p>
        </w:tc>
        <w:tc>
          <w:tcPr>
            <w:tcW w:w="2240" w:type="dxa"/>
            <w:vAlign w:val="bottom"/>
          </w:tcPr>
          <w:p>
            <w:pPr>
              <w:spacing w:after="0"/>
              <w:rPr>
                <w:sz w:val="23"/>
                <w:szCs w:val="23"/>
                <w:color w:val="auto"/>
              </w:rPr>
            </w:pPr>
          </w:p>
        </w:tc>
      </w:tr>
      <w:tr>
        <w:trPr>
          <w:trHeight w:val="175"/>
        </w:trPr>
        <w:tc>
          <w:tcPr>
            <w:tcW w:w="1040" w:type="dxa"/>
            <w:vAlign w:val="bottom"/>
            <w:tcBorders>
              <w:left w:val="single" w:sz="8" w:color="auto"/>
              <w:bottom w:val="single" w:sz="8" w:color="auto"/>
              <w:right w:val="single" w:sz="8" w:color="auto"/>
            </w:tcBorders>
          </w:tcPr>
          <w:p>
            <w:pPr>
              <w:spacing w:after="0"/>
              <w:rPr>
                <w:sz w:val="15"/>
                <w:szCs w:val="15"/>
                <w:color w:val="auto"/>
              </w:rPr>
            </w:pPr>
          </w:p>
        </w:tc>
        <w:tc>
          <w:tcPr>
            <w:tcW w:w="4840" w:type="dxa"/>
            <w:vAlign w:val="bottom"/>
            <w:tcBorders>
              <w:bottom w:val="single" w:sz="8" w:color="auto"/>
              <w:right w:val="single" w:sz="8" w:color="auto"/>
            </w:tcBorders>
          </w:tcPr>
          <w:p>
            <w:pPr>
              <w:spacing w:after="0"/>
              <w:rPr>
                <w:sz w:val="15"/>
                <w:szCs w:val="15"/>
                <w:color w:val="auto"/>
              </w:rPr>
            </w:pPr>
          </w:p>
        </w:tc>
        <w:tc>
          <w:tcPr>
            <w:tcW w:w="276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r>
      <w:tr>
        <w:trPr>
          <w:trHeight w:val="235"/>
        </w:trPr>
        <w:tc>
          <w:tcPr>
            <w:tcW w:w="1040" w:type="dxa"/>
            <w:vAlign w:val="bottom"/>
            <w:tcBorders>
              <w:left w:val="single" w:sz="8" w:color="auto"/>
              <w:bottom w:val="single" w:sz="8" w:color="auto"/>
              <w:right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color w:val="auto"/>
              </w:rPr>
              <w:t>1</w:t>
            </w:r>
          </w:p>
        </w:tc>
        <w:tc>
          <w:tcPr>
            <w:tcW w:w="4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ACMR US</w:t>
            </w:r>
          </w:p>
        </w:tc>
        <w:tc>
          <w:tcPr>
            <w:tcW w:w="2760" w:type="dxa"/>
            <w:vAlign w:val="bottom"/>
            <w:tcBorders>
              <w:bottom w:val="single" w:sz="8" w:color="auto"/>
              <w:right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357,692,308</w:t>
            </w:r>
          </w:p>
        </w:tc>
        <w:tc>
          <w:tcPr>
            <w:tcW w:w="2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8"/>
                <w:szCs w:val="18"/>
                <w:color w:val="auto"/>
              </w:rPr>
              <w:t>74.49%</w:t>
            </w:r>
          </w:p>
        </w:tc>
      </w:tr>
    </w:tbl>
    <w:p>
      <w:pPr>
        <w:spacing w:after="0" w:line="20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9"/>
          <w:szCs w:val="19"/>
          <w:color w:val="auto"/>
        </w:rPr>
        <w:t>Note: The above shareholding percentage is calculated based on ACM Shanghai’s total share capital of 480,164,789 shares as of January 30, 2026.</w:t>
      </w:r>
    </w:p>
    <w:p>
      <w:pPr>
        <w:spacing w:after="0" w:line="200" w:lineRule="exact"/>
        <w:rPr>
          <w:sz w:val="20"/>
          <w:szCs w:val="20"/>
          <w:color w:val="auto"/>
        </w:rPr>
      </w:pPr>
    </w:p>
    <w:p>
      <w:pPr>
        <w:spacing w:after="0" w:line="257" w:lineRule="exact"/>
        <w:rPr>
          <w:sz w:val="20"/>
          <w:szCs w:val="20"/>
          <w:color w:val="auto"/>
        </w:rPr>
      </w:pPr>
    </w:p>
    <w:p>
      <w:pPr>
        <w:ind w:right="100" w:firstLine="426"/>
        <w:spacing w:after="0" w:line="493" w:lineRule="auto"/>
        <w:tabs>
          <w:tab w:leader="none" w:pos="795"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Whether the Transferor Is the Controlling Shareholder, the Actual Controller, a Shareholder Whose Shareholding Percentage Is More Than 5%, a Director or a Senior Management at ACM Shanghai</w:t>
      </w:r>
    </w:p>
    <w:p>
      <w:pPr>
        <w:spacing w:after="0" w:line="22" w:lineRule="exact"/>
        <w:rPr>
          <w:sz w:val="20"/>
          <w:szCs w:val="20"/>
          <w:color w:val="auto"/>
        </w:rPr>
      </w:pPr>
    </w:p>
    <w:p>
      <w:pPr>
        <w:jc w:val="both"/>
        <w:ind w:right="100" w:firstLine="420"/>
        <w:spacing w:after="0" w:line="376" w:lineRule="auto"/>
        <w:rPr>
          <w:sz w:val="20"/>
          <w:szCs w:val="20"/>
          <w:color w:val="auto"/>
        </w:rPr>
      </w:pPr>
      <w:r>
        <w:rPr>
          <w:rFonts w:ascii="Times New Roman" w:cs="Times New Roman" w:eastAsia="Times New Roman" w:hAnsi="Times New Roman"/>
          <w:sz w:val="21"/>
          <w:szCs w:val="21"/>
          <w:color w:val="auto"/>
        </w:rPr>
        <w:t>The Transferor, ACMR US, in the Inquiry-Based Transfer, is the controlling shareholder of ACM Shanghai, which is a company controlled by HUI WANG, the actual controller and Chairman of ACM Shanghai, and the Transferor in the Inquiry-Based Transfer is a person acting in concert with HUI WANG and Jian Wang, a Director and General Manager of ACM Shanghai, collectively holding more than 5% of the total share capital of ACM Shanghai.</w:t>
      </w:r>
    </w:p>
    <w:p>
      <w:pPr>
        <w:spacing w:after="0" w:line="135" w:lineRule="exact"/>
        <w:rPr>
          <w:sz w:val="20"/>
          <w:szCs w:val="20"/>
          <w:color w:val="auto"/>
        </w:rPr>
      </w:pPr>
    </w:p>
    <w:p>
      <w:pPr>
        <w:ind w:right="100" w:firstLine="426"/>
        <w:spacing w:after="0" w:line="480" w:lineRule="auto"/>
        <w:tabs>
          <w:tab w:leader="none" w:pos="8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Transferor’s Statement on Clear Title of Shares Intended to Be Transferred, Absence of Transfer Restrictions or Prohibitions, Compliance with Applicable Rules, and Its Commitments</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The Transferor represents that the shares held by the Transferor have been released from lock-up restrictions and possess clear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55" w:lineRule="exact"/>
        <w:rPr>
          <w:sz w:val="20"/>
          <w:szCs w:val="20"/>
          <w:color w:val="auto"/>
        </w:rPr>
      </w:pPr>
    </w:p>
    <w:p>
      <w:pPr>
        <w:ind w:right="100" w:firstLine="420"/>
        <w:spacing w:after="0" w:line="400" w:lineRule="auto"/>
        <w:rPr>
          <w:sz w:val="20"/>
          <w:szCs w:val="20"/>
          <w:color w:val="auto"/>
        </w:rPr>
      </w:pPr>
      <w:r>
        <w:rPr>
          <w:rFonts w:ascii="Times New Roman" w:cs="Times New Roman" w:eastAsia="Times New Roman" w:hAnsi="Times New Roman"/>
          <w:sz w:val="21"/>
          <w:szCs w:val="21"/>
          <w:color w:val="auto"/>
        </w:rPr>
        <w:t xml:space="preserve">The Transferor is not subject to any prohibition from reducing its shareholding in ACM Shanghai as set out in the </w:t>
      </w:r>
      <w:r>
        <w:rPr>
          <w:rFonts w:ascii="Times New Roman" w:cs="Times New Roman" w:eastAsia="Times New Roman" w:hAnsi="Times New Roman"/>
          <w:sz w:val="21"/>
          <w:szCs w:val="21"/>
          <w:i w:val="1"/>
          <w:iCs w:val="1"/>
          <w:color w:val="auto"/>
        </w:rPr>
        <w:t>Interim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Measures for the Administration of Shareholding Reduction by Shareholders of Listed Companies or the Guidelines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340"/>
          </w:cols>
          <w:pgMar w:left="320" w:top="230"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400" w:lineRule="auto"/>
        <w:rPr>
          <w:sz w:val="20"/>
          <w:szCs w:val="20"/>
          <w:color w:val="auto"/>
        </w:rPr>
      </w:pPr>
      <w:r>
        <w:rPr>
          <w:rFonts w:ascii="Times New Roman" w:cs="Times New Roman" w:eastAsia="Times New Roman" w:hAnsi="Times New Roman"/>
          <w:sz w:val="21"/>
          <w:szCs w:val="21"/>
          <w:i w:val="1"/>
          <w:iCs w:val="1"/>
          <w:color w:val="auto"/>
        </w:rPr>
        <w:t>15 of Shanghai Stock Exchange for Self-Regulation of Listed Companies-Shareholding Reduction by Shareholders, Directors and Senior Management (Revised March 2025)</w:t>
      </w:r>
      <w:r>
        <w:rPr>
          <w:rFonts w:ascii="Times New Roman" w:cs="Times New Roman" w:eastAsia="Times New Roman" w:hAnsi="Times New Roman"/>
          <w:sz w:val="21"/>
          <w:szCs w:val="21"/>
          <w:color w:val="auto"/>
        </w:rPr>
        <w:t>.</w:t>
      </w:r>
    </w:p>
    <w:p>
      <w:pPr>
        <w:spacing w:after="0" w:line="63" w:lineRule="exact"/>
        <w:rPr>
          <w:sz w:val="20"/>
          <w:szCs w:val="20"/>
          <w:color w:val="auto"/>
        </w:rPr>
      </w:pPr>
    </w:p>
    <w:p>
      <w:pPr>
        <w:jc w:val="both"/>
        <w:ind w:firstLine="420"/>
        <w:spacing w:after="0" w:line="373" w:lineRule="auto"/>
        <w:rPr>
          <w:sz w:val="20"/>
          <w:szCs w:val="20"/>
          <w:color w:val="auto"/>
        </w:rPr>
      </w:pPr>
      <w:r>
        <w:rPr>
          <w:rFonts w:ascii="Times New Roman" w:cs="Times New Roman" w:eastAsia="Times New Roman" w:hAnsi="Times New Roman"/>
          <w:sz w:val="21"/>
          <w:szCs w:val="21"/>
          <w:color w:val="auto"/>
        </w:rPr>
        <w:t xml:space="preserve">The timing of the Transferor initiating, implementing and participating in the Inquiry-Based Transfer does not fall within the window period specified in Article 6 of the </w:t>
      </w:r>
      <w:r>
        <w:rPr>
          <w:rFonts w:ascii="Times New Roman" w:cs="Times New Roman" w:eastAsia="Times New Roman" w:hAnsi="Times New Roman"/>
          <w:sz w:val="21"/>
          <w:szCs w:val="21"/>
          <w:i w:val="1"/>
          <w:iCs w:val="1"/>
          <w:color w:val="auto"/>
        </w:rPr>
        <w:t>Guidelines No. 4 of Shanghai Stock Exchange for Self-Regulation of Listed Companies 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the STAR Market—Inquiry-Based Transfers and Placement (Revised March 2025)</w:t>
      </w:r>
      <w:r>
        <w:rPr>
          <w:rFonts w:ascii="Times New Roman" w:cs="Times New Roman" w:eastAsia="Times New Roman" w:hAnsi="Times New Roman"/>
          <w:sz w:val="21"/>
          <w:szCs w:val="21"/>
          <w:color w:val="auto"/>
        </w:rPr>
        <w:t>. The Transferor is not subject to any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circumstances specified in Articles 7 and 8 of the </w:t>
      </w:r>
      <w:r>
        <w:rPr>
          <w:rFonts w:ascii="Times New Roman" w:cs="Times New Roman" w:eastAsia="Times New Roman" w:hAnsi="Times New Roman"/>
          <w:sz w:val="21"/>
          <w:szCs w:val="21"/>
          <w:i w:val="1"/>
          <w:iCs w:val="1"/>
          <w:color w:val="auto"/>
        </w:rPr>
        <w:t>Guidelines No. 15 of Shanghai Stock Exchange for Self-Regulation of Listed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Companies—Shareholding Reduction by Shareholders, Directors and Senior Management (Revised March 2025)</w:t>
      </w:r>
      <w:r>
        <w:rPr>
          <w:rFonts w:ascii="Times New Roman" w:cs="Times New Roman" w:eastAsia="Times New Roman" w:hAnsi="Times New Roman"/>
          <w:sz w:val="21"/>
          <w:szCs w:val="21"/>
          <w:color w:val="auto"/>
        </w:rPr>
        <w:t>.</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The Transferor has not breached any regulations concerning shareholding reduction or any of its commitments.</w:t>
      </w:r>
    </w:p>
    <w:p>
      <w:pPr>
        <w:spacing w:after="0" w:line="305" w:lineRule="exact"/>
        <w:rPr>
          <w:sz w:val="20"/>
          <w:szCs w:val="20"/>
          <w:color w:val="auto"/>
        </w:rPr>
      </w:pPr>
    </w:p>
    <w:p>
      <w:pPr>
        <w:ind w:firstLine="421"/>
        <w:spacing w:after="0" w:line="493" w:lineRule="auto"/>
        <w:rPr>
          <w:sz w:val="20"/>
          <w:szCs w:val="20"/>
          <w:color w:val="auto"/>
        </w:rPr>
      </w:pPr>
      <w:r>
        <w:rPr>
          <w:rFonts w:ascii="Times New Roman" w:cs="Times New Roman" w:eastAsia="Times New Roman" w:hAnsi="Times New Roman"/>
          <w:sz w:val="21"/>
          <w:szCs w:val="21"/>
          <w:b w:val="1"/>
          <w:bCs w:val="1"/>
          <w:color w:val="auto"/>
        </w:rPr>
        <w:t>(IV) Commitment of the Transferor Regarding Its Sufficient Pre-IPO Shares Available for Transfer and Strict Compliance with Relevant Obligations</w:t>
      </w:r>
    </w:p>
    <w:p>
      <w:pPr>
        <w:spacing w:after="0" w:line="22" w:lineRule="exact"/>
        <w:rPr>
          <w:sz w:val="20"/>
          <w:szCs w:val="20"/>
          <w:color w:val="auto"/>
        </w:rPr>
      </w:pPr>
    </w:p>
    <w:p>
      <w:pPr>
        <w:jc w:val="both"/>
        <w:ind w:firstLine="420"/>
        <w:spacing w:after="0" w:line="398" w:lineRule="auto"/>
        <w:rPr>
          <w:sz w:val="20"/>
          <w:szCs w:val="20"/>
          <w:color w:val="auto"/>
        </w:rPr>
      </w:pPr>
      <w:r>
        <w:rPr>
          <w:rFonts w:ascii="Times New Roman" w:cs="Times New Roman" w:eastAsia="Times New Roman" w:hAnsi="Times New Roman"/>
          <w:sz w:val="21"/>
          <w:szCs w:val="21"/>
          <w:color w:val="auto"/>
        </w:rPr>
        <w:t>The Transferor commits to having sufficient pre-IPO shares available for transfer and to strictly complying with all relevant obligations.</w:t>
      </w:r>
    </w:p>
    <w:p>
      <w:pPr>
        <w:spacing w:after="0" w:line="113" w:lineRule="exact"/>
        <w:rPr>
          <w:sz w:val="20"/>
          <w:szCs w:val="20"/>
          <w:color w:val="auto"/>
        </w:rPr>
      </w:pPr>
    </w:p>
    <w:p>
      <w:pPr>
        <w:ind w:left="700" w:hanging="274"/>
        <w:spacing w:after="0"/>
        <w:tabs>
          <w:tab w:leader="none" w:pos="70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Main Contents of the Inquiry-Based Transfer Plan</w:t>
      </w:r>
    </w:p>
    <w:p>
      <w:pPr>
        <w:spacing w:after="0" w:line="204" w:lineRule="exact"/>
        <w:rPr>
          <w:rFonts w:ascii="Times New Roman" w:cs="Times New Roman" w:eastAsia="Times New Roman" w:hAnsi="Times New Roman"/>
          <w:sz w:val="21"/>
          <w:szCs w:val="21"/>
          <w:b w:val="1"/>
          <w:bCs w:val="1"/>
          <w:color w:val="auto"/>
        </w:rPr>
      </w:pPr>
    </w:p>
    <w:p>
      <w:pPr>
        <w:ind w:left="4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 Basic Information of the Inquiry-Based Transfer</w:t>
      </w:r>
    </w:p>
    <w:p>
      <w:pPr>
        <w:spacing w:after="0" w:line="326" w:lineRule="exact"/>
        <w:rPr>
          <w:sz w:val="20"/>
          <w:szCs w:val="20"/>
          <w:color w:val="auto"/>
        </w:rPr>
      </w:pPr>
    </w:p>
    <w:p>
      <w:pPr>
        <w:ind w:firstLine="420"/>
        <w:spacing w:after="0" w:line="398" w:lineRule="auto"/>
        <w:rPr>
          <w:sz w:val="20"/>
          <w:szCs w:val="20"/>
          <w:color w:val="auto"/>
        </w:rPr>
      </w:pPr>
      <w:r>
        <w:rPr>
          <w:rFonts w:ascii="Times New Roman" w:cs="Times New Roman" w:eastAsia="Times New Roman" w:hAnsi="Times New Roman"/>
          <w:sz w:val="21"/>
          <w:szCs w:val="21"/>
          <w:color w:val="auto"/>
        </w:rPr>
        <w:t>The number of shares to be transferred in the Inquiry-Based Transfer shall be 4,801,648 shares, representing 1.00% of the total share capital of ACM Shanghai, and the reason for such transfer is the Transferor’s own capital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230" w:right="339" w:bottom="1440" w:gutter="0" w:footer="0" w:header="0"/>
        </w:sectPr>
      </w:pPr>
    </w:p>
    <w:bookmarkStart w:id="6" w:name="page7"/>
    <w:bookmarkEnd w:id="6"/>
    <w:p>
      <w:pPr>
        <w:jc w:val="right"/>
        <w:ind w:right="100"/>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30" w:type="dxa"/>
        <w:tblCellMar>
          <w:top w:w="0" w:type="dxa"/>
          <w:left w:w="0" w:type="dxa"/>
          <w:bottom w:w="0" w:type="dxa"/>
          <w:right w:w="0" w:type="dxa"/>
        </w:tblCellMar>
      </w:tblPr>
      <w:tr>
        <w:trPr>
          <w:trHeight w:val="423"/>
        </w:trPr>
        <w:tc>
          <w:tcPr>
            <w:tcW w:w="22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Shareholder</w:t>
            </w:r>
          </w:p>
        </w:tc>
        <w:tc>
          <w:tcPr>
            <w:tcW w:w="2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 Intended to be</w:t>
            </w:r>
          </w:p>
        </w:tc>
        <w:tc>
          <w:tcPr>
            <w:tcW w:w="20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Total</w:t>
            </w:r>
          </w:p>
        </w:tc>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Shares</w:t>
            </w:r>
          </w:p>
        </w:tc>
        <w:tc>
          <w:tcPr>
            <w:tcW w:w="1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Intending to Transfer</w:t>
            </w:r>
          </w:p>
        </w:tc>
        <w:tc>
          <w:tcPr>
            <w:tcW w:w="284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continue"/>
          </w:tcPr>
          <w:p>
            <w:pPr>
              <w:spacing w:after="0"/>
              <w:rPr>
                <w:sz w:val="13"/>
                <w:szCs w:val="13"/>
                <w:color w:val="auto"/>
              </w:rPr>
            </w:pPr>
          </w:p>
        </w:tc>
        <w:tc>
          <w:tcPr>
            <w:tcW w:w="2160" w:type="dxa"/>
            <w:vAlign w:val="bottom"/>
            <w:tcBorders>
              <w:right w:val="single" w:sz="8" w:color="auto"/>
            </w:tcBorders>
            <w:vMerge w:val="continue"/>
          </w:tcPr>
          <w:p>
            <w:pPr>
              <w:spacing w:after="0"/>
              <w:rPr>
                <w:sz w:val="13"/>
                <w:szCs w:val="13"/>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Reason for Transfe</w:t>
            </w:r>
          </w:p>
        </w:tc>
        <w:tc>
          <w:tcPr>
            <w:tcW w:w="0" w:type="dxa"/>
            <w:vAlign w:val="bottom"/>
          </w:tcPr>
          <w:p>
            <w:pPr>
              <w:spacing w:after="0"/>
              <w:rPr>
                <w:sz w:val="1"/>
                <w:szCs w:val="1"/>
                <w:color w:val="auto"/>
              </w:rPr>
            </w:pPr>
          </w:p>
        </w:tc>
      </w:tr>
      <w:tr>
        <w:trPr>
          <w:trHeight w:val="170"/>
        </w:trPr>
        <w:tc>
          <w:tcPr>
            <w:tcW w:w="2200" w:type="dxa"/>
            <w:vAlign w:val="bottom"/>
            <w:tcBorders>
              <w:left w:val="single" w:sz="8" w:color="auto"/>
              <w:right w:val="single" w:sz="8" w:color="auto"/>
            </w:tcBorders>
            <w:vMerge w:val="continue"/>
          </w:tcPr>
          <w:p>
            <w:pPr>
              <w:spacing w:after="0"/>
              <w:rPr>
                <w:sz w:val="14"/>
                <w:szCs w:val="14"/>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Transferred</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Held</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4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continue"/>
          </w:tcPr>
          <w:p>
            <w:pPr>
              <w:spacing w:after="0"/>
              <w:rPr>
                <w:sz w:val="13"/>
                <w:szCs w:val="13"/>
                <w:color w:val="auto"/>
              </w:rPr>
            </w:pPr>
          </w:p>
        </w:tc>
        <w:tc>
          <w:tcPr>
            <w:tcW w:w="2160" w:type="dxa"/>
            <w:vAlign w:val="bottom"/>
            <w:tcBorders>
              <w:right w:val="single" w:sz="8" w:color="auto"/>
            </w:tcBorders>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0" w:type="dxa"/>
            <w:vAlign w:val="bottom"/>
            <w:tcBorders>
              <w:left w:val="single" w:sz="8" w:color="auto"/>
              <w:right w:val="single" w:sz="8" w:color="auto"/>
            </w:tcBorders>
            <w:vMerge w:val="continue"/>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2160" w:type="dxa"/>
            <w:vAlign w:val="bottom"/>
            <w:tcBorders>
              <w:right w:val="single" w:sz="8" w:color="auto"/>
            </w:tcBorders>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0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ACMR US</w:t>
            </w: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4,801,648</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1.34%</w:t>
            </w:r>
          </w:p>
        </w:tc>
        <w:tc>
          <w:tcPr>
            <w:tcW w:w="17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Transferor’s own capi</w:t>
            </w:r>
          </w:p>
        </w:tc>
        <w:tc>
          <w:tcPr>
            <w:tcW w:w="0" w:type="dxa"/>
            <w:vAlign w:val="bottom"/>
          </w:tcPr>
          <w:p>
            <w:pPr>
              <w:spacing w:after="0"/>
              <w:rPr>
                <w:sz w:val="1"/>
                <w:szCs w:val="1"/>
                <w:color w:val="auto"/>
              </w:rPr>
            </w:pPr>
          </w:p>
        </w:tc>
      </w:tr>
      <w:tr>
        <w:trPr>
          <w:trHeight w:val="148"/>
        </w:trPr>
        <w:tc>
          <w:tcPr>
            <w:tcW w:w="2200" w:type="dxa"/>
            <w:vAlign w:val="bottom"/>
            <w:tcBorders>
              <w:left w:val="single" w:sz="8" w:color="auto"/>
              <w:right w:val="single" w:sz="8" w:color="auto"/>
            </w:tcBorders>
            <w:vMerge w:val="continue"/>
          </w:tcPr>
          <w:p>
            <w:pPr>
              <w:spacing w:after="0"/>
              <w:rPr>
                <w:sz w:val="12"/>
                <w:szCs w:val="12"/>
                <w:color w:val="auto"/>
              </w:rPr>
            </w:pPr>
          </w:p>
        </w:tc>
        <w:tc>
          <w:tcPr>
            <w:tcW w:w="2840" w:type="dxa"/>
            <w:vAlign w:val="bottom"/>
            <w:tcBorders>
              <w:right w:val="single" w:sz="8" w:color="auto"/>
            </w:tcBorders>
            <w:vMerge w:val="continue"/>
          </w:tcPr>
          <w:p>
            <w:pPr>
              <w:spacing w:after="0"/>
              <w:rPr>
                <w:sz w:val="12"/>
                <w:szCs w:val="12"/>
                <w:color w:val="auto"/>
              </w:rPr>
            </w:pPr>
          </w:p>
        </w:tc>
        <w:tc>
          <w:tcPr>
            <w:tcW w:w="200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1720" w:type="dxa"/>
            <w:vAlign w:val="bottom"/>
            <w:vMerge w:val="restart"/>
          </w:tcPr>
          <w:p>
            <w:pPr>
              <w:jc w:val="right"/>
              <w:ind w:right="408"/>
              <w:spacing w:after="0"/>
              <w:rPr>
                <w:sz w:val="20"/>
                <w:szCs w:val="20"/>
                <w:color w:val="auto"/>
              </w:rPr>
            </w:pPr>
            <w:r>
              <w:rPr>
                <w:rFonts w:ascii="Times New Roman" w:cs="Times New Roman" w:eastAsia="Times New Roman" w:hAnsi="Times New Roman"/>
                <w:sz w:val="18"/>
                <w:szCs w:val="18"/>
                <w:color w:val="auto"/>
              </w:rPr>
              <w:t>needs</w:t>
            </w:r>
          </w:p>
        </w:tc>
        <w:tc>
          <w:tcPr>
            <w:tcW w:w="0" w:type="dxa"/>
            <w:vAlign w:val="bottom"/>
          </w:tcPr>
          <w:p>
            <w:pPr>
              <w:spacing w:after="0"/>
              <w:rPr>
                <w:sz w:val="1"/>
                <w:szCs w:val="1"/>
                <w:color w:val="auto"/>
              </w:rPr>
            </w:pPr>
          </w:p>
        </w:tc>
      </w:tr>
      <w:tr>
        <w:trPr>
          <w:trHeight w:val="108"/>
        </w:trPr>
        <w:tc>
          <w:tcPr>
            <w:tcW w:w="2200" w:type="dxa"/>
            <w:vAlign w:val="bottom"/>
            <w:tcBorders>
              <w:left w:val="single" w:sz="8" w:color="auto"/>
              <w:bottom w:val="single" w:sz="8" w:color="auto"/>
              <w:right w:val="single" w:sz="8" w:color="auto"/>
            </w:tcBorders>
          </w:tcPr>
          <w:p>
            <w:pPr>
              <w:spacing w:after="0"/>
              <w:rPr>
                <w:sz w:val="9"/>
                <w:szCs w:val="9"/>
                <w:color w:val="auto"/>
              </w:rPr>
            </w:pPr>
          </w:p>
        </w:tc>
        <w:tc>
          <w:tcPr>
            <w:tcW w:w="284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100"/>
        <w:spacing w:after="0" w:line="296" w:lineRule="auto"/>
        <w:rPr>
          <w:sz w:val="20"/>
          <w:szCs w:val="20"/>
          <w:color w:val="auto"/>
        </w:rPr>
      </w:pPr>
      <w:r>
        <w:rPr>
          <w:rFonts w:ascii="Times New Roman" w:cs="Times New Roman" w:eastAsia="Times New Roman" w:hAnsi="Times New Roman"/>
          <w:sz w:val="18"/>
          <w:szCs w:val="18"/>
          <w:color w:val="auto"/>
        </w:rPr>
        <w:t>Note: Minor discrepancies in the above table result from rounding off. “Percentage of shares held” refers to the proportion of the shares intended to be transferred to the total number of shares held by ACMR US in ACM Shanghai as of January 30, 2026.</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(II) Basis for Determining the Floor Price and Principles and Methods for Determining the Transfer Price</w:t>
      </w:r>
    </w:p>
    <w:p>
      <w:pPr>
        <w:spacing w:after="0" w:line="326" w:lineRule="exact"/>
        <w:rPr>
          <w:sz w:val="20"/>
          <w:szCs w:val="20"/>
          <w:color w:val="auto"/>
        </w:rPr>
      </w:pPr>
    </w:p>
    <w:p>
      <w:pPr>
        <w:jc w:val="both"/>
        <w:ind w:right="100" w:firstLine="420"/>
        <w:spacing w:after="0" w:line="371" w:lineRule="auto"/>
        <w:rPr>
          <w:sz w:val="20"/>
          <w:szCs w:val="20"/>
          <w:color w:val="auto"/>
        </w:rPr>
      </w:pPr>
      <w:r>
        <w:rPr>
          <w:rFonts w:ascii="Times New Roman" w:cs="Times New Roman" w:eastAsia="Times New Roman" w:hAnsi="Times New Roman"/>
          <w:sz w:val="21"/>
          <w:szCs w:val="21"/>
          <w:color w:val="auto"/>
        </w:rPr>
        <w:t>The Transferor and the organizing securities company have jointly determined the floor price for the Inquiry-Based Transfer through consultation, taking into account factors such as the Transferor’s own capital needs, and the floor price of the Inquiry-Based Transfer shall not be lower than 70% of the average trading price of the shares over the 20 trading days preceding the date of issuance of the subscription invitation (i.e., January 30, 2026, inclusive).</w:t>
      </w:r>
    </w:p>
    <w:p>
      <w:pPr>
        <w:spacing w:after="0" w:line="107" w:lineRule="exact"/>
        <w:rPr>
          <w:sz w:val="20"/>
          <w:szCs w:val="20"/>
          <w:color w:val="auto"/>
        </w:rPr>
      </w:pPr>
    </w:p>
    <w:p>
      <w:pPr>
        <w:jc w:val="both"/>
        <w:ind w:right="100" w:firstLine="420"/>
        <w:spacing w:after="0" w:line="398" w:lineRule="auto"/>
        <w:rPr>
          <w:sz w:val="20"/>
          <w:szCs w:val="20"/>
          <w:color w:val="auto"/>
        </w:rPr>
      </w:pPr>
      <w:r>
        <w:rPr>
          <w:rFonts w:ascii="Times New Roman" w:cs="Times New Roman" w:eastAsia="Times New Roman" w:hAnsi="Times New Roman"/>
          <w:sz w:val="21"/>
          <w:szCs w:val="21"/>
          <w:color w:val="auto"/>
        </w:rPr>
        <w:t>Upon the end of the quotation period for the inquiry-based subscription, Guotai Haitong will accumulate valid subscriptions and determine the transfer price based on the principles of price priority, volume priority and time priority.</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The specific method is as follows:</w:t>
      </w:r>
    </w:p>
    <w:p>
      <w:pPr>
        <w:spacing w:after="0" w:line="270" w:lineRule="exact"/>
        <w:rPr>
          <w:sz w:val="20"/>
          <w:szCs w:val="20"/>
          <w:color w:val="auto"/>
        </w:rPr>
      </w:pPr>
    </w:p>
    <w:p>
      <w:pPr>
        <w:jc w:val="both"/>
        <w:ind w:right="100" w:firstLine="425"/>
        <w:spacing w:after="0" w:line="381" w:lineRule="auto"/>
        <w:tabs>
          <w:tab w:leader="none" w:pos="65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total number of shares validly subscribed exceeds the upper limit of shares in the Inquiry-Based Transfer, then the transfer price, subscribers, and allocated number of shares shall be determined based on the following principles (the priority shall be determined in the order of serial numbers below):</w:t>
      </w:r>
    </w:p>
    <w:p>
      <w:pPr>
        <w:spacing w:after="0" w:line="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(1) Priority of subscription price: ranking on a cumulative basis based on the descending order of bid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340"/>
          </w:cols>
          <w:pgMar w:left="320" w:top="230" w:right="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425"/>
        <w:spacing w:after="0" w:line="398" w:lineRule="auto"/>
        <w:tabs>
          <w:tab w:leader="none" w:pos="73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Priority of number of shares subscribed: if bid prices are identical, ranking on a cumulative basis based on the descending order of number of shares subscribed;</w:t>
      </w:r>
    </w:p>
    <w:p>
      <w:pPr>
        <w:spacing w:after="0" w:line="62" w:lineRule="exact"/>
        <w:rPr>
          <w:rFonts w:ascii="Times New Roman" w:cs="Times New Roman" w:eastAsia="Times New Roman" w:hAnsi="Times New Roman"/>
          <w:sz w:val="21"/>
          <w:szCs w:val="21"/>
          <w:color w:val="auto"/>
        </w:rPr>
      </w:pPr>
    </w:p>
    <w:p>
      <w:pPr>
        <w:jc w:val="both"/>
        <w:ind w:firstLine="425"/>
        <w:spacing w:after="0" w:line="382" w:lineRule="auto"/>
        <w:tabs>
          <w:tab w:leader="none" w:pos="754"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Priority of timing for receipt of </w:t>
      </w:r>
      <w:r>
        <w:rPr>
          <w:rFonts w:ascii="Times New Roman" w:cs="Times New Roman" w:eastAsia="Times New Roman" w:hAnsi="Times New Roman"/>
          <w:sz w:val="21"/>
          <w:szCs w:val="21"/>
          <w:i w:val="1"/>
          <w:iCs w:val="1"/>
          <w:color w:val="auto"/>
        </w:rPr>
        <w:t>Subscription Quotation Form</w:t>
      </w:r>
      <w:r>
        <w:rPr>
          <w:rFonts w:ascii="Times New Roman" w:cs="Times New Roman" w:eastAsia="Times New Roman" w:hAnsi="Times New Roman"/>
          <w:sz w:val="21"/>
          <w:szCs w:val="21"/>
          <w:color w:val="auto"/>
        </w:rPr>
        <w:t xml:space="preserve">: if both bid prices and number of shares subscribed are identical, ranking on a cumulative basis based on the time of receipt of </w:t>
      </w:r>
      <w:r>
        <w:rPr>
          <w:rFonts w:ascii="Times New Roman" w:cs="Times New Roman" w:eastAsia="Times New Roman" w:hAnsi="Times New Roman"/>
          <w:sz w:val="21"/>
          <w:szCs w:val="21"/>
          <w:i w:val="1"/>
          <w:iCs w:val="1"/>
          <w:color w:val="auto"/>
        </w:rPr>
        <w:t>Subscription Quotation Form</w:t>
      </w:r>
      <w:r>
        <w:rPr>
          <w:rFonts w:ascii="Times New Roman" w:cs="Times New Roman" w:eastAsia="Times New Roman" w:hAnsi="Times New Roman"/>
          <w:sz w:val="21"/>
          <w:szCs w:val="21"/>
          <w:color w:val="auto"/>
        </w:rPr>
        <w:t xml:space="preserve"> in the chronological order from the earliest to the latest, with earlier valid subscriptions being prioritized for allocation.</w:t>
      </w:r>
    </w:p>
    <w:p>
      <w:pPr>
        <w:spacing w:after="0" w:line="95" w:lineRule="exact"/>
        <w:rPr>
          <w:sz w:val="20"/>
          <w:szCs w:val="20"/>
          <w:color w:val="auto"/>
        </w:rPr>
      </w:pPr>
    </w:p>
    <w:p>
      <w:pPr>
        <w:ind w:firstLine="420"/>
        <w:spacing w:after="0" w:line="398" w:lineRule="auto"/>
        <w:rPr>
          <w:sz w:val="20"/>
          <w:szCs w:val="20"/>
          <w:color w:val="auto"/>
        </w:rPr>
      </w:pPr>
      <w:r>
        <w:rPr>
          <w:rFonts w:ascii="Times New Roman" w:cs="Times New Roman" w:eastAsia="Times New Roman" w:hAnsi="Times New Roman"/>
          <w:sz w:val="21"/>
          <w:szCs w:val="21"/>
          <w:color w:val="auto"/>
        </w:rPr>
        <w:t>When the total number of shares validly subscribed equals to or first exceeds 4,801,648 shares, the lowest subscription price of valid subscriptions on a cumulative basis shall be the price of the Inquiry-Based Transfer.</w:t>
      </w:r>
    </w:p>
    <w:p>
      <w:pPr>
        <w:spacing w:after="0" w:line="65" w:lineRule="exact"/>
        <w:rPr>
          <w:sz w:val="20"/>
          <w:szCs w:val="20"/>
          <w:color w:val="auto"/>
        </w:rPr>
      </w:pPr>
    </w:p>
    <w:p>
      <w:pPr>
        <w:ind w:firstLine="425"/>
        <w:spacing w:after="0" w:line="398" w:lineRule="auto"/>
        <w:tabs>
          <w:tab w:leader="none" w:pos="63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total number of shares validly subscribed by inquiry participants on a cumulative basis is less than 4,801,648 shares, the lowest quotation price of all valid subscriptions shall be determined as the price of the Inquiry-Based Transfer.</w:t>
      </w:r>
    </w:p>
    <w:p>
      <w:pPr>
        <w:spacing w:after="0" w:line="113" w:lineRule="exact"/>
        <w:rPr>
          <w:rFonts w:ascii="Times New Roman" w:cs="Times New Roman" w:eastAsia="Times New Roman" w:hAnsi="Times New Roman"/>
          <w:sz w:val="21"/>
          <w:szCs w:val="21"/>
          <w:color w:val="auto"/>
        </w:rPr>
      </w:pPr>
    </w:p>
    <w:p>
      <w:pPr>
        <w:ind w:left="860" w:hanging="434"/>
        <w:spacing w:after="0"/>
        <w:tabs>
          <w:tab w:leader="none" w:pos="860" w:val="left"/>
        </w:tabs>
        <w:numPr>
          <w:ilvl w:val="1"/>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The Securities Company Entrusted to Organize and Implement The Inquiry-Based Transfer Is Guotai Haitong</w:t>
      </w:r>
    </w:p>
    <w:p>
      <w:pPr>
        <w:spacing w:after="0" w:line="3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Contact Department: Guotai Haitong Capital Markets Department</w:t>
      </w:r>
    </w:p>
    <w:p>
      <w:pPr>
        <w:spacing w:after="0" w:line="2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 xml:space="preserve">Project Email: </w:t>
      </w:r>
      <w:r>
        <w:rPr>
          <w:rFonts w:ascii="Times New Roman" w:cs="Times New Roman" w:eastAsia="Times New Roman" w:hAnsi="Times New Roman"/>
          <w:sz w:val="21"/>
          <w:szCs w:val="21"/>
          <w:u w:val="single" w:color="auto"/>
          <w:color w:val="0563C1"/>
        </w:rPr>
        <w:t>ibd_ecmacmr@gtht.com</w:t>
      </w:r>
    </w:p>
    <w:p>
      <w:pPr>
        <w:spacing w:after="0" w:line="2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Contact and Inquiry Phone Number: 021-38032666</w:t>
      </w: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(IV) Eligibility Criteria for Investors Participating in the Transfer</w:t>
      </w:r>
    </w:p>
    <w:p>
      <w:pPr>
        <w:spacing w:after="0" w:line="326" w:lineRule="exact"/>
        <w:rPr>
          <w:sz w:val="20"/>
          <w:szCs w:val="20"/>
          <w:color w:val="auto"/>
        </w:rPr>
      </w:pPr>
    </w:p>
    <w:p>
      <w:pPr>
        <w:ind w:firstLine="420"/>
        <w:spacing w:after="0" w:line="398" w:lineRule="auto"/>
        <w:rPr>
          <w:sz w:val="20"/>
          <w:szCs w:val="20"/>
          <w:color w:val="auto"/>
        </w:rPr>
      </w:pPr>
      <w:r>
        <w:rPr>
          <w:rFonts w:ascii="Times New Roman" w:cs="Times New Roman" w:eastAsia="Times New Roman" w:hAnsi="Times New Roman"/>
          <w:sz w:val="21"/>
          <w:szCs w:val="21"/>
          <w:color w:val="auto"/>
        </w:rPr>
        <w:t>The transferees of the Inquiry-Based Transfer shall be institutional investors possessing corresponding pricing capabilities and risk tolerance, including:</w:t>
      </w:r>
    </w:p>
    <w:p>
      <w:pPr>
        <w:spacing w:after="0" w:line="65" w:lineRule="exact"/>
        <w:rPr>
          <w:sz w:val="20"/>
          <w:szCs w:val="20"/>
          <w:color w:val="auto"/>
        </w:rPr>
      </w:pPr>
    </w:p>
    <w:p>
      <w:pPr>
        <w:jc w:val="both"/>
        <w:ind w:firstLine="425"/>
        <w:spacing w:after="0" w:line="373" w:lineRule="auto"/>
        <w:tabs>
          <w:tab w:leader="none" w:pos="685"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Institutional investors meeting the eligibility criteria for offline investors in initial public offerings as set out in the </w:t>
      </w:r>
      <w:r>
        <w:rPr>
          <w:rFonts w:ascii="Times New Roman" w:cs="Times New Roman" w:eastAsia="Times New Roman" w:hAnsi="Times New Roman"/>
          <w:sz w:val="21"/>
          <w:szCs w:val="21"/>
          <w:i w:val="1"/>
          <w:iCs w:val="1"/>
          <w:color w:val="auto"/>
        </w:rPr>
        <w:t>Implementation Rules of Shanghai Stock Exchange for the Offering and Underwriting of Securities in Initial Public Offerings (Revised 2025)</w:t>
      </w:r>
      <w:r>
        <w:rPr>
          <w:rFonts w:ascii="Times New Roman" w:cs="Times New Roman" w:eastAsia="Times New Roman" w:hAnsi="Times New Roman"/>
          <w:sz w:val="21"/>
          <w:szCs w:val="21"/>
          <w:color w:val="auto"/>
        </w:rPr>
        <w:t>, or other institutional investors specified by the Shanghai Stock Exchange (including products under their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management), i.e., securities companies, fund management companies, futures companies, trust companies, wealth management companies, insurance companies, finance companies, qualified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23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institutional investors, private fund managers and other professional institutional investors;</w:t>
      </w:r>
    </w:p>
    <w:p>
      <w:pPr>
        <w:spacing w:after="0" w:line="270" w:lineRule="exact"/>
        <w:rPr>
          <w:sz w:val="20"/>
          <w:szCs w:val="20"/>
          <w:color w:val="auto"/>
        </w:rPr>
      </w:pPr>
    </w:p>
    <w:p>
      <w:pPr>
        <w:jc w:val="both"/>
        <w:ind w:firstLine="425"/>
        <w:spacing w:after="0" w:line="375" w:lineRule="auto"/>
        <w:tabs>
          <w:tab w:leader="none" w:pos="642"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Private fund managers, other than the professional institutional investors specified in the preceding paragraph, provided that they have completed registration with the Asset Management Association of China (and the products under their management intended to participate in the Inquiry-Based Transfer have completed filing with the Asset Management Association of China).</w:t>
      </w:r>
    </w:p>
    <w:p>
      <w:pPr>
        <w:spacing w:after="0" w:line="136" w:lineRule="exact"/>
        <w:rPr>
          <w:rFonts w:ascii="Times New Roman" w:cs="Times New Roman" w:eastAsia="Times New Roman" w:hAnsi="Times New Roman"/>
          <w:sz w:val="21"/>
          <w:szCs w:val="21"/>
          <w:color w:val="auto"/>
        </w:rPr>
      </w:pPr>
    </w:p>
    <w:p>
      <w:pPr>
        <w:ind w:firstLine="426"/>
        <w:spacing w:after="0" w:line="493" w:lineRule="auto"/>
        <w:tabs>
          <w:tab w:leader="none" w:pos="793" w:val="left"/>
        </w:tabs>
        <w:numPr>
          <w:ilvl w:val="1"/>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Whether There Exists Any Operational Risks, Change of Control, or Other Material Matters in Respect of ACM Shanghai</w:t>
      </w:r>
    </w:p>
    <w:p>
      <w:pPr>
        <w:spacing w:after="0" w:line="20" w:lineRule="exact"/>
        <w:rPr>
          <w:sz w:val="20"/>
          <w:szCs w:val="20"/>
          <w:color w:val="auto"/>
        </w:rPr>
      </w:pPr>
    </w:p>
    <w:p>
      <w:pPr>
        <w:ind w:firstLine="425"/>
        <w:spacing w:after="0" w:line="400" w:lineRule="auto"/>
        <w:tabs>
          <w:tab w:leader="none" w:pos="729"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ACM Shanghai has no operational risks that shall be disclosed as set out in Section 2 of Chapter 8 of the </w:t>
      </w:r>
      <w:r>
        <w:rPr>
          <w:rFonts w:ascii="Times New Roman" w:cs="Times New Roman" w:eastAsia="Times New Roman" w:hAnsi="Times New Roman"/>
          <w:sz w:val="21"/>
          <w:szCs w:val="21"/>
          <w:i w:val="1"/>
          <w:iCs w:val="1"/>
          <w:color w:val="auto"/>
        </w:rPr>
        <w:t>Rules Governing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the Listing of Stocks on the STAR Market of Shanghai Stock Exchange</w:t>
      </w:r>
      <w:r>
        <w:rPr>
          <w:rFonts w:ascii="Times New Roman" w:cs="Times New Roman" w:eastAsia="Times New Roman" w:hAnsi="Times New Roman"/>
          <w:sz w:val="21"/>
          <w:szCs w:val="21"/>
          <w:color w:val="auto"/>
        </w:rPr>
        <w:t>;</w:t>
      </w:r>
    </w:p>
    <w:p>
      <w:pPr>
        <w:spacing w:after="0" w:line="75" w:lineRule="exact"/>
        <w:rPr>
          <w:rFonts w:ascii="Times New Roman" w:cs="Times New Roman" w:eastAsia="Times New Roman" w:hAnsi="Times New Roman"/>
          <w:sz w:val="21"/>
          <w:szCs w:val="21"/>
          <w:color w:val="auto"/>
        </w:rPr>
      </w:pPr>
    </w:p>
    <w:p>
      <w:pPr>
        <w:ind w:left="720" w:hanging="295"/>
        <w:spacing w:after="0"/>
        <w:tabs>
          <w:tab w:leader="none" w:pos="7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Inquiry-Based Transfer does not involve any circumstances that may result in a change in control of ACM Shanghai;</w:t>
      </w:r>
    </w:p>
    <w:p>
      <w:pPr>
        <w:spacing w:after="0" w:line="256" w:lineRule="exact"/>
        <w:rPr>
          <w:rFonts w:ascii="Times New Roman" w:cs="Times New Roman" w:eastAsia="Times New Roman" w:hAnsi="Times New Roman"/>
          <w:sz w:val="21"/>
          <w:szCs w:val="21"/>
          <w:color w:val="auto"/>
        </w:rPr>
      </w:pPr>
    </w:p>
    <w:p>
      <w:pPr>
        <w:ind w:left="720" w:hanging="295"/>
        <w:spacing w:after="0"/>
        <w:tabs>
          <w:tab w:leader="none" w:pos="7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other material matters that should be disclosed but have not been disclosed.</w:t>
      </w:r>
    </w:p>
    <w:p>
      <w:pPr>
        <w:spacing w:after="0" w:line="3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IV. Relevant Risk Warnings</w:t>
      </w:r>
    </w:p>
    <w:p>
      <w:pPr>
        <w:spacing w:after="0" w:line="313" w:lineRule="exact"/>
        <w:rPr>
          <w:sz w:val="20"/>
          <w:szCs w:val="20"/>
          <w:color w:val="auto"/>
        </w:rPr>
      </w:pPr>
    </w:p>
    <w:p>
      <w:pPr>
        <w:jc w:val="both"/>
        <w:ind w:firstLine="425"/>
        <w:spacing w:after="0" w:line="373" w:lineRule="auto"/>
        <w:tabs>
          <w:tab w:leader="none" w:pos="72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implementation of this Inquiry-Based Transfer plan carries the risk that shares may be judicially frozen or seized due to unforeseen circumstances arising after the disclosure made by the Transferor in the </w:t>
      </w:r>
      <w:r>
        <w:rPr>
          <w:rFonts w:ascii="Times New Roman" w:cs="Times New Roman" w:eastAsia="Times New Roman" w:hAnsi="Times New Roman"/>
          <w:sz w:val="21"/>
          <w:szCs w:val="21"/>
          <w:i w:val="1"/>
          <w:iCs w:val="1"/>
          <w:color w:val="auto"/>
        </w:rPr>
        <w:t>ACM Research (Shanghai), Inc. Shareholder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Inquiry-Based Transfer Plan </w:t>
      </w:r>
      <w:r>
        <w:rPr>
          <w:rFonts w:ascii="Times New Roman" w:cs="Times New Roman" w:eastAsia="Times New Roman" w:hAnsi="Times New Roman"/>
          <w:sz w:val="21"/>
          <w:szCs w:val="21"/>
          <w:color w:val="auto"/>
        </w:rPr>
        <w:t>and the</w:t>
      </w:r>
      <w:r>
        <w:rPr>
          <w:rFonts w:ascii="Times New Roman" w:cs="Times New Roman" w:eastAsia="Times New Roman" w:hAnsi="Times New Roman"/>
          <w:sz w:val="21"/>
          <w:szCs w:val="21"/>
          <w:i w:val="1"/>
          <w:iCs w:val="1"/>
          <w:color w:val="auto"/>
        </w:rPr>
        <w:t xml:space="preserve"> Verification Opinion of Guotai Haitong Securities Co., Ltd. on Relevant Qualifications of Shareholders of ACM Research (Shanghai), Inc. for the Inquiry-Based Transfer of Shares to Specific Institutional Investors</w:t>
      </w:r>
      <w:r>
        <w:rPr>
          <w:rFonts w:ascii="Times New Roman" w:cs="Times New Roman" w:eastAsia="Times New Roman" w:hAnsi="Times New Roman"/>
          <w:sz w:val="21"/>
          <w:szCs w:val="21"/>
          <w:color w:val="auto"/>
        </w:rPr>
        <w:t>, thereby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affecting the implementation of the Inquiry-Based Transfer.</w:t>
      </w:r>
    </w:p>
    <w:p>
      <w:pPr>
        <w:spacing w:after="0" w:line="90" w:lineRule="exact"/>
        <w:rPr>
          <w:rFonts w:ascii="Times New Roman" w:cs="Times New Roman" w:eastAsia="Times New Roman" w:hAnsi="Times New Roman"/>
          <w:sz w:val="21"/>
          <w:szCs w:val="21"/>
          <w:color w:val="auto"/>
        </w:rPr>
      </w:pPr>
    </w:p>
    <w:p>
      <w:pPr>
        <w:ind w:firstLine="425"/>
        <w:spacing w:after="0" w:line="398" w:lineRule="auto"/>
        <w:tabs>
          <w:tab w:leader="none" w:pos="757"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Inquiry-Based Transfer Plan is subject to the risk that it may be suspended due to significant changes in market conditions.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V.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23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20"/>
        <w:spacing w:after="0" w:line="382" w:lineRule="auto"/>
        <w:rPr>
          <w:sz w:val="20"/>
          <w:szCs w:val="20"/>
          <w:color w:val="auto"/>
        </w:rPr>
      </w:pPr>
      <w:r>
        <w:rPr>
          <w:rFonts w:ascii="Times New Roman" w:cs="Times New Roman" w:eastAsia="Times New Roman" w:hAnsi="Times New Roman"/>
          <w:sz w:val="21"/>
          <w:szCs w:val="21"/>
          <w:color w:val="auto"/>
        </w:rPr>
        <w:t xml:space="preserve">Please refer to the attached document titled </w:t>
      </w:r>
      <w:r>
        <w:rPr>
          <w:rFonts w:ascii="Times New Roman" w:cs="Times New Roman" w:eastAsia="Times New Roman" w:hAnsi="Times New Roman"/>
          <w:sz w:val="21"/>
          <w:szCs w:val="21"/>
          <w:i w:val="1"/>
          <w:iCs w:val="1"/>
          <w:color w:val="auto"/>
        </w:rPr>
        <w:t>Verification Opinion of Guotai Haitong Securities Co., Ltd. on Relevant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Qualifications of Shareholders of ACM Research (Shanghai), Inc. for the Inquiry-Based Transfer of Shares to Specific Institutional Investors</w:t>
      </w:r>
      <w:r>
        <w:rPr>
          <w:rFonts w:ascii="Times New Roman" w:cs="Times New Roman" w:eastAsia="Times New Roman" w:hAnsi="Times New Roman"/>
          <w:sz w:val="21"/>
          <w:szCs w:val="21"/>
          <w:color w:val="auto"/>
        </w:rPr>
        <w:t>, which is disclosed concurrently with this Announcement.</w:t>
      </w:r>
    </w:p>
    <w:p>
      <w:pPr>
        <w:spacing w:after="0" w:line="200" w:lineRule="exact"/>
        <w:rPr>
          <w:sz w:val="20"/>
          <w:szCs w:val="20"/>
          <w:color w:val="auto"/>
        </w:rPr>
      </w:pPr>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This Announcement is hereby issued.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ACM Research (Shanghai), Inc.</w:t>
      </w: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Board of Directors</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7</w:t>
      </w:r>
    </w:p>
    <w:sectPr>
      <w:pgSz w:w="11900" w:h="16838" w:orient="portrait"/>
      <w:cols w:equalWidth="0" w:num="1">
        <w:col w:w="11240"/>
      </w:cols>
      <w:pgMar w:left="320" w:top="2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upperLetter"/>
      <w:start w:val="35"/>
    </w:lvl>
  </w:abstractNum>
  <w:abstractNum w:abstractNumId="2">
    <w:nsid w:val="41B71EFB"/>
    <w:multiLevelType w:val="hybridMultilevel"/>
    <w:lvl w:ilvl="0">
      <w:lvlJc w:val="left"/>
      <w:lvlText w:val="(%1)"/>
      <w:numFmt w:val="upperLetter"/>
      <w:start w:val="61"/>
    </w:lvl>
  </w:abstractNum>
  <w:abstractNum w:abstractNumId="3">
    <w:nsid w:val="79E2A9E3"/>
    <w:multiLevelType w:val="hybridMultilevel"/>
    <w:lvl w:ilvl="0">
      <w:lvlJc w:val="left"/>
      <w:lvlText w:val="%1."/>
      <w:numFmt w:val="upperLetter"/>
      <w:start w:val="35"/>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2"/>
    </w:lvl>
    <w:lvl w:ilvl="1">
      <w:lvlJc w:val="left"/>
      <w:lvlText w:val="(%2)"/>
      <w:numFmt w:val="upperLetter"/>
      <w:start w:val="6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2"/>
    </w:lvl>
    <w:lvl w:ilvl="1">
      <w:lvlJc w:val="left"/>
      <w:lvlText w:val="%2."/>
      <w:numFmt w:val="upperLetter"/>
      <w:start w:val="6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2026-01-30T07:58:36Z</dcterms:created>
  <dcterms:modified xsi:type="dcterms:W3CDTF">2026-01-30T07:58:36Z</dcterms:modified>
</cp:coreProperties>
</file>