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198755</wp:posOffset>
            </wp:positionH>
            <wp:positionV relativeFrom="page">
              <wp:posOffset>735965</wp:posOffset>
            </wp:positionV>
            <wp:extent cx="715200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757555</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Pursuant to Section 13 or 15(d) of the Securities Exchange Act of 1934</w:t>
      </w:r>
    </w:p>
    <w:p>
      <w:pPr>
        <w:spacing w:after="0" w:line="1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Date of Report (Date of earliest event reported): January 29, 2026</w:t>
      </w:r>
    </w:p>
    <w:p>
      <w:pPr>
        <w:spacing w:after="0" w:line="1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7"/>
          <w:szCs w:val="37"/>
          <w:b w:val="1"/>
          <w:bCs w:val="1"/>
          <w:color w:val="auto"/>
        </w:rPr>
        <w:t>ACM Research, Inc.</w:t>
      </w:r>
    </w:p>
    <w:p>
      <w:pPr>
        <w:spacing w:after="0" w:line="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i w:val="1"/>
          <w:iCs w:val="1"/>
          <w:color w:val="auto"/>
        </w:rPr>
        <w:t>(Exact Name of Registrant as Specified in its Charter)</w:t>
      </w:r>
    </w:p>
    <w:p>
      <w:pPr>
        <w:spacing w:after="0" w:line="224" w:lineRule="exact"/>
        <w:rPr>
          <w:sz w:val="24"/>
          <w:szCs w:val="24"/>
          <w:color w:val="auto"/>
        </w:rPr>
      </w:pPr>
    </w:p>
    <w:tbl>
      <w:tblPr>
        <w:tblLayout w:type="fixed"/>
        <w:tblInd w:w="460" w:type="dxa"/>
        <w:tblCellMar>
          <w:top w:w="0" w:type="dxa"/>
          <w:left w:w="0" w:type="dxa"/>
          <w:bottom w:w="0" w:type="dxa"/>
          <w:right w:w="0" w:type="dxa"/>
        </w:tblCellMar>
      </w:tblPr>
      <w:tr>
        <w:trPr>
          <w:trHeight w:val="203"/>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b w:val="1"/>
                <w:bCs w:val="1"/>
                <w:color w:val="auto"/>
              </w:rPr>
              <w:t>Delaware</w:t>
            </w:r>
          </w:p>
        </w:tc>
        <w:tc>
          <w:tcPr>
            <w:tcW w:w="2880" w:type="dxa"/>
            <w:vAlign w:val="bottom"/>
          </w:tcPr>
          <w:p>
            <w:pPr>
              <w:jc w:val="right"/>
              <w:ind w:right="1263"/>
              <w:spacing w:after="0"/>
              <w:rPr>
                <w:sz w:val="20"/>
                <w:szCs w:val="20"/>
                <w:color w:val="auto"/>
              </w:rPr>
            </w:pPr>
            <w:r>
              <w:rPr>
                <w:rFonts w:ascii="Times New Roman" w:cs="Times New Roman" w:eastAsia="Times New Roman" w:hAnsi="Times New Roman"/>
                <w:sz w:val="15"/>
                <w:szCs w:val="15"/>
                <w:b w:val="1"/>
                <w:bCs w:val="1"/>
                <w:color w:val="auto"/>
              </w:rPr>
              <w:t>001-38273</w:t>
            </w:r>
          </w:p>
        </w:tc>
        <w:tc>
          <w:tcPr>
            <w:tcW w:w="3120" w:type="dxa"/>
            <w:vAlign w:val="bottom"/>
          </w:tcPr>
          <w:p>
            <w:pPr>
              <w:jc w:val="right"/>
              <w:ind w:right="583"/>
              <w:spacing w:after="0"/>
              <w:rPr>
                <w:sz w:val="20"/>
                <w:szCs w:val="20"/>
                <w:color w:val="auto"/>
              </w:rPr>
            </w:pPr>
            <w:r>
              <w:rPr>
                <w:rFonts w:ascii="Times New Roman" w:cs="Times New Roman" w:eastAsia="Times New Roman" w:hAnsi="Times New Roman"/>
                <w:sz w:val="15"/>
                <w:szCs w:val="15"/>
                <w:b w:val="1"/>
                <w:bCs w:val="1"/>
                <w:color w:val="auto"/>
              </w:rPr>
              <w:t>94-3290283</w:t>
            </w:r>
          </w:p>
        </w:tc>
      </w:tr>
      <w:tr>
        <w:trPr>
          <w:trHeight w:val="220"/>
        </w:trPr>
        <w:tc>
          <w:tcPr>
            <w:tcW w:w="3960" w:type="dxa"/>
            <w:vAlign w:val="bottom"/>
          </w:tcPr>
          <w:p>
            <w:pPr>
              <w:jc w:val="center"/>
              <w:ind w:right="1063"/>
              <w:spacing w:after="0"/>
              <w:rPr>
                <w:sz w:val="20"/>
                <w:szCs w:val="20"/>
                <w:color w:val="auto"/>
              </w:rPr>
            </w:pPr>
            <w:r>
              <w:rPr>
                <w:rFonts w:ascii="Times New Roman" w:cs="Times New Roman" w:eastAsia="Times New Roman" w:hAnsi="Times New Roman"/>
                <w:sz w:val="15"/>
                <w:szCs w:val="15"/>
                <w:i w:val="1"/>
                <w:iCs w:val="1"/>
                <w:color w:val="auto"/>
              </w:rPr>
              <w:t>(State or Other Jurisdiction of Incorporation)</w:t>
            </w:r>
          </w:p>
        </w:tc>
        <w:tc>
          <w:tcPr>
            <w:tcW w:w="2880" w:type="dxa"/>
            <w:vAlign w:val="bottom"/>
          </w:tcPr>
          <w:p>
            <w:pPr>
              <w:jc w:val="center"/>
              <w:ind w:right="383"/>
              <w:spacing w:after="0"/>
              <w:rPr>
                <w:sz w:val="20"/>
                <w:szCs w:val="20"/>
                <w:color w:val="auto"/>
              </w:rPr>
            </w:pPr>
            <w:r>
              <w:rPr>
                <w:rFonts w:ascii="Times New Roman" w:cs="Times New Roman" w:eastAsia="Times New Roman" w:hAnsi="Times New Roman"/>
                <w:sz w:val="15"/>
                <w:szCs w:val="15"/>
                <w:i w:val="1"/>
                <w:iCs w:val="1"/>
                <w:color w:val="auto"/>
              </w:rPr>
              <w:t>(Commission File Number)</w:t>
            </w:r>
          </w:p>
        </w:tc>
        <w:tc>
          <w:tcPr>
            <w:tcW w:w="3120" w:type="dxa"/>
            <w:vAlign w:val="bottom"/>
          </w:tcPr>
          <w:p>
            <w:pPr>
              <w:jc w:val="center"/>
              <w:ind w:left="963"/>
              <w:spacing w:after="0"/>
              <w:rPr>
                <w:sz w:val="20"/>
                <w:szCs w:val="20"/>
                <w:color w:val="auto"/>
              </w:rPr>
            </w:pPr>
            <w:r>
              <w:rPr>
                <w:rFonts w:ascii="Times New Roman" w:cs="Times New Roman" w:eastAsia="Times New Roman" w:hAnsi="Times New Roman"/>
                <w:sz w:val="15"/>
                <w:szCs w:val="15"/>
                <w:i w:val="1"/>
                <w:iCs w:val="1"/>
                <w:color w:val="auto"/>
              </w:rPr>
              <w:t>(IRS Employer Identification No.)</w:t>
            </w:r>
          </w:p>
        </w:tc>
      </w:tr>
      <w:tr>
        <w:trPr>
          <w:trHeight w:val="491"/>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42307 Osgood Road, Suite I</w:t>
            </w:r>
          </w:p>
        </w:tc>
        <w:tc>
          <w:tcPr>
            <w:tcW w:w="2880" w:type="dxa"/>
            <w:vAlign w:val="bottom"/>
          </w:tcPr>
          <w:p>
            <w:pPr>
              <w:spacing w:after="0"/>
              <w:rPr>
                <w:sz w:val="24"/>
                <w:szCs w:val="24"/>
                <w:color w:val="auto"/>
              </w:rPr>
            </w:pPr>
          </w:p>
        </w:tc>
        <w:tc>
          <w:tcPr>
            <w:tcW w:w="3120" w:type="dxa"/>
            <w:vAlign w:val="bottom"/>
          </w:tcPr>
          <w:p>
            <w:pPr>
              <w:spacing w:after="0"/>
              <w:rPr>
                <w:sz w:val="24"/>
                <w:szCs w:val="24"/>
                <w:color w:val="auto"/>
              </w:rPr>
            </w:pPr>
          </w:p>
        </w:tc>
      </w:tr>
      <w:tr>
        <w:trPr>
          <w:trHeight w:val="215"/>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b w:val="1"/>
                <w:bCs w:val="1"/>
                <w:color w:val="auto"/>
              </w:rPr>
              <w:t>Fremont, California</w:t>
            </w:r>
          </w:p>
        </w:tc>
        <w:tc>
          <w:tcPr>
            <w:tcW w:w="2880" w:type="dxa"/>
            <w:vAlign w:val="bottom"/>
          </w:tcPr>
          <w:p>
            <w:pPr>
              <w:spacing w:after="0"/>
              <w:rPr>
                <w:sz w:val="18"/>
                <w:szCs w:val="18"/>
                <w:color w:val="auto"/>
              </w:rPr>
            </w:pPr>
          </w:p>
        </w:tc>
        <w:tc>
          <w:tcPr>
            <w:tcW w:w="3120" w:type="dxa"/>
            <w:vAlign w:val="bottom"/>
          </w:tcPr>
          <w:p>
            <w:pPr>
              <w:jc w:val="right"/>
              <w:ind w:right="1703"/>
              <w:spacing w:after="0"/>
              <w:rPr>
                <w:sz w:val="20"/>
                <w:szCs w:val="20"/>
                <w:color w:val="auto"/>
              </w:rPr>
            </w:pPr>
            <w:r>
              <w:rPr>
                <w:rFonts w:ascii="Times New Roman" w:cs="Times New Roman" w:eastAsia="Times New Roman" w:hAnsi="Times New Roman"/>
                <w:sz w:val="15"/>
                <w:szCs w:val="15"/>
                <w:b w:val="1"/>
                <w:bCs w:val="1"/>
                <w:color w:val="auto"/>
              </w:rPr>
              <w:t>94539</w:t>
            </w:r>
          </w:p>
        </w:tc>
      </w:tr>
      <w:tr>
        <w:trPr>
          <w:trHeight w:val="220"/>
        </w:trPr>
        <w:tc>
          <w:tcPr>
            <w:tcW w:w="3960" w:type="dxa"/>
            <w:vAlign w:val="bottom"/>
          </w:tcPr>
          <w:p>
            <w:pPr>
              <w:jc w:val="center"/>
              <w:ind w:left="663"/>
              <w:spacing w:after="0"/>
              <w:rPr>
                <w:sz w:val="20"/>
                <w:szCs w:val="20"/>
                <w:color w:val="auto"/>
              </w:rPr>
            </w:pPr>
            <w:r>
              <w:rPr>
                <w:rFonts w:ascii="Times New Roman" w:cs="Times New Roman" w:eastAsia="Times New Roman" w:hAnsi="Times New Roman"/>
                <w:sz w:val="15"/>
                <w:szCs w:val="15"/>
                <w:i w:val="1"/>
                <w:iCs w:val="1"/>
                <w:color w:val="auto"/>
              </w:rPr>
              <w:t>(Address of Principal Executive Offices)</w:t>
            </w:r>
          </w:p>
        </w:tc>
        <w:tc>
          <w:tcPr>
            <w:tcW w:w="2880" w:type="dxa"/>
            <w:vAlign w:val="bottom"/>
          </w:tcPr>
          <w:p>
            <w:pPr>
              <w:spacing w:after="0"/>
              <w:rPr>
                <w:sz w:val="19"/>
                <w:szCs w:val="19"/>
                <w:color w:val="auto"/>
              </w:rPr>
            </w:pPr>
          </w:p>
        </w:tc>
        <w:tc>
          <w:tcPr>
            <w:tcW w:w="3120" w:type="dxa"/>
            <w:vAlign w:val="bottom"/>
          </w:tcPr>
          <w:p>
            <w:pPr>
              <w:jc w:val="center"/>
              <w:ind w:right="763"/>
              <w:spacing w:after="0"/>
              <w:rPr>
                <w:sz w:val="20"/>
                <w:szCs w:val="20"/>
                <w:color w:val="auto"/>
              </w:rPr>
            </w:pPr>
            <w:r>
              <w:rPr>
                <w:rFonts w:ascii="Times New Roman" w:cs="Times New Roman" w:eastAsia="Times New Roman" w:hAnsi="Times New Roman"/>
                <w:sz w:val="15"/>
                <w:szCs w:val="15"/>
                <w:i w:val="1"/>
                <w:iCs w:val="1"/>
                <w:color w:val="auto"/>
              </w:rPr>
              <w:t>(Zip Code)</w:t>
            </w:r>
          </w:p>
        </w:tc>
      </w:tr>
    </w:tbl>
    <w:p>
      <w:pPr>
        <w:spacing w:after="0" w:line="2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(510) 445-3700</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47" w:lineRule="exact"/>
        <w:rPr>
          <w:rFonts w:ascii="Wingdings" w:cs="Wingdings" w:eastAsia="Wingdings" w:hAnsi="Wingdings"/>
          <w:sz w:val="15"/>
          <w:szCs w:val="15"/>
          <w:b w:val="1"/>
          <w:bCs w:val="1"/>
          <w:color w:val="auto"/>
        </w:rPr>
      </w:pPr>
    </w:p>
    <w:p>
      <w:pPr>
        <w:ind w:left="420" w:hanging="412"/>
        <w:spacing w:after="0"/>
        <w:tabs>
          <w:tab w:leader="none" w:pos="420" w:val="left"/>
        </w:tabs>
        <w:numPr>
          <w:ilvl w:val="0"/>
          <w:numId w:val="1"/>
        </w:numPr>
        <w:rPr>
          <w:rFonts w:ascii="Wingdings" w:cs="Wingdings" w:eastAsia="Wingdings" w:hAnsi="Wingdings"/>
          <w:sz w:val="15"/>
          <w:szCs w:val="15"/>
          <w:b w:val="1"/>
          <w:bCs w:val="1"/>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291" w:lineRule="exact"/>
        <w:rPr>
          <w:sz w:val="24"/>
          <w:szCs w:val="24"/>
          <w:color w:val="auto"/>
        </w:rPr>
      </w:pPr>
    </w:p>
    <w:tbl>
      <w:tblPr>
        <w:tblLayout w:type="fixed"/>
        <w:tblInd w:w="0" w:type="dxa"/>
        <w:tblCellMar>
          <w:top w:w="0" w:type="dxa"/>
          <w:left w:w="0" w:type="dxa"/>
          <w:bottom w:w="0" w:type="dxa"/>
          <w:right w:w="0" w:type="dxa"/>
        </w:tblCellMar>
      </w:tblPr>
      <w:tr>
        <w:trPr>
          <w:trHeight w:val="199"/>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tc>
        <w:tc>
          <w:tcPr>
            <w:tcW w:w="3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20" w:type="dxa"/>
            <w:vAlign w:val="bottom"/>
          </w:tcPr>
          <w:p>
            <w:pPr>
              <w:spacing w:after="0"/>
              <w:rPr>
                <w:sz w:val="17"/>
                <w:szCs w:val="17"/>
                <w:color w:val="auto"/>
              </w:rPr>
            </w:pPr>
          </w:p>
        </w:tc>
      </w:tr>
      <w:tr>
        <w:trPr>
          <w:trHeight w:val="432"/>
        </w:trPr>
        <w:tc>
          <w:tcPr>
            <w:tcW w:w="368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5"/>
                <w:szCs w:val="15"/>
                <w:b w:val="1"/>
                <w:bCs w:val="1"/>
                <w:color w:val="auto"/>
              </w:rPr>
              <w:t>Title of each class</w:t>
            </w:r>
          </w:p>
        </w:tc>
        <w:tc>
          <w:tcPr>
            <w:tcW w:w="80" w:type="dxa"/>
            <w:vAlign w:val="bottom"/>
          </w:tcPr>
          <w:p>
            <w:pPr>
              <w:spacing w:after="0"/>
              <w:rPr>
                <w:sz w:val="24"/>
                <w:szCs w:val="24"/>
                <w:color w:val="auto"/>
              </w:rPr>
            </w:pPr>
          </w:p>
        </w:tc>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Trading symbol</w:t>
            </w:r>
          </w:p>
        </w:tc>
        <w:tc>
          <w:tcPr>
            <w:tcW w:w="80" w:type="dxa"/>
            <w:vAlign w:val="bottom"/>
          </w:tcPr>
          <w:p>
            <w:pPr>
              <w:spacing w:after="0"/>
              <w:rPr>
                <w:sz w:val="24"/>
                <w:szCs w:val="24"/>
                <w:color w:val="auto"/>
              </w:rPr>
            </w:pPr>
          </w:p>
        </w:tc>
        <w:tc>
          <w:tcPr>
            <w:tcW w:w="3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Name of each exchange on which registered</w:t>
            </w:r>
          </w:p>
        </w:tc>
      </w:tr>
      <w:tr>
        <w:trPr>
          <w:trHeight w:val="208"/>
        </w:trPr>
        <w:tc>
          <w:tcPr>
            <w:tcW w:w="3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Class A Common Stock, par value $0.0001 per share</w:t>
            </w:r>
          </w:p>
        </w:tc>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w w:val="99"/>
              </w:rPr>
              <w:t>ACMR</w:t>
            </w:r>
          </w:p>
        </w:tc>
        <w:tc>
          <w:tcPr>
            <w:tcW w:w="3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The Nasdaq Stock Market LLC</w:t>
            </w:r>
          </w:p>
        </w:tc>
      </w:tr>
    </w:tbl>
    <w:p>
      <w:pPr>
        <w:spacing w:after="0" w:line="252" w:lineRule="exact"/>
        <w:rPr>
          <w:sz w:val="24"/>
          <w:szCs w:val="24"/>
          <w:color w:val="auto"/>
        </w:rPr>
      </w:pPr>
    </w:p>
    <w:p>
      <w:pPr>
        <w:jc w:val="both"/>
        <w:ind w:right="20"/>
        <w:spacing w:after="0" w:line="295"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is an emerging growth company as defined in Rule 405 of the Securities Act of 1933 or Rule 12b-2 of the Securities Exchange Act of 1934:Emerging growth company </w:t>
      </w:r>
      <w:r>
        <w:rPr>
          <w:rFonts w:ascii="Wingdings" w:cs="Wingdings" w:eastAsia="Wingdings" w:hAnsi="Wingdings"/>
          <w:sz w:val="15"/>
          <w:szCs w:val="15"/>
          <w:b w:val="1"/>
          <w:bCs w:val="1"/>
          <w:color w:val="auto"/>
        </w:rPr>
        <w:t>o</w:t>
      </w:r>
    </w:p>
    <w:p>
      <w:pPr>
        <w:spacing w:after="0" w:line="132" w:lineRule="exact"/>
        <w:rPr>
          <w:sz w:val="24"/>
          <w:szCs w:val="24"/>
          <w:color w:val="auto"/>
        </w:rPr>
      </w:pPr>
    </w:p>
    <w:p>
      <w:pPr>
        <w:jc w:val="both"/>
        <w:spacing w:after="0" w:line="295" w:lineRule="auto"/>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5"/>
          <w:szCs w:val="15"/>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697230</wp:posOffset>
            </wp:positionV>
            <wp:extent cx="7177405" cy="400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121920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144145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73" w:right="3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5"/>
          <w:szCs w:val="15"/>
          <w:b w:val="1"/>
          <w:bCs w:val="1"/>
          <w:color w:val="auto"/>
        </w:rPr>
        <w:t>Item 8.01 Other Events.</w:t>
      </w:r>
    </w:p>
    <w:p>
      <w:pPr>
        <w:spacing w:after="0" w:line="213"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5"/>
          <w:szCs w:val="15"/>
          <w:color w:val="auto"/>
        </w:rPr>
        <w:t>The shares of our operating subsidiary ACM Research (Shanghai), Inc. (“ACM Shanghai”) are listed on the Sci-Tech innovation board (the “STAR Market”) of the Shanghai Stock Exchange (the “SSE”). In accordance with the SSE’s rules governing the STAR Market, ACM Shanghai filed with the SSE a Record of January 2026 Investor Relations Activity (the “Record”). The SSE posted the Record to the SSE’s website on January 29, 2026. A copy of the Record is attached as Exhibit 99.1 hereto.</w:t>
      </w:r>
    </w:p>
    <w:p>
      <w:pPr>
        <w:spacing w:after="0" w:line="16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5"/>
          <w:szCs w:val="15"/>
          <w:color w:val="auto"/>
        </w:rPr>
        <w:t>The information in this Current Report on Form 8-K, including Exhibit 99.1, is intended to be furnished and shall not be deemed “filed” for purposes of Section 18 of the Securities Exchange Act of 1934, as amended, or otherwise subject to the liabilities of that Section, nor shall it be deemed to be incorporated by reference into any filing of ACM Research, Inc. under the Securities Act of 1933, as amended.</w:t>
      </w:r>
    </w:p>
    <w:p>
      <w:pPr>
        <w:spacing w:after="0" w:line="153"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5"/>
          <w:szCs w:val="15"/>
          <w:b w:val="1"/>
          <w:bCs w:val="1"/>
          <w:color w:val="auto"/>
        </w:rPr>
        <w:t>Item 9.01</w:t>
        <w:tab/>
        <w:t>Financial Statements and Exhibits.</w:t>
      </w:r>
    </w:p>
    <w:p>
      <w:pPr>
        <w:spacing w:after="0" w:line="152"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b w:val="1"/>
          <w:bCs w:val="1"/>
          <w:color w:val="auto"/>
        </w:rPr>
        <w:t>(d)</w:t>
        <w:tab/>
        <w:t>Exhibits.</w:t>
      </w:r>
    </w:p>
    <w:p>
      <w:pPr>
        <w:spacing w:after="0" w:line="195" w:lineRule="exact"/>
        <w:rPr>
          <w:sz w:val="20"/>
          <w:szCs w:val="20"/>
          <w:color w:val="auto"/>
        </w:rPr>
      </w:pPr>
    </w:p>
    <w:p>
      <w:pPr>
        <w:ind w:left="220"/>
        <w:spacing w:after="0"/>
        <w:tabs>
          <w:tab w:leader="none" w:pos="5900" w:val="left"/>
        </w:tabs>
        <w:rPr>
          <w:sz w:val="20"/>
          <w:szCs w:val="20"/>
          <w:color w:val="auto"/>
        </w:rPr>
      </w:pPr>
      <w:r>
        <w:rPr>
          <w:rFonts w:ascii="Times New Roman" w:cs="Times New Roman" w:eastAsia="Times New Roman" w:hAnsi="Times New Roman"/>
          <w:sz w:val="12"/>
          <w:szCs w:val="12"/>
          <w:b w:val="1"/>
          <w:bCs w:val="1"/>
          <w:color w:val="auto"/>
        </w:rPr>
        <w:t>Exhibit</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29210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sectPr>
      </w:pPr>
    </w:p>
    <w:p>
      <w:pPr>
        <w:spacing w:after="0" w:line="26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u w:val="single" w:color="auto"/>
          <w:color w:val="0000FF"/>
        </w:rPr>
        <w:t>99.1</w:t>
      </w:r>
      <w:r>
        <w:rPr>
          <w:rFonts w:ascii="Times New Roman" w:cs="Times New Roman" w:eastAsia="Times New Roman" w:hAnsi="Times New Roman"/>
          <w:sz w:val="15"/>
          <w:szCs w:val="15"/>
          <w:color w:val="000000"/>
        </w:rPr>
        <w:t>*</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Record of January 2026 Investor Relations Activity filed by ACM Research (Shanghai), Inc. with the Shanghai Stock Exchange on January 29, 2026</w:t>
      </w:r>
    </w:p>
    <w:p>
      <w:pPr>
        <w:spacing w:after="0" w:line="110" w:lineRule="exact"/>
        <w:rPr>
          <w:sz w:val="20"/>
          <w:szCs w:val="20"/>
          <w:color w:val="auto"/>
        </w:rPr>
      </w:pPr>
    </w:p>
    <w:p>
      <w:pPr>
        <w:sectPr>
          <w:pgSz w:w="11900" w:h="16838" w:orient="portrait"/>
          <w:cols w:equalWidth="0" w:num="2">
            <w:col w:w="600" w:space="620"/>
            <w:col w:w="10040"/>
          </w:cols>
          <w:pgMar w:left="320" w:top="1221" w:right="319" w:bottom="1440" w:gutter="0" w:footer="0" w:header="0"/>
          <w:type w:val="continuous"/>
        </w:sectPr>
      </w:pPr>
    </w:p>
    <w:p>
      <w:pPr>
        <w:spacing w:after="0" w:line="9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104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Cover Page Interactive Data File (embedded within the XBRL document)</w:t>
      </w:r>
    </w:p>
    <w:p>
      <w:pPr>
        <w:spacing w:after="0" w:line="292" w:lineRule="exact"/>
        <w:rPr>
          <w:sz w:val="20"/>
          <w:szCs w:val="20"/>
          <w:color w:val="auto"/>
        </w:rPr>
      </w:pPr>
    </w:p>
    <w:p>
      <w:pPr>
        <w:sectPr>
          <w:pgSz w:w="11900" w:h="16838" w:orient="portrait"/>
          <w:cols w:equalWidth="0" w:num="2">
            <w:col w:w="540" w:space="680"/>
            <w:col w:w="10040"/>
          </w:cols>
          <w:pgMar w:left="320" w:top="1221" w:right="319" w:bottom="1440" w:gutter="0" w:footer="0" w:header="0"/>
          <w:type w:val="continuous"/>
        </w:sectPr>
      </w:pPr>
    </w:p>
    <w:p>
      <w:pPr>
        <w:spacing w:after="0"/>
        <w:rPr>
          <w:sz w:val="20"/>
          <w:szCs w:val="20"/>
          <w:color w:val="auto"/>
        </w:rPr>
      </w:pPr>
      <w:r>
        <w:rPr>
          <w:rFonts w:ascii="Times New Roman" w:cs="Times New Roman" w:eastAsia="Times New Roman" w:hAnsi="Times New Roman"/>
          <w:sz w:val="12"/>
          <w:szCs w:val="12"/>
          <w:color w:val="auto"/>
        </w:rPr>
        <w:t>* Unofficial English translation of original document prepared in Mandarin Chinese.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48895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r>
    </w:p>
    <w:p>
      <w:pPr>
        <w:sectPr>
          <w:pgSz w:w="11900" w:h="16838" w:orient="portrait"/>
          <w:cols w:equalWidth="0" w:num="1">
            <w:col w:w="11260"/>
          </w:cols>
          <w:pgMar w:left="320" w:top="1221" w:right="31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4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8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5"/>
          <w:szCs w:val="15"/>
          <w:color w:val="auto"/>
        </w:rPr>
        <w:t>ACM RESEARCH, INC.</w:t>
      </w:r>
    </w:p>
    <w:p>
      <w:pPr>
        <w:spacing w:after="0" w:line="342" w:lineRule="exact"/>
        <w:rPr>
          <w:sz w:val="20"/>
          <w:szCs w:val="20"/>
          <w:color w:val="auto"/>
        </w:rPr>
      </w:pPr>
    </w:p>
    <w:p>
      <w:pPr>
        <w:ind w:left="3600"/>
        <w:spacing w:after="0"/>
        <w:tabs>
          <w:tab w:leader="none" w:pos="396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u w:val="single" w:color="auto"/>
          <w:color w:val="auto"/>
        </w:rPr>
        <w:t>/s/ Mark McKechnie</w:t>
      </w:r>
      <w:r>
        <w:rPr>
          <w:rFonts w:ascii="Times New Roman" w:cs="Times New Roman" w:eastAsia="Times New Roman" w:hAnsi="Times New Roman"/>
          <w:sz w:val="15"/>
          <w:szCs w:val="15"/>
          <w:color w:val="auto"/>
        </w:rPr>
        <w:t>________________________</w:t>
      </w:r>
    </w:p>
    <w:p>
      <w:pPr>
        <w:ind w:left="3760"/>
        <w:spacing w:after="0" w:line="225" w:lineRule="auto"/>
        <w:rPr>
          <w:sz w:val="20"/>
          <w:szCs w:val="20"/>
          <w:color w:val="auto"/>
        </w:rPr>
      </w:pPr>
      <w:r>
        <w:rPr>
          <w:rFonts w:ascii="Times New Roman" w:cs="Times New Roman" w:eastAsia="Times New Roman" w:hAnsi="Times New Roman"/>
          <w:sz w:val="15"/>
          <w:szCs w:val="15"/>
          <w:color w:val="auto"/>
        </w:rPr>
        <w:t>Mark McKechnie</w:t>
      </w:r>
    </w:p>
    <w:p>
      <w:pPr>
        <w:ind w:left="3880"/>
        <w:spacing w:after="0"/>
        <w:rPr>
          <w:sz w:val="20"/>
          <w:szCs w:val="20"/>
          <w:color w:val="auto"/>
        </w:rPr>
      </w:pPr>
      <w:r>
        <w:rPr>
          <w:rFonts w:ascii="Times New Roman" w:cs="Times New Roman" w:eastAsia="Times New Roman" w:hAnsi="Times New Roman"/>
          <w:sz w:val="15"/>
          <w:szCs w:val="15"/>
          <w:color w:val="auto"/>
        </w:rPr>
        <w:t>Chief Financial Officer and Treasurer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February 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ectPr>
          <w:pgSz w:w="11900" w:h="16838" w:orient="portrait"/>
          <w:cols w:equalWidth="0" w:num="1">
            <w:col w:w="11240"/>
          </w:cols>
          <w:pgMar w:left="320" w:top="1221" w:right="339" w:bottom="1440" w:gutter="0" w:footer="0" w:header="0"/>
        </w:sectPr>
      </w:pPr>
    </w:p>
    <w:bookmarkStart w:id="3" w:name="page4"/>
    <w:bookmarkEnd w:id="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7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90410" cy="1017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2026-02-04T16:15:25Z</dcterms:created>
  <dcterms:modified xsi:type="dcterms:W3CDTF">2026-02-04T16:15:25Z</dcterms:modified>
</cp:coreProperties>
</file>