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7044055" cy="87407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4055" cy="87407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540"/>
          </w:cols>
          <w:pgMar w:left="460" w:top="219" w:right="43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Wang David H</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220"/>
        <w:spacing w:after="0" w:line="365" w:lineRule="auto"/>
        <w:rPr>
          <w:sz w:val="20"/>
          <w:szCs w:val="20"/>
          <w:color w:val="auto"/>
        </w:rPr>
      </w:pPr>
      <w:r>
        <w:rPr>
          <w:rFonts w:ascii="Times New Roman" w:cs="Times New Roman" w:eastAsia="Times New Roman" w:hAnsi="Times New Roman"/>
          <w:sz w:val="17"/>
          <w:szCs w:val="17"/>
          <w:color w:val="0000FF"/>
        </w:rPr>
        <w:t>C/O ACM RESEARCH, INC. 42307 OSGOOD ROAD, SUITE I</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0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7"/>
                <w:szCs w:val="17"/>
                <w:color w:val="0000FF"/>
              </w:rPr>
              <w:t>FREMONT</w:t>
            </w:r>
          </w:p>
        </w:tc>
        <w:tc>
          <w:tcPr>
            <w:tcW w:w="1020" w:type="dxa"/>
            <w:vAlign w:val="bottom"/>
          </w:tcPr>
          <w:p>
            <w:pPr>
              <w:ind w:left="20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94539</w:t>
            </w:r>
          </w:p>
        </w:tc>
      </w:tr>
      <w:tr>
        <w:trPr>
          <w:trHeight w:val="155"/>
        </w:trPr>
        <w:tc>
          <w:tcPr>
            <w:tcW w:w="40" w:type="dxa"/>
            <w:vAlign w:val="bottom"/>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0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Arial" w:cs="Arial" w:eastAsia="Arial" w:hAnsi="Arial"/>
                <w:sz w:val="13"/>
                <w:szCs w:val="13"/>
                <w:color w:val="auto"/>
              </w:rPr>
              <w:t>(City)</w:t>
            </w:r>
          </w:p>
        </w:tc>
        <w:tc>
          <w:tcPr>
            <w:tcW w:w="1020" w:type="dxa"/>
            <w:vAlign w:val="bottom"/>
          </w:tcPr>
          <w:p>
            <w:pPr>
              <w:ind w:left="2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ACM Research,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ACMR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4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620" w:type="dxa"/>
            <w:vAlign w:val="bottom"/>
            <w:tcBorders>
              <w:bottom w:val="single" w:sz="8" w:color="0000EE"/>
            </w:tcBorders>
          </w:tcPr>
          <w:p>
            <w:pPr>
              <w:spacing w:after="0"/>
              <w:rPr>
                <w:sz w:val="3"/>
                <w:szCs w:val="3"/>
                <w:color w:val="auto"/>
              </w:rPr>
            </w:pPr>
          </w:p>
        </w:tc>
        <w:tc>
          <w:tcPr>
            <w:tcW w:w="2000" w:type="dxa"/>
            <w:vAlign w:val="bottom"/>
          </w:tcPr>
          <w:p>
            <w:pPr>
              <w:spacing w:after="0"/>
              <w:rPr>
                <w:sz w:val="3"/>
                <w:szCs w:val="3"/>
                <w:color w:val="auto"/>
              </w:rPr>
            </w:pPr>
          </w:p>
        </w:tc>
        <w:tc>
          <w:tcPr>
            <w:tcW w:w="170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X</w:t>
            </w: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9"/>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000" w:type="dxa"/>
            <w:vAlign w:val="bottom"/>
          </w:tcPr>
          <w:p>
            <w:pPr>
              <w:spacing w:after="0"/>
              <w:rPr>
                <w:sz w:val="15"/>
                <w:szCs w:val="15"/>
                <w:color w:val="auto"/>
              </w:rPr>
            </w:pPr>
          </w:p>
        </w:tc>
        <w:tc>
          <w:tcPr>
            <w:tcW w:w="1700" w:type="dxa"/>
            <w:vAlign w:val="bottom"/>
            <w:gridSpan w:val="2"/>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116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1"/>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1620" w:type="dxa"/>
            <w:vAlign w:val="bottom"/>
            <w:tcBorders>
              <w:bottom w:val="single" w:sz="8" w:color="2C2C2C"/>
            </w:tcBorders>
          </w:tcPr>
          <w:p>
            <w:pPr>
              <w:spacing w:after="0"/>
              <w:rPr>
                <w:sz w:val="5"/>
                <w:szCs w:val="5"/>
                <w:color w:val="auto"/>
              </w:rPr>
            </w:pPr>
          </w:p>
        </w:tc>
        <w:tc>
          <w:tcPr>
            <w:tcW w:w="2000" w:type="dxa"/>
            <w:vAlign w:val="bottom"/>
            <w:tcBorders>
              <w:bottom w:val="single" w:sz="8" w:color="2C2C2C"/>
            </w:tcBorders>
          </w:tcPr>
          <w:p>
            <w:pPr>
              <w:spacing w:after="0"/>
              <w:rPr>
                <w:sz w:val="5"/>
                <w:szCs w:val="5"/>
                <w:color w:val="auto"/>
              </w:rPr>
            </w:pPr>
          </w:p>
        </w:tc>
        <w:tc>
          <w:tcPr>
            <w:tcW w:w="500" w:type="dxa"/>
            <w:vAlign w:val="bottom"/>
            <w:vMerge w:val="restart"/>
          </w:tcPr>
          <w:p>
            <w:pPr>
              <w:ind w:left="280"/>
              <w:spacing w:after="0"/>
              <w:rPr>
                <w:sz w:val="20"/>
                <w:szCs w:val="20"/>
                <w:color w:val="auto"/>
              </w:rPr>
            </w:pPr>
            <w:r>
              <w:rPr>
                <w:rFonts w:ascii="Times New Roman" w:cs="Times New Roman" w:eastAsia="Times New Roman" w:hAnsi="Times New Roman"/>
                <w:sz w:val="17"/>
                <w:szCs w:val="17"/>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440" w:type="dxa"/>
            <w:vAlign w:val="bottom"/>
          </w:tcPr>
          <w:p>
            <w:pPr>
              <w:spacing w:after="0"/>
              <w:rPr>
                <w:sz w:val="5"/>
                <w:szCs w:val="5"/>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7"/>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500" w:type="dxa"/>
            <w:vAlign w:val="bottom"/>
            <w:vMerge w:val="continue"/>
          </w:tcPr>
          <w:p>
            <w:pPr>
              <w:spacing w:after="0"/>
              <w:rPr>
                <w:sz w:val="9"/>
                <w:szCs w:val="9"/>
                <w:color w:val="auto"/>
              </w:rPr>
            </w:pPr>
          </w:p>
        </w:tc>
        <w:tc>
          <w:tcPr>
            <w:tcW w:w="1200" w:type="dxa"/>
            <w:vAlign w:val="bottom"/>
            <w:vMerge w:val="continue"/>
          </w:tcPr>
          <w:p>
            <w:pPr>
              <w:spacing w:after="0"/>
              <w:rPr>
                <w:sz w:val="9"/>
                <w:szCs w:val="9"/>
                <w:color w:val="auto"/>
              </w:rPr>
            </w:pPr>
          </w:p>
        </w:tc>
        <w:tc>
          <w:tcPr>
            <w:tcW w:w="440" w:type="dxa"/>
            <w:vAlign w:val="bottom"/>
          </w:tcPr>
          <w:p>
            <w:pPr>
              <w:spacing w:after="0"/>
              <w:rPr>
                <w:sz w:val="9"/>
                <w:szCs w:val="9"/>
                <w:color w:val="auto"/>
              </w:rPr>
            </w:pPr>
          </w:p>
        </w:tc>
        <w:tc>
          <w:tcPr>
            <w:tcW w:w="11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20" w:type="dxa"/>
            <w:vAlign w:val="bottom"/>
            <w:gridSpan w:val="2"/>
            <w:vMerge w:val="continue"/>
          </w:tcPr>
          <w:p>
            <w:pPr>
              <w:spacing w:after="0"/>
              <w:rPr>
                <w:sz w:val="6"/>
                <w:szCs w:val="6"/>
                <w:color w:val="auto"/>
              </w:rPr>
            </w:pPr>
          </w:p>
        </w:tc>
        <w:tc>
          <w:tcPr>
            <w:tcW w:w="500" w:type="dxa"/>
            <w:vAlign w:val="bottom"/>
            <w:vMerge w:val="continue"/>
          </w:tcPr>
          <w:p>
            <w:pPr>
              <w:spacing w:after="0"/>
              <w:rPr>
                <w:sz w:val="6"/>
                <w:szCs w:val="6"/>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440" w:type="dxa"/>
            <w:vAlign w:val="bottom"/>
          </w:tcPr>
          <w:p>
            <w:pPr>
              <w:spacing w:after="0"/>
              <w:rPr>
                <w:sz w:val="6"/>
                <w:szCs w:val="6"/>
                <w:color w:val="auto"/>
              </w:rPr>
            </w:pPr>
          </w:p>
        </w:tc>
        <w:tc>
          <w:tcPr>
            <w:tcW w:w="1160" w:type="dxa"/>
            <w:vAlign w:val="bottom"/>
            <w:vMerge w:val="restart"/>
          </w:tcPr>
          <w:p>
            <w:pPr>
              <w:ind w:left="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182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05/22/2024</w:t>
            </w:r>
          </w:p>
        </w:tc>
        <w:tc>
          <w:tcPr>
            <w:tcW w:w="2000" w:type="dxa"/>
            <w:vAlign w:val="bottom"/>
          </w:tcPr>
          <w:p>
            <w:pPr>
              <w:spacing w:after="0"/>
              <w:rPr>
                <w:sz w:val="8"/>
                <w:szCs w:val="8"/>
                <w:color w:val="auto"/>
              </w:rPr>
            </w:pPr>
          </w:p>
        </w:tc>
        <w:tc>
          <w:tcPr>
            <w:tcW w:w="500" w:type="dxa"/>
            <w:vAlign w:val="bottom"/>
          </w:tcPr>
          <w:p>
            <w:pPr>
              <w:spacing w:after="0"/>
              <w:rPr>
                <w:sz w:val="8"/>
                <w:szCs w:val="8"/>
                <w:color w:val="auto"/>
              </w:rPr>
            </w:pPr>
          </w:p>
        </w:tc>
        <w:tc>
          <w:tcPr>
            <w:tcW w:w="1200" w:type="dxa"/>
            <w:vAlign w:val="bottom"/>
            <w:vMerge w:val="continue"/>
          </w:tcPr>
          <w:p>
            <w:pPr>
              <w:spacing w:after="0"/>
              <w:rPr>
                <w:sz w:val="8"/>
                <w:szCs w:val="8"/>
                <w:color w:val="auto"/>
              </w:rPr>
            </w:pPr>
          </w:p>
        </w:tc>
        <w:tc>
          <w:tcPr>
            <w:tcW w:w="440" w:type="dxa"/>
            <w:vAlign w:val="bottom"/>
          </w:tcPr>
          <w:p>
            <w:pPr>
              <w:spacing w:after="0"/>
              <w:rPr>
                <w:sz w:val="8"/>
                <w:szCs w:val="8"/>
                <w:color w:val="auto"/>
              </w:rPr>
            </w:pPr>
          </w:p>
        </w:tc>
        <w:tc>
          <w:tcPr>
            <w:tcW w:w="116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1820" w:type="dxa"/>
            <w:vAlign w:val="bottom"/>
            <w:gridSpan w:val="3"/>
            <w:vMerge w:val="continue"/>
          </w:tcPr>
          <w:p>
            <w:pPr>
              <w:spacing w:after="0"/>
              <w:rPr>
                <w:sz w:val="11"/>
                <w:szCs w:val="11"/>
                <w:color w:val="auto"/>
              </w:rPr>
            </w:pPr>
          </w:p>
        </w:tc>
        <w:tc>
          <w:tcPr>
            <w:tcW w:w="20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640" w:type="dxa"/>
            <w:vAlign w:val="bottom"/>
            <w:gridSpan w:val="2"/>
            <w:vMerge w:val="restart"/>
          </w:tcPr>
          <w:p>
            <w:pPr>
              <w:ind w:left="700"/>
              <w:spacing w:after="0"/>
              <w:rPr>
                <w:sz w:val="20"/>
                <w:szCs w:val="20"/>
                <w:color w:val="auto"/>
              </w:rPr>
            </w:pPr>
            <w:r>
              <w:rPr>
                <w:rFonts w:ascii="Times New Roman" w:cs="Times New Roman" w:eastAsia="Times New Roman" w:hAnsi="Times New Roman"/>
                <w:sz w:val="17"/>
                <w:szCs w:val="17"/>
                <w:color w:val="0000FF"/>
              </w:rPr>
              <w:t>See Remarks</w:t>
            </w: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0"/>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2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1640" w:type="dxa"/>
            <w:vAlign w:val="bottom"/>
            <w:gridSpan w:val="2"/>
            <w:vMerge w:val="continue"/>
          </w:tcPr>
          <w:p>
            <w:pPr>
              <w:spacing w:after="0"/>
              <w:rPr>
                <w:sz w:val="10"/>
                <w:szCs w:val="10"/>
                <w:color w:val="auto"/>
              </w:rPr>
            </w:pPr>
          </w:p>
        </w:tc>
        <w:tc>
          <w:tcPr>
            <w:tcW w:w="11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20" w:type="dxa"/>
            <w:vAlign w:val="bottom"/>
            <w:tcBorders>
              <w:bottom w:val="single" w:sz="8" w:color="2C2C2C"/>
            </w:tcBorders>
          </w:tcPr>
          <w:p>
            <w:pPr>
              <w:spacing w:after="0"/>
              <w:rPr>
                <w:sz w:val="8"/>
                <w:szCs w:val="8"/>
                <w:color w:val="auto"/>
              </w:rPr>
            </w:pPr>
          </w:p>
        </w:tc>
        <w:tc>
          <w:tcPr>
            <w:tcW w:w="2000" w:type="dxa"/>
            <w:vAlign w:val="bottom"/>
            <w:tcBorders>
              <w:bottom w:val="single" w:sz="8" w:color="2C2C2C"/>
            </w:tcBorders>
          </w:tcPr>
          <w:p>
            <w:pPr>
              <w:spacing w:after="0"/>
              <w:rPr>
                <w:sz w:val="8"/>
                <w:szCs w:val="8"/>
                <w:color w:val="auto"/>
              </w:rPr>
            </w:pPr>
          </w:p>
        </w:tc>
        <w:tc>
          <w:tcPr>
            <w:tcW w:w="3300" w:type="dxa"/>
            <w:vAlign w:val="bottom"/>
            <w:tcBorders>
              <w:bottom w:val="single" w:sz="8" w:color="2C2C2C"/>
            </w:tcBorders>
            <w:gridSpan w:val="4"/>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4"/>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80" w:right="300" w:hanging="256"/>
        <w:spacing w:after="0" w:line="184" w:lineRule="auto"/>
        <w:tabs>
          <w:tab w:leader="none" w:pos="380" w:val="left"/>
        </w:tabs>
        <w:numPr>
          <w:ilvl w:val="0"/>
          <w:numId w:val="1"/>
        </w:numPr>
        <w:rPr>
          <w:rFonts w:ascii="Times New Roman" w:cs="Times New Roman" w:eastAsia="Times New Roman" w:hAnsi="Times New Roman"/>
          <w:sz w:val="23"/>
          <w:szCs w:val="23"/>
          <w:color w:val="0000FF"/>
          <w:highlight w:val="white"/>
          <w:vertAlign w:val="subscript"/>
        </w:rPr>
      </w:pPr>
      <w:r>
        <w:rPr>
          <w:rFonts w:ascii="Arial" w:cs="Arial" w:eastAsia="Arial" w:hAnsi="Arial"/>
          <w:sz w:val="10"/>
          <w:szCs w:val="10"/>
          <w:color w:val="auto"/>
        </w:rPr>
        <w:t>Check this box to indicate that a transaction was made pursuant to a contract, instruction or written plan that is intended to satisfy the affirmative defense conditions of Rule 10b5-1(c). See Instruction 10.</w:t>
      </w:r>
    </w:p>
    <w:p>
      <w:pPr>
        <w:spacing w:after="0" w:line="200" w:lineRule="exact"/>
        <w:rPr>
          <w:sz w:val="24"/>
          <w:szCs w:val="24"/>
          <w:color w:val="auto"/>
        </w:rPr>
      </w:pPr>
    </w:p>
    <w:p>
      <w:pPr>
        <w:sectPr>
          <w:pgSz w:w="11900" w:h="16838" w:orient="portrait"/>
          <w:cols w:equalWidth="0" w:num="2">
            <w:col w:w="3760" w:space="80"/>
            <w:col w:w="7160"/>
          </w:cols>
          <w:pgMar w:left="460" w:top="219" w:right="439" w:bottom="0" w:gutter="0" w:footer="0" w:header="0"/>
          <w:type w:val="continuous"/>
        </w:sectPr>
      </w:pPr>
    </w:p>
    <w:p>
      <w:pPr>
        <w:spacing w:after="0" w:line="1"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3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60" w:type="dxa"/>
            <w:vAlign w:val="bottom"/>
          </w:tcPr>
          <w:p>
            <w:pPr>
              <w:ind w:left="6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0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020" w:type="dxa"/>
            <w:vAlign w:val="bottom"/>
            <w:gridSpan w:val="3"/>
          </w:tcPr>
          <w:p>
            <w:pPr>
              <w:jc w:val="cente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ind w:left="6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9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2360" w:type="dxa"/>
            <w:vAlign w:val="bottom"/>
          </w:tcPr>
          <w:p>
            <w:pPr>
              <w:spacing w:after="0"/>
              <w:rPr>
                <w:sz w:val="6"/>
                <w:szCs w:val="6"/>
                <w:color w:val="auto"/>
              </w:rPr>
            </w:pPr>
          </w:p>
        </w:tc>
        <w:tc>
          <w:tcPr>
            <w:tcW w:w="166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11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vMerge w:val="restart"/>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360" w:type="dxa"/>
            <w:vAlign w:val="bottom"/>
          </w:tcPr>
          <w:p>
            <w:pPr>
              <w:spacing w:after="0"/>
              <w:rPr>
                <w:sz w:val="3"/>
                <w:szCs w:val="3"/>
                <w:color w:val="auto"/>
              </w:rPr>
            </w:pPr>
          </w:p>
        </w:tc>
        <w:tc>
          <w:tcPr>
            <w:tcW w:w="166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520" w:type="dxa"/>
            <w:vAlign w:val="bottom"/>
          </w:tcPr>
          <w:p>
            <w:pPr>
              <w:spacing w:after="0"/>
              <w:rPr>
                <w:sz w:val="3"/>
                <w:szCs w:val="3"/>
                <w:color w:val="auto"/>
              </w:rPr>
            </w:pPr>
          </w:p>
        </w:tc>
        <w:tc>
          <w:tcPr>
            <w:tcW w:w="7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2360" w:type="dxa"/>
            <w:vAlign w:val="bottom"/>
          </w:tcPr>
          <w:p>
            <w:pPr>
              <w:spacing w:after="0"/>
              <w:rPr>
                <w:sz w:val="11"/>
                <w:szCs w:val="11"/>
                <w:color w:val="auto"/>
              </w:rPr>
            </w:pPr>
          </w:p>
        </w:tc>
        <w:tc>
          <w:tcPr>
            <w:tcW w:w="166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52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60" w:type="dxa"/>
            <w:vAlign w:val="bottom"/>
            <w:vMerge w:val="continue"/>
          </w:tcPr>
          <w:p>
            <w:pPr>
              <w:spacing w:after="0"/>
              <w:rPr>
                <w:sz w:val="8"/>
                <w:szCs w:val="8"/>
                <w:color w:val="auto"/>
              </w:rPr>
            </w:pPr>
          </w:p>
        </w:tc>
        <w:tc>
          <w:tcPr>
            <w:tcW w:w="114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2360" w:type="dxa"/>
            <w:vAlign w:val="bottom"/>
          </w:tcPr>
          <w:p>
            <w:pPr>
              <w:spacing w:after="0"/>
              <w:rPr>
                <w:sz w:val="5"/>
                <w:szCs w:val="5"/>
                <w:color w:val="auto"/>
              </w:rPr>
            </w:pPr>
          </w:p>
        </w:tc>
        <w:tc>
          <w:tcPr>
            <w:tcW w:w="166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52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2360" w:type="dxa"/>
            <w:vAlign w:val="bottom"/>
            <w:tcBorders>
              <w:bottom w:val="single" w:sz="8" w:color="2C2C2C"/>
            </w:tcBorders>
          </w:tcPr>
          <w:p>
            <w:pPr>
              <w:spacing w:after="0"/>
              <w:rPr>
                <w:sz w:val="3"/>
                <w:szCs w:val="3"/>
                <w:color w:val="auto"/>
              </w:rPr>
            </w:pPr>
          </w:p>
        </w:tc>
        <w:tc>
          <w:tcPr>
            <w:tcW w:w="1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05/22/2024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45,000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22.81</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635,108</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236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Borders>
              <w:bottom w:val="single" w:sz="8" w:color="2C2C2C"/>
            </w:tcBorders>
          </w:tcPr>
          <w:p>
            <w:pPr>
              <w:jc w:val="right"/>
              <w:ind w:right="89"/>
              <w:spacing w:after="0"/>
              <w:rPr>
                <w:sz w:val="20"/>
                <w:szCs w:val="20"/>
                <w:color w:val="auto"/>
              </w:rPr>
            </w:pPr>
            <w:r>
              <w:rPr>
                <w:rFonts w:ascii="Times New Roman" w:cs="Times New Roman" w:eastAsia="Times New Roman" w:hAnsi="Times New Roman"/>
                <w:sz w:val="17"/>
                <w:szCs w:val="17"/>
                <w:color w:val="0000FF"/>
              </w:rPr>
              <w:t>05/22/2024</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40" w:type="dxa"/>
            <w:vAlign w:val="bottom"/>
            <w:tcBorders>
              <w:bottom w:val="single" w:sz="8" w:color="2C2C2C"/>
            </w:tcBorders>
          </w:tcPr>
          <w:p>
            <w:pPr>
              <w:jc w:val="right"/>
              <w:ind w:right="29"/>
              <w:spacing w:after="0"/>
              <w:rPr>
                <w:sz w:val="20"/>
                <w:szCs w:val="20"/>
                <w:color w:val="auto"/>
              </w:rPr>
            </w:pPr>
            <w:r>
              <w:rPr>
                <w:rFonts w:ascii="Times New Roman" w:cs="Times New Roman" w:eastAsia="Times New Roman" w:hAnsi="Times New Roman"/>
                <w:sz w:val="17"/>
                <w:szCs w:val="17"/>
                <w:color w:val="0000FF"/>
              </w:rPr>
              <w:t>45,000</w:t>
            </w:r>
          </w:p>
        </w:tc>
        <w:tc>
          <w:tcPr>
            <w:tcW w:w="5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ind w:left="8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22.81</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590,108</w:t>
            </w:r>
          </w:p>
        </w:tc>
        <w:tc>
          <w:tcPr>
            <w:tcW w:w="9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Jing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100,002</w:t>
            </w:r>
          </w:p>
        </w:tc>
        <w:tc>
          <w:tcPr>
            <w:tcW w:w="90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 wife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360" w:type="dxa"/>
            <w:vAlign w:val="bottom"/>
            <w:vMerge w:val="continue"/>
          </w:tcPr>
          <w:p>
            <w:pPr>
              <w:spacing w:after="0"/>
              <w:rPr>
                <w:sz w:val="10"/>
                <w:szCs w:val="10"/>
                <w:color w:val="auto"/>
              </w:rPr>
            </w:pPr>
          </w:p>
        </w:tc>
        <w:tc>
          <w:tcPr>
            <w:tcW w:w="166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900" w:type="dxa"/>
            <w:vAlign w:val="bottom"/>
            <w:vMerge w:val="continue"/>
          </w:tcPr>
          <w:p>
            <w:pPr>
              <w:spacing w:after="0"/>
              <w:rPr>
                <w:sz w:val="10"/>
                <w:szCs w:val="10"/>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of David</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2360" w:type="dxa"/>
            <w:vAlign w:val="bottom"/>
          </w:tcPr>
          <w:p>
            <w:pPr>
              <w:spacing w:after="0"/>
              <w:rPr>
                <w:sz w:val="8"/>
                <w:szCs w:val="8"/>
                <w:color w:val="auto"/>
              </w:rPr>
            </w:pPr>
          </w:p>
        </w:tc>
        <w:tc>
          <w:tcPr>
            <w:tcW w:w="166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40" w:type="dxa"/>
            <w:vAlign w:val="bottom"/>
          </w:tcPr>
          <w:p>
            <w:pPr>
              <w:spacing w:after="0"/>
              <w:rPr>
                <w:sz w:val="8"/>
                <w:szCs w:val="8"/>
                <w:color w:val="auto"/>
              </w:rPr>
            </w:pPr>
          </w:p>
        </w:tc>
        <w:tc>
          <w:tcPr>
            <w:tcW w:w="520" w:type="dxa"/>
            <w:vAlign w:val="bottom"/>
          </w:tcPr>
          <w:p>
            <w:pPr>
              <w:spacing w:after="0"/>
              <w:rPr>
                <w:sz w:val="8"/>
                <w:szCs w:val="8"/>
                <w:color w:val="auto"/>
              </w:rPr>
            </w:pPr>
          </w:p>
        </w:tc>
        <w:tc>
          <w:tcPr>
            <w:tcW w:w="760" w:type="dxa"/>
            <w:vAlign w:val="bottom"/>
          </w:tcPr>
          <w:p>
            <w:pPr>
              <w:spacing w:after="0"/>
              <w:rPr>
                <w:sz w:val="8"/>
                <w:szCs w:val="8"/>
                <w:color w:val="auto"/>
              </w:rPr>
            </w:pPr>
          </w:p>
        </w:tc>
        <w:tc>
          <w:tcPr>
            <w:tcW w:w="1140" w:type="dxa"/>
            <w:vAlign w:val="bottom"/>
          </w:tcPr>
          <w:p>
            <w:pPr>
              <w:spacing w:after="0"/>
              <w:rPr>
                <w:sz w:val="8"/>
                <w:szCs w:val="8"/>
                <w:color w:val="auto"/>
              </w:rPr>
            </w:pPr>
          </w:p>
        </w:tc>
        <w:tc>
          <w:tcPr>
            <w:tcW w:w="900" w:type="dxa"/>
            <w:vAlign w:val="bottom"/>
          </w:tcPr>
          <w:p>
            <w:pPr>
              <w:spacing w:after="0"/>
              <w:rPr>
                <w:sz w:val="8"/>
                <w:szCs w:val="8"/>
                <w:color w:val="auto"/>
              </w:rPr>
            </w:pPr>
          </w:p>
        </w:tc>
        <w:tc>
          <w:tcPr>
            <w:tcW w:w="940" w:type="dxa"/>
            <w:vAlign w:val="bottom"/>
            <w:vMerge w:val="continue"/>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 Wang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Sophia</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45,837</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daughter of</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David H.</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David</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Hui 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and Jing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180,000</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 for</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Wang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Children</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36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Wang-</w:t>
            </w: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Chen</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620,001</w:t>
            </w:r>
          </w:p>
        </w:tc>
        <w:tc>
          <w:tcPr>
            <w:tcW w:w="90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Family</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Living</w:t>
            </w: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3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Borders>
              <w:bottom w:val="single" w:sz="8" w:color="2C2C2C"/>
            </w:tcBorders>
          </w:tcPr>
          <w:p>
            <w:pPr>
              <w:spacing w:after="0"/>
              <w:rPr>
                <w:sz w:val="5"/>
                <w:szCs w:val="5"/>
                <w:color w:val="auto"/>
              </w:rPr>
            </w:pPr>
          </w:p>
        </w:tc>
        <w:tc>
          <w:tcPr>
            <w:tcW w:w="2360" w:type="dxa"/>
            <w:vAlign w:val="bottom"/>
            <w:tcBorders>
              <w:bottom w:val="single" w:sz="8" w:color="2C2C2C"/>
            </w:tcBorders>
          </w:tcPr>
          <w:p>
            <w:pPr>
              <w:spacing w:after="0"/>
              <w:rPr>
                <w:sz w:val="5"/>
                <w:szCs w:val="5"/>
                <w:color w:val="auto"/>
              </w:rPr>
            </w:pPr>
          </w:p>
        </w:tc>
        <w:tc>
          <w:tcPr>
            <w:tcW w:w="1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52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pursuant to a Rule 10b5-1 trading plan adopted by the reporting person on June 13, 2023.</w:t>
      </w:r>
    </w:p>
    <w:p>
      <w:pPr>
        <w:spacing w:after="0" w:line="50" w:lineRule="exact"/>
        <w:rPr>
          <w:rFonts w:ascii="Times New Roman" w:cs="Times New Roman" w:eastAsia="Times New Roman" w:hAnsi="Times New Roman"/>
          <w:sz w:val="13"/>
          <w:szCs w:val="13"/>
          <w:color w:val="008000"/>
        </w:rPr>
      </w:pPr>
    </w:p>
    <w:p>
      <w:pPr>
        <w:jc w:val="both"/>
        <w:ind w:left="40" w:right="10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sold in multiple transactions at prices ranging from $22.47 to $23.31, inclusive. The reporting person undertakes to provide to the Issuer, any security holder of the Issuer, or the staff of the Securities and Exchange Commission, upon request, full information regarding the number of shares sold at each separate price within the ranges set forth in footnotes (2) and (3) to this Form 4.</w:t>
      </w:r>
    </w:p>
    <w:p>
      <w:pPr>
        <w:sectPr>
          <w:pgSz w:w="11900" w:h="16838" w:orient="portrait"/>
          <w:cols w:equalWidth="0" w:num="1">
            <w:col w:w="11000"/>
          </w:cols>
          <w:pgMar w:left="460" w:top="219" w:right="439" w:bottom="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3"/>
          <w:szCs w:val="13"/>
          <w:color w:val="008000"/>
        </w:rPr>
        <w:t>3. The price reported in Column 4 is a weighted average price. The shares were sold in multiple transactions at prices ranging from $22.48 to $23.31, inclusive.</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008000"/>
        </w:rPr>
        <w:t>Chief Executive Officer, President and Director</w:t>
      </w:r>
    </w:p>
    <w:p>
      <w:pPr>
        <w:spacing w:after="0" w:line="75"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/s/ Mark McKechnie,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93789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93789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Attorney-in-Fact for David H. 05/24/2024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8973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Wang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2540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54000" cy="8255"/>
                    </a:xfrm>
                    <a:prstGeom prst="rect">
                      <a:avLst/>
                    </a:prstGeom>
                    <a:noFill/>
                  </pic:spPr>
                </pic:pic>
              </a:graphicData>
            </a:graphic>
          </wp:anchor>
        </w:drawing>
      </w:r>
    </w:p>
    <w:p>
      <w:pPr>
        <w:spacing w:after="0" w:line="40" w:lineRule="exact"/>
        <w:rPr>
          <w:sz w:val="20"/>
          <w:szCs w:val="20"/>
          <w:color w:val="auto"/>
        </w:rPr>
      </w:pPr>
    </w:p>
    <w:p>
      <w:pPr>
        <w:ind w:left="6540"/>
        <w:spacing w:after="0"/>
        <w:tabs>
          <w:tab w:leader="none" w:pos="872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7" w:right="12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2" Type="http://schemas.openxmlformats.org/officeDocument/2006/relationships/hyperlink" Target="http://www.sec.gov/cgi-bin/browse-edgar?action=getcompany&amp;CIK=0001721580" TargetMode="External"/><Relationship Id="rId13" Type="http://schemas.openxmlformats.org/officeDocument/2006/relationships/hyperlink" Target="http://www.sec.gov/cgi-bin/browse-edgar?action=getcompany&amp;CIK=000168006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2024-05-24T16:19:16Z</dcterms:created>
  <dcterms:modified xsi:type="dcterms:W3CDTF">2024-05-24T16:19:16Z</dcterms:modified>
</cp:coreProperties>
</file>