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Wang Jian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11/02/2017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ACM RESEARCH,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42307 OSGOOD ROAD, SUITE I</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FREMONT   CA</w:t>
            </w:r>
          </w:p>
        </w:tc>
        <w:tc>
          <w:tcPr>
            <w:tcW w:w="840" w:type="dxa"/>
            <w:vAlign w:val="bottom"/>
          </w:tcPr>
          <w:p>
            <w:pPr>
              <w:jc w:val="right"/>
              <w:spacing w:after="0"/>
              <w:rPr>
                <w:sz w:val="20"/>
                <w:szCs w:val="20"/>
                <w:color w:val="auto"/>
              </w:rPr>
            </w:pPr>
            <w:r>
              <w:rPr>
                <w:rFonts w:ascii="Arial" w:cs="Arial" w:eastAsia="Arial" w:hAnsi="Arial"/>
                <w:sz w:val="18"/>
                <w:szCs w:val="18"/>
                <w:color w:val="0000FF"/>
              </w:rPr>
              <w:t>94539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20" w:type="dxa"/>
            <w:vAlign w:val="bottom"/>
          </w:tcPr>
          <w:p>
            <w:pPr>
              <w:jc w:val="right"/>
              <w:ind w:right="842"/>
              <w:spacing w:after="0"/>
              <w:rPr>
                <w:sz w:val="20"/>
                <w:szCs w:val="20"/>
                <w:color w:val="auto"/>
              </w:rPr>
            </w:pPr>
            <w:r>
              <w:rPr>
                <w:rFonts w:ascii="Arial" w:cs="Arial" w:eastAsia="Arial" w:hAnsi="Arial"/>
                <w:sz w:val="18"/>
                <w:szCs w:val="18"/>
                <w:color w:val="0000FF"/>
              </w:rPr>
              <w:t>84,386</w:t>
            </w:r>
          </w:p>
        </w:tc>
        <w:tc>
          <w:tcPr>
            <w:tcW w:w="740" w:type="dxa"/>
            <w:vAlign w:val="bottom"/>
          </w:tcPr>
          <w:p>
            <w:pPr>
              <w:ind w:left="4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20" w:type="dxa"/>
            <w:vAlign w:val="bottom"/>
          </w:tcPr>
          <w:p>
            <w:pPr>
              <w:jc w:val="right"/>
              <w:ind w:right="842"/>
              <w:spacing w:after="0"/>
              <w:rPr>
                <w:sz w:val="20"/>
                <w:szCs w:val="20"/>
                <w:color w:val="auto"/>
              </w:rPr>
            </w:pPr>
            <w:r>
              <w:rPr>
                <w:rFonts w:ascii="Arial" w:cs="Arial" w:eastAsia="Arial" w:hAnsi="Arial"/>
                <w:sz w:val="18"/>
                <w:szCs w:val="18"/>
                <w:color w:val="0000FF"/>
              </w:rPr>
              <w:t>50,001</w:t>
            </w:r>
          </w:p>
        </w:tc>
        <w:tc>
          <w:tcPr>
            <w:tcW w:w="740" w:type="dxa"/>
            <w:vAlign w:val="bottom"/>
          </w:tcPr>
          <w:p>
            <w:pPr>
              <w:ind w:left="4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05/01/2025</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33,334</w:t>
            </w:r>
          </w:p>
        </w:tc>
        <w:tc>
          <w:tcPr>
            <w:tcW w:w="880" w:type="dxa"/>
            <w:vAlign w:val="bottom"/>
          </w:tcPr>
          <w:p>
            <w:pPr>
              <w:ind w:left="340"/>
              <w:spacing w:after="0"/>
              <w:rPr>
                <w:sz w:val="20"/>
                <w:szCs w:val="20"/>
                <w:color w:val="auto"/>
              </w:rPr>
            </w:pPr>
            <w:r>
              <w:rPr>
                <w:rFonts w:ascii="Arial" w:cs="Arial" w:eastAsia="Arial" w:hAnsi="Arial"/>
                <w:sz w:val="18"/>
                <w:szCs w:val="18"/>
                <w:color w:val="0000FF"/>
              </w:rPr>
              <w:t>1.5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and became exercisable as to 8,333 shares on May 1, 2016 and the remaining 25,001 shares vest and become exercisable in equal monthly installments over the following 36 months, subject to continued service through each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Vice President, Research and Development of ACM Research(Shanghai), Inc, a subsidiary of the Issuer</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Mark L Johnson, Attorney-</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11/02/2017</w:t>
            </w:r>
          </w:p>
        </w:tc>
        <w:tc>
          <w:tcPr>
            <w:tcW w:w="0" w:type="dxa"/>
            <w:vAlign w:val="bottom"/>
          </w:tcPr>
          <w:p>
            <w:pPr>
              <w:spacing w:after="0"/>
              <w:rPr>
                <w:sz w:val="1"/>
                <w:szCs w:val="1"/>
                <w:color w:val="auto"/>
              </w:rPr>
            </w:pPr>
          </w:p>
        </w:tc>
      </w:tr>
      <w:tr>
        <w:trPr>
          <w:trHeight w:val="88"/>
        </w:trPr>
        <w:tc>
          <w:tcPr>
            <w:tcW w:w="154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in-Fact for Jian Wang</w:t>
            </w:r>
          </w:p>
        </w:tc>
        <w:tc>
          <w:tcPr>
            <w:tcW w:w="68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4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21620" TargetMode="External"/><Relationship Id="rId12"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2019-12-04T02:34:35Z</dcterms:created>
  <dcterms:modified xsi:type="dcterms:W3CDTF">2019-12-04T02:34:35Z</dcterms:modified>
</cp:coreProperties>
</file>