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931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6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Cheav Sotheara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740"/>
        <w:spacing w:after="0" w:line="321"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427" w:lineRule="exact"/>
        <w:rPr>
          <w:sz w:val="24"/>
          <w:szCs w:val="24"/>
          <w:color w:val="auto"/>
        </w:rPr>
      </w:pPr>
    </w:p>
    <w:p>
      <w:pPr>
        <w:sectPr>
          <w:pgSz w:w="11900" w:h="16838" w:orient="portrait"/>
          <w:cols w:equalWidth="0" w:num="3">
            <w:col w:w="3200" w:space="720"/>
            <w:col w:w="3103" w:space="720"/>
            <w:col w:w="3337"/>
          </w:cols>
          <w:pgMar w:left="460" w:top="216" w:right="359" w:bottom="688"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60" w:type="dxa"/>
            <w:vAlign w:val="bottom"/>
            <w:gridSpan w:val="7"/>
          </w:tcPr>
          <w:p>
            <w:pPr>
              <w:jc w:val="right"/>
              <w:ind w:right="153"/>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94539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08/16/2022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135,002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08/16/2022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130,002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08/17/2022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135,002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08/17/2022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9,182</w:t>
            </w:r>
          </w:p>
        </w:tc>
        <w:tc>
          <w:tcPr>
            <w:tcW w:w="68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125,820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89"/>
              <w:spacing w:after="0"/>
              <w:rPr>
                <w:sz w:val="20"/>
                <w:szCs w:val="20"/>
                <w:color w:val="auto"/>
              </w:rPr>
            </w:pPr>
            <w:r>
              <w:rPr>
                <w:rFonts w:ascii="Times New Roman" w:cs="Times New Roman" w:eastAsia="Times New Roman" w:hAnsi="Times New Roman"/>
                <w:sz w:val="17"/>
                <w:szCs w:val="17"/>
                <w:color w:val="0000FF"/>
                <w:w w:val="98"/>
              </w:rPr>
              <w:t>08/17/2022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5,818</w:t>
            </w:r>
          </w:p>
        </w:tc>
        <w:tc>
          <w:tcPr>
            <w:tcW w:w="68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18.29</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120,002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08/16/2022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07/31/2028</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40,000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08/17/2022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07/31/2028</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35,000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-2461260</wp:posOffset>
            </wp:positionV>
            <wp:extent cx="29210" cy="2466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63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16, 2022, the reporting person exercised a previously issued stock option to purchase 5,000 shares of Class A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17, 2022, the reporting person exercised a previously issued stock option to purchase 5,000 shares of Class A Common Stock of the Issuer.</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$19.27 to $19.54,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(4), (5) and (6)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$17.13 to $18.06,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$18.16 to $18.53,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 Exhibit List: Exhibit 24 - Power of Attorney</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08/18/2022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57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688"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696722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7220" cy="33020"/>
                    </a:xfrm>
                    <a:prstGeom prst="rect">
                      <a:avLst/>
                    </a:prstGeom>
                    <a:noFill/>
                  </pic:spPr>
                </pic:pic>
              </a:graphicData>
            </a:graphic>
          </wp:anchor>
        </w:drawing>
        <w:t>Exhibit 24</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(For Executing Forms ID, 3, 4 and 5 for Filing with the Securities and Exchange Commission)</w:t>
      </w:r>
    </w:p>
    <w:p>
      <w:pPr>
        <w:spacing w:after="0" w:line="202" w:lineRule="exact"/>
        <w:rPr>
          <w:sz w:val="20"/>
          <w:szCs w:val="20"/>
          <w:color w:val="auto"/>
        </w:rPr>
      </w:pPr>
    </w:p>
    <w:p>
      <w:pPr>
        <w:jc w:val="both"/>
        <w:spacing w:after="0" w:line="258" w:lineRule="exact"/>
        <w:rPr>
          <w:sz w:val="20"/>
          <w:szCs w:val="20"/>
          <w:color w:val="auto"/>
        </w:rPr>
      </w:pPr>
      <w:r>
        <w:rPr>
          <w:rFonts w:ascii="Times New Roman" w:cs="Times New Roman" w:eastAsia="Times New Roman" w:hAnsi="Times New Roman"/>
          <w:sz w:val="21"/>
          <w:szCs w:val="21"/>
          <w:color w:val="auto"/>
        </w:rPr>
        <w:t>Know all by these present, that the undersigned hereby constitutes and appoints each of Mark McKechnie of ACM Research, Inc. and Bella Zaslavsky, Hillary Pellerin O’Rourke, Andrew H. Galtieri of K&amp;L Gates LLP, severally with full power of substitution, as the undersigned’s true and lawful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to:</w:t>
      </w:r>
    </w:p>
    <w:p>
      <w:pPr>
        <w:spacing w:after="0" w:line="182" w:lineRule="exact"/>
        <w:rPr>
          <w:sz w:val="20"/>
          <w:szCs w:val="20"/>
          <w:color w:val="auto"/>
        </w:rPr>
      </w:pPr>
    </w:p>
    <w:p>
      <w:pPr>
        <w:jc w:val="both"/>
        <w:ind w:left="320" w:hanging="273"/>
        <w:spacing w:after="0" w:line="268" w:lineRule="auto"/>
        <w:tabs>
          <w:tab w:leader="none" w:pos="3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or any rule or regulation thereunder;</w:t>
      </w:r>
    </w:p>
    <w:p>
      <w:pPr>
        <w:spacing w:after="0" w:line="193" w:lineRule="exact"/>
        <w:rPr>
          <w:rFonts w:ascii="Times New Roman" w:cs="Times New Roman" w:eastAsia="Times New Roman" w:hAnsi="Times New Roman"/>
          <w:sz w:val="17"/>
          <w:szCs w:val="17"/>
          <w:color w:val="auto"/>
        </w:rPr>
      </w:pPr>
    </w:p>
    <w:p>
      <w:pPr>
        <w:jc w:val="both"/>
        <w:ind w:left="320" w:hanging="316"/>
        <w:spacing w:after="0" w:line="267" w:lineRule="auto"/>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 from time to time Forms 3, 4 and 5 (including amendments thereto and joint filing agreements in connection therewith) in accordance with Section 16(a) of the Exchange Act and the rules thereunder in the undersigned’s capacity as an officer, director or beneficial owner of more than ten percent of a registered class of securities of various entities (collectively,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left="320" w:hanging="316"/>
        <w:spacing w:after="0" w:line="273" w:lineRule="auto"/>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similar authority; and</w:t>
      </w:r>
    </w:p>
    <w:p>
      <w:pPr>
        <w:spacing w:after="0" w:line="163" w:lineRule="exact"/>
        <w:rPr>
          <w:rFonts w:ascii="Times New Roman" w:cs="Times New Roman" w:eastAsia="Times New Roman" w:hAnsi="Times New Roman"/>
          <w:sz w:val="17"/>
          <w:szCs w:val="17"/>
          <w:color w:val="auto"/>
        </w:rPr>
      </w:pPr>
    </w:p>
    <w:p>
      <w:pPr>
        <w:jc w:val="both"/>
        <w:ind w:left="320" w:hanging="316"/>
        <w:spacing w:after="0" w:line="219" w:lineRule="exact"/>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that, in the opinion of such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may be of benefit to, in the best interest of, or legally required of the undersigned, it being understood that the documents executed by either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may approve in the attorney-in-fact’s discretion.</w:t>
      </w:r>
    </w:p>
    <w:p>
      <w:pPr>
        <w:spacing w:after="0" w:line="19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severally,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either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in serving in such capacity at the request of the undersigned, neither of the foregoing attorneys-in-fact, or their substitutes, is assuming (nor is the Company assuming) any of the undersigned’s responsibilities to comply with Section 16 of the Exchange Act.</w:t>
      </w:r>
    </w:p>
    <w:p>
      <w:pPr>
        <w:spacing w:after="0" w:line="20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time as of which the undersigned is no longer required to file Forms 3, 4 and 5 with respect to the undersigned’s holdings of and transactions in securities issued by the Company, (b) revocation of this Power of Attorney by the undersigned in a signed writing delivered to the Company and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(c) with respect to either attorney-in-fact, the time as of which such attorney-in-fact is no longer affiliated with K&amp;L Gates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1"/>
          <w:szCs w:val="21"/>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1"/>
          <w:szCs w:val="21"/>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1"/>
          <w:szCs w:val="21"/>
          <w:color w:val="auto"/>
        </w:rPr>
        <w:t>, the undersigned has caused this Power of Attorney to be executed as of the date written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16,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Sotheara Cheav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19685</wp:posOffset>
            </wp:positionV>
            <wp:extent cx="327342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73425" cy="1651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Sotheara Cheav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696722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220" cy="16510"/>
                    </a:xfrm>
                    <a:prstGeom prst="rect">
                      <a:avLst/>
                    </a:prstGeom>
                    <a:noFill/>
                  </pic:spPr>
                </pic:pic>
              </a:graphicData>
            </a:graphic>
          </wp:anchor>
        </w:drawing>
      </w:r>
    </w:p>
    <w:sectPr>
      <w:pgSz w:w="11900" w:h="16838" w:orient="portrait"/>
      <w:cols w:equalWidth="0" w:num="1">
        <w:col w:w="10980"/>
      </w:cols>
      <w:pgMar w:left="460" w:top="2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2022-08-18T20:32:19Z</dcterms:created>
  <dcterms:modified xsi:type="dcterms:W3CDTF">2022-08-18T20:32:19Z</dcterms:modified>
</cp:coreProperties>
</file>