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Pursuant to Section 13 or 15(d) of the Securities Exchange Act of 1934</w:t>
      </w:r>
    </w:p>
    <w:p>
      <w:pPr>
        <w:spacing w:after="0" w:line="16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7, 2019</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ACM Research, Inc.</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ectPr>
          <w:pgSz w:w="11900" w:h="16838" w:orient="portrait"/>
          <w:cols w:equalWidth="0" w:num="1">
            <w:col w:w="11420"/>
          </w:cols>
          <w:pgMar w:left="240" w:top="852" w:right="239" w:bottom="1440" w:gutter="0" w:footer="0" w:header="0"/>
        </w:sectPr>
      </w:pPr>
    </w:p>
    <w:p>
      <w:pPr>
        <w:spacing w:after="0" w:line="136" w:lineRule="exact"/>
        <w:rPr>
          <w:sz w:val="24"/>
          <w:szCs w:val="24"/>
          <w:color w:val="auto"/>
        </w:rPr>
      </w:pPr>
    </w:p>
    <w:p>
      <w:pPr>
        <w:jc w:val="center"/>
        <w:ind w:left="13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3" w:lineRule="exact"/>
        <w:rPr>
          <w:sz w:val="24"/>
          <w:szCs w:val="24"/>
          <w:color w:val="auto"/>
        </w:rPr>
      </w:pPr>
    </w:p>
    <w:p>
      <w:pPr>
        <w:jc w:val="center"/>
        <w:ind w:left="1320"/>
        <w:spacing w:after="0"/>
        <w:rPr>
          <w:sz w:val="20"/>
          <w:szCs w:val="20"/>
          <w:color w:val="auto"/>
        </w:rPr>
      </w:pPr>
      <w:r>
        <w:rPr>
          <w:rFonts w:ascii="Times New Roman" w:cs="Times New Roman" w:eastAsia="Times New Roman" w:hAnsi="Times New Roman"/>
          <w:sz w:val="16"/>
          <w:szCs w:val="16"/>
          <w:i w:val="1"/>
          <w:iCs w:val="1"/>
          <w:color w:val="auto"/>
        </w:rPr>
        <w:t>(State or Other Jurisdiction of</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001-38273</w:t>
      </w:r>
    </w:p>
    <w:p>
      <w:pPr>
        <w:spacing w:after="0" w:line="23"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94-3290283</w:t>
      </w:r>
    </w:p>
    <w:p>
      <w:pPr>
        <w:spacing w:after="0" w:line="23"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6"/>
          <w:szCs w:val="16"/>
          <w:i w:val="1"/>
          <w:iCs w:val="1"/>
          <w:color w:val="auto"/>
        </w:rPr>
        <w:t>(I.R.S. Employer Identification No.)</w:t>
      </w:r>
    </w:p>
    <w:p>
      <w:pPr>
        <w:spacing w:after="0" w:line="32" w:lineRule="exact"/>
        <w:rPr>
          <w:sz w:val="24"/>
          <w:szCs w:val="24"/>
          <w:color w:val="auto"/>
        </w:rPr>
      </w:pPr>
    </w:p>
    <w:p>
      <w:pPr>
        <w:sectPr>
          <w:pgSz w:w="11900" w:h="16838" w:orient="portrait"/>
          <w:cols w:equalWidth="0" w:num="3">
            <w:col w:w="4020" w:space="720"/>
            <w:col w:w="2040" w:space="720"/>
            <w:col w:w="3920"/>
          </w:cols>
          <w:pgMar w:left="240" w:top="852" w:right="239" w:bottom="1440" w:gutter="0" w:footer="0" w:header="0"/>
          <w:type w:val="continuous"/>
        </w:sectPr>
      </w:pPr>
    </w:p>
    <w:p>
      <w:pPr>
        <w:ind w:left="1560"/>
        <w:spacing w:after="0"/>
        <w:rPr>
          <w:sz w:val="20"/>
          <w:szCs w:val="20"/>
          <w:color w:val="auto"/>
        </w:rPr>
      </w:pPr>
      <w:r>
        <w:rPr>
          <w:rFonts w:ascii="Times New Roman" w:cs="Times New Roman" w:eastAsia="Times New Roman" w:hAnsi="Times New Roman"/>
          <w:sz w:val="16"/>
          <w:szCs w:val="16"/>
          <w:i w:val="1"/>
          <w:iCs w:val="1"/>
          <w:color w:val="auto"/>
        </w:rPr>
        <w:t>Incorporation or Organization)</w:t>
      </w:r>
    </w:p>
    <w:p>
      <w:pPr>
        <w:sectPr>
          <w:pgSz w:w="11900" w:h="16838" w:orient="portrait"/>
          <w:cols w:equalWidth="0" w:num="1">
            <w:col w:w="11420"/>
          </w:cols>
          <w:pgMar w:left="240" w:top="852" w:right="239" w:bottom="1440" w:gutter="0" w:footer="0" w:header="0"/>
          <w:type w:val="continuous"/>
        </w:sectPr>
      </w:pP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42307 Osgood Road, Suite I, Fremont, California 94539</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(Address of principal executive offices) (Zip code)</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 xml:space="preserve">Registrant’s telephone number, including area code: </w:t>
      </w:r>
      <w:r>
        <w:rPr>
          <w:rFonts w:ascii="Times New Roman" w:cs="Times New Roman" w:eastAsia="Times New Roman" w:hAnsi="Times New Roman"/>
          <w:sz w:val="18"/>
          <w:szCs w:val="18"/>
          <w:b w:val="1"/>
          <w:bCs w:val="1"/>
          <w:color w:val="auto"/>
        </w:rPr>
        <w:t>(510) 445-3700</w:t>
      </w:r>
    </w:p>
    <w:p>
      <w:pPr>
        <w:spacing w:after="0" w:line="160"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6"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8" w:lineRule="exact"/>
        <w:rPr>
          <w:sz w:val="24"/>
          <w:szCs w:val="24"/>
          <w:color w:val="auto"/>
        </w:rPr>
      </w:pPr>
    </w:p>
    <w:p>
      <w:pPr>
        <w:ind w:right="7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(§240.12b-2 of this chapter). Emerging growth company </w:t>
      </w:r>
      <w:r>
        <w:rPr>
          <w:rFonts w:ascii="MS PGothic" w:cs="MS PGothic" w:eastAsia="MS PGothic" w:hAnsi="MS PGothic"/>
          <w:sz w:val="18"/>
          <w:szCs w:val="18"/>
          <w:color w:val="auto"/>
        </w:rPr>
        <w:t>☑</w:t>
      </w:r>
    </w:p>
    <w:p>
      <w:pPr>
        <w:spacing w:after="0" w:line="117" w:lineRule="exact"/>
        <w:rPr>
          <w:sz w:val="24"/>
          <w:szCs w:val="24"/>
          <w:color w:val="auto"/>
        </w:rPr>
      </w:pPr>
    </w:p>
    <w:p>
      <w:pPr>
        <w:ind w:right="420"/>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4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36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8"/>
                <w:szCs w:val="18"/>
                <w:color w:val="auto"/>
                <w:w w:val="96"/>
              </w:rPr>
              <w:t>Trading Symbol</w:t>
            </w:r>
          </w:p>
        </w:tc>
        <w:tc>
          <w:tcPr>
            <w:tcW w:w="470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8"/>
                <w:szCs w:val="18"/>
                <w:color w:val="auto"/>
                <w:w w:val="97"/>
              </w:rPr>
              <w:t>Name of each exchange on which registered</w:t>
            </w:r>
          </w:p>
        </w:tc>
      </w:tr>
      <w:tr>
        <w:trPr>
          <w:trHeight w:val="228"/>
        </w:trPr>
        <w:tc>
          <w:tcPr>
            <w:tcW w:w="4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Class A Common Stock, $0.0001 par value</w:t>
            </w:r>
          </w:p>
        </w:tc>
        <w:tc>
          <w:tcPr>
            <w:tcW w:w="236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8"/>
              </w:rPr>
              <w:t>ACMR</w:t>
            </w:r>
          </w:p>
        </w:tc>
        <w:tc>
          <w:tcPr>
            <w:tcW w:w="470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8"/>
              </w:rPr>
              <w:t>NASDAQ Global Market</w:t>
            </w:r>
          </w:p>
        </w:tc>
      </w:tr>
      <w:tr>
        <w:trPr>
          <w:trHeight w:val="204"/>
        </w:trPr>
        <w:tc>
          <w:tcPr>
            <w:tcW w:w="436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tcPr>
          <w:p>
            <w:pPr>
              <w:spacing w:after="0"/>
              <w:rPr>
                <w:sz w:val="17"/>
                <w:szCs w:val="17"/>
                <w:color w:val="auto"/>
              </w:rPr>
            </w:pPr>
          </w:p>
        </w:tc>
        <w:tc>
          <w:tcPr>
            <w:tcW w:w="4700" w:type="dxa"/>
            <w:vAlign w:val="bottom"/>
            <w:tcBorders>
              <w:bottom w:val="single" w:sz="8" w:color="auto"/>
            </w:tcBorders>
          </w:tcPr>
          <w:p>
            <w:pPr>
              <w:spacing w:after="0"/>
              <w:rPr>
                <w:sz w:val="17"/>
                <w:szCs w:val="17"/>
                <w:color w:val="auto"/>
              </w:rPr>
            </w:pPr>
          </w:p>
        </w:tc>
      </w:tr>
    </w:tbl>
    <w:p>
      <w:pPr>
        <w:sectPr>
          <w:pgSz w:w="11900" w:h="16838" w:orient="portrait"/>
          <w:cols w:equalWidth="0" w:num="1">
            <w:col w:w="11420"/>
          </w:cols>
          <w:pgMar w:left="240" w:top="852"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7" w:lineRule="exact"/>
        <w:rPr>
          <w:sz w:val="20"/>
          <w:szCs w:val="20"/>
          <w:color w:val="auto"/>
        </w:rPr>
      </w:pPr>
    </w:p>
    <w:p>
      <w:pPr>
        <w:ind w:right="180" w:firstLine="486"/>
        <w:spacing w:after="0" w:line="275" w:lineRule="auto"/>
        <w:rPr>
          <w:sz w:val="20"/>
          <w:szCs w:val="20"/>
          <w:color w:val="auto"/>
        </w:rPr>
      </w:pPr>
      <w:r>
        <w:rPr>
          <w:rFonts w:ascii="Times New Roman" w:cs="Times New Roman" w:eastAsia="Times New Roman" w:hAnsi="Times New Roman"/>
          <w:sz w:val="18"/>
          <w:szCs w:val="18"/>
          <w:color w:val="auto"/>
        </w:rPr>
        <w:t>On August 7, 2019, we issued a press release announcing financial results for the second quarter of 2019. The full text of the press release is furnished as Exhibit 99.01 hereto and is incorporated herein by reference.</w:t>
      </w:r>
    </w:p>
    <w:p>
      <w:pPr>
        <w:spacing w:after="0" w:line="174" w:lineRule="exact"/>
        <w:rPr>
          <w:sz w:val="20"/>
          <w:szCs w:val="20"/>
          <w:color w:val="auto"/>
        </w:rPr>
      </w:pPr>
    </w:p>
    <w:p>
      <w:pPr>
        <w:ind w:right="260" w:firstLine="486"/>
        <w:spacing w:after="0" w:line="262" w:lineRule="auto"/>
        <w:rPr>
          <w:sz w:val="20"/>
          <w:szCs w:val="20"/>
          <w:color w:val="auto"/>
        </w:rPr>
      </w:pPr>
      <w:r>
        <w:rPr>
          <w:rFonts w:ascii="Times New Roman" w:cs="Times New Roman" w:eastAsia="Times New Roman" w:hAnsi="Times New Roman"/>
          <w:sz w:val="18"/>
          <w:szCs w:val="18"/>
          <w:color w:val="auto"/>
        </w:rPr>
        <w:t>The information contained herein,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 Exhibits.</w:t>
            </w:r>
          </w:p>
        </w:tc>
        <w:tc>
          <w:tcPr>
            <w:tcW w:w="680" w:type="dxa"/>
            <w:vAlign w:val="bottom"/>
          </w:tcPr>
          <w:p>
            <w:pPr>
              <w:spacing w:after="0"/>
              <w:rPr>
                <w:sz w:val="19"/>
                <w:szCs w:val="19"/>
                <w:color w:val="auto"/>
              </w:rPr>
            </w:pPr>
          </w:p>
        </w:tc>
        <w:tc>
          <w:tcPr>
            <w:tcW w:w="8320" w:type="dxa"/>
            <w:vAlign w:val="bottom"/>
          </w:tcPr>
          <w:p>
            <w:pPr>
              <w:spacing w:after="0"/>
              <w:rPr>
                <w:sz w:val="19"/>
                <w:szCs w:val="19"/>
                <w:color w:val="auto"/>
              </w:rPr>
            </w:pPr>
          </w:p>
        </w:tc>
      </w:tr>
      <w:tr>
        <w:trPr>
          <w:trHeight w:val="441"/>
        </w:trPr>
        <w:tc>
          <w:tcPr>
            <w:tcW w:w="20" w:type="dxa"/>
            <w:vAlign w:val="bottom"/>
          </w:tcPr>
          <w:p>
            <w:pPr>
              <w:spacing w:after="0"/>
              <w:rPr>
                <w:sz w:val="24"/>
                <w:szCs w:val="24"/>
                <w:color w:val="auto"/>
              </w:rPr>
            </w:pPr>
          </w:p>
        </w:tc>
        <w:tc>
          <w:tcPr>
            <w:tcW w:w="240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Exhibit Number</w:t>
            </w:r>
          </w:p>
        </w:tc>
        <w:tc>
          <w:tcPr>
            <w:tcW w:w="680" w:type="dxa"/>
            <w:vAlign w:val="bottom"/>
          </w:tcPr>
          <w:p>
            <w:pPr>
              <w:spacing w:after="0"/>
              <w:rPr>
                <w:sz w:val="24"/>
                <w:szCs w:val="24"/>
                <w:color w:val="auto"/>
              </w:rPr>
            </w:pPr>
          </w:p>
        </w:tc>
        <w:tc>
          <w:tcPr>
            <w:tcW w:w="8320" w:type="dxa"/>
            <w:vAlign w:val="bottom"/>
            <w:tcBorders>
              <w:bottom w:val="single" w:sz="8" w:color="auto"/>
            </w:tcBorders>
          </w:tcPr>
          <w:p>
            <w:pPr>
              <w:ind w:left="37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20" w:type="dxa"/>
            <w:vAlign w:val="bottom"/>
          </w:tcPr>
          <w:p>
            <w:pPr>
              <w:spacing w:after="0"/>
              <w:rPr>
                <w:sz w:val="15"/>
                <w:szCs w:val="15"/>
                <w:color w:val="auto"/>
              </w:rPr>
            </w:pPr>
          </w:p>
        </w:tc>
        <w:tc>
          <w:tcPr>
            <w:tcW w:w="2400" w:type="dxa"/>
            <w:vAlign w:val="bottom"/>
            <w:gridSpan w:val="3"/>
          </w:tcPr>
          <w:p>
            <w:pPr>
              <w:jc w:val="center"/>
              <w:ind w:right="1000"/>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01</w:t>
              </w:r>
            </w:hyperlink>
          </w:p>
        </w:tc>
        <w:tc>
          <w:tcPr>
            <w:tcW w:w="680" w:type="dxa"/>
            <w:vAlign w:val="bottom"/>
          </w:tcPr>
          <w:p>
            <w:pPr>
              <w:spacing w:after="0"/>
              <w:rPr>
                <w:sz w:val="15"/>
                <w:szCs w:val="15"/>
                <w:color w:val="auto"/>
              </w:rPr>
            </w:pPr>
          </w:p>
        </w:tc>
        <w:tc>
          <w:tcPr>
            <w:tcW w:w="83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Press Release of ACM Research, Inc. dated August 7, 2019</w:t>
            </w:r>
          </w:p>
        </w:tc>
      </w:tr>
      <w:tr>
        <w:trPr>
          <w:trHeight w:val="885"/>
        </w:trPr>
        <w:tc>
          <w:tcPr>
            <w:tcW w:w="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3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39" w:right="239" w:bottom="1440" w:gutter="0" w:footer="0" w:header="0"/>
        </w:sectPr>
      </w:pPr>
    </w:p>
    <w:bookmarkStart w:id="2" w:name="page3"/>
    <w:bookmarkEnd w:id="2"/>
    <w:p>
      <w:pPr>
        <w:jc w:val="center"/>
        <w:ind w:left="32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0" w:lineRule="exact"/>
        <w:rPr>
          <w:sz w:val="20"/>
          <w:szCs w:val="20"/>
          <w:color w:val="auto"/>
        </w:rPr>
      </w:pPr>
    </w:p>
    <w:p>
      <w:pPr>
        <w:ind w:firstLine="324"/>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filed on its behalf by the undersigned hereunto duly authorized.</w:t>
      </w:r>
    </w:p>
    <w:p>
      <w:pPr>
        <w:spacing w:after="0" w:line="32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ACM RESEARCH, INC.</w:t>
      </w:r>
    </w:p>
    <w:p>
      <w:pPr>
        <w:spacing w:after="0" w:line="225" w:lineRule="exact"/>
        <w:rPr>
          <w:sz w:val="20"/>
          <w:szCs w:val="20"/>
          <w:color w:val="auto"/>
        </w:rPr>
      </w:pPr>
    </w:p>
    <w:p>
      <w:pPr>
        <w:spacing w:after="0"/>
        <w:tabs>
          <w:tab w:leader="none" w:pos="5700" w:val="left"/>
        </w:tabs>
        <w:rPr>
          <w:sz w:val="20"/>
          <w:szCs w:val="20"/>
          <w:color w:val="auto"/>
        </w:rPr>
      </w:pPr>
      <w:r>
        <w:rPr>
          <w:rFonts w:ascii="Times New Roman" w:cs="Times New Roman" w:eastAsia="Times New Roman" w:hAnsi="Times New Roman"/>
          <w:sz w:val="18"/>
          <w:szCs w:val="18"/>
          <w:color w:val="auto"/>
        </w:rPr>
        <w:t>Date: August 8, 2019</w:t>
      </w:r>
      <w:r>
        <w:rPr>
          <w:sz w:val="20"/>
          <w:szCs w:val="20"/>
          <w:color w:val="auto"/>
        </w:rPr>
        <w:tab/>
      </w:r>
      <w:r>
        <w:rPr>
          <w:rFonts w:ascii="Times New Roman" w:cs="Times New Roman" w:eastAsia="Times New Roman" w:hAnsi="Times New Roman"/>
          <w:sz w:val="18"/>
          <w:szCs w:val="18"/>
          <w:color w:val="auto"/>
        </w:rPr>
        <w:t>By: /s/ David H.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David H. Wang</w:t>
      </w:r>
    </w:p>
    <w:p>
      <w:pPr>
        <w:spacing w:after="0" w:line="2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572770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20"/>
          </w:cols>
          <w:pgMar w:left="240" w:top="555" w:right="5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926465" cy="5746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2646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Reports Second Quarter 2019 Results</w:t>
      </w:r>
    </w:p>
    <w:p>
      <w:pPr>
        <w:spacing w:after="0" w:line="160" w:lineRule="exact"/>
        <w:rPr>
          <w:sz w:val="20"/>
          <w:szCs w:val="20"/>
          <w:color w:val="auto"/>
        </w:rPr>
      </w:pPr>
    </w:p>
    <w:p>
      <w:pPr>
        <w:jc w:val="both"/>
        <w:ind w:right="240"/>
        <w:spacing w:after="0" w:line="339" w:lineRule="auto"/>
        <w:rPr>
          <w:sz w:val="20"/>
          <w:szCs w:val="20"/>
          <w:color w:val="auto"/>
        </w:rPr>
      </w:pPr>
      <w:r>
        <w:rPr>
          <w:rFonts w:ascii="Times New Roman" w:cs="Times New Roman" w:eastAsia="Times New Roman" w:hAnsi="Times New Roman"/>
          <w:sz w:val="16"/>
          <w:szCs w:val="16"/>
          <w:color w:val="auto"/>
        </w:rPr>
        <w:t>FREMONT, California, August 7, 2019 (Globe Newswire) – ACM Research, Inc. (“ACM” or the “Company”) (NASDAQ:ACMR), a provider of single-wafer wet cleaning equipment used by manufacturers of advanced semiconductors, today reported financial results for its second fiscal quarter ended June 30, 2019.</w:t>
      </w:r>
    </w:p>
    <w:p>
      <w:pPr>
        <w:spacing w:after="0" w:line="61" w:lineRule="exact"/>
        <w:rPr>
          <w:sz w:val="20"/>
          <w:szCs w:val="20"/>
          <w:color w:val="auto"/>
        </w:rPr>
      </w:pPr>
    </w:p>
    <w:p>
      <w:pPr>
        <w:jc w:val="both"/>
        <w:ind w:right="260"/>
        <w:spacing w:after="0" w:line="310" w:lineRule="auto"/>
        <w:rPr>
          <w:sz w:val="20"/>
          <w:szCs w:val="20"/>
          <w:color w:val="auto"/>
        </w:rPr>
      </w:pPr>
      <w:r>
        <w:rPr>
          <w:rFonts w:ascii="Times New Roman" w:cs="Times New Roman" w:eastAsia="Times New Roman" w:hAnsi="Times New Roman"/>
          <w:sz w:val="16"/>
          <w:szCs w:val="16"/>
          <w:color w:val="auto"/>
        </w:rPr>
        <w:t>ACM’s President and Chief Executive Officer Dr. David Wang commented, "We are pleased with our second quarter results, and the momentum we have been building throughout 2019. Despite the industry cycle, we executed well in the June quarter, achieving strong top- and bottom-line growth. As we look ahead to the remainder of 2019, we are excited by our business opportunities. We have strong demand, our visibility remains solid, and the team is executing to plan."</w:t>
      </w:r>
    </w:p>
    <w:p>
      <w:pPr>
        <w:spacing w:after="0" w:line="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Dr. Wang continued, “We recently secured an initial order from a new DRAM customer in China, bringing our total to five front-end IC manufacturing customers. This is a key milestone for ACM, a testament to our proven single-wafer cleaning solutions. We are also encouraged by positive traction for our new electrical copper plating (ECP) products at front-end customers and advanced wafer level package (WLP) customers. On the strategic front, I am pleased with the progress we have made towards our plan to list shares of our ACM Shanghai subsidiary on the STAR Market. In summary, we have made great progress so far this year on our mission to become a major player in the semiconductor equipment market.”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Highlights</w:t>
      </w:r>
    </w:p>
    <w:p>
      <w:pPr>
        <w:spacing w:after="0" w:line="158" w:lineRule="exact"/>
        <w:rPr>
          <w:sz w:val="20"/>
          <w:szCs w:val="20"/>
          <w:color w:val="auto"/>
        </w:rPr>
      </w:pPr>
    </w:p>
    <w:p>
      <w:pPr>
        <w:ind w:left="340" w:hanging="332"/>
        <w:spacing w:after="0" w:line="342" w:lineRule="auto"/>
        <w:tabs>
          <w:tab w:leader="none" w:pos="3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Shipments. </w:t>
      </w:r>
      <w:r>
        <w:rPr>
          <w:rFonts w:ascii="Times New Roman" w:cs="Times New Roman" w:eastAsia="Times New Roman" w:hAnsi="Times New Roman"/>
          <w:sz w:val="16"/>
          <w:szCs w:val="16"/>
          <w:color w:val="auto"/>
        </w:rPr>
        <w:t>Total shipments in the second quarter of 2019 were $33 million, versus $14 million last quarter and $21 million in the second quarter of 2018.</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Shipments include deliveries for revenue in the quarter and deliveries of systems awaiting customer acceptance for potential revenue in future quarters.</w:t>
      </w:r>
    </w:p>
    <w:p>
      <w:pPr>
        <w:spacing w:after="0" w:line="56" w:lineRule="exact"/>
        <w:rPr>
          <w:rFonts w:ascii="Times New Roman" w:cs="Times New Roman" w:eastAsia="Times New Roman" w:hAnsi="Times New Roman"/>
          <w:sz w:val="16"/>
          <w:szCs w:val="16"/>
          <w:color w:val="auto"/>
        </w:rPr>
      </w:pPr>
    </w:p>
    <w:p>
      <w:pPr>
        <w:jc w:val="both"/>
        <w:ind w:left="340" w:hanging="332"/>
        <w:spacing w:after="0" w:line="264"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Expanding Customer Base in Memory</w:t>
      </w:r>
      <w:r>
        <w:rPr>
          <w:rFonts w:ascii="Times New Roman" w:cs="Times New Roman" w:eastAsia="Times New Roman" w:hAnsi="Times New Roman"/>
          <w:sz w:val="18"/>
          <w:szCs w:val="18"/>
          <w:color w:val="auto"/>
        </w:rPr>
        <w:t>. ACM received a purchase order for a SAPS-V single wafer cleaning tool from an emerging manufacturer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DRAM memory chips in China. The Company intends to deliver this first tool in the fourth quarter of 2019, with revenue recognition upon qualification and acceptance.</w:t>
      </w:r>
    </w:p>
    <w:p>
      <w:pPr>
        <w:spacing w:after="0" w:line="113" w:lineRule="exact"/>
        <w:rPr>
          <w:rFonts w:ascii="Times New Roman" w:cs="Times New Roman" w:eastAsia="Times New Roman" w:hAnsi="Times New Roman"/>
          <w:sz w:val="18"/>
          <w:szCs w:val="18"/>
          <w:color w:val="auto"/>
        </w:rPr>
      </w:pPr>
    </w:p>
    <w:p>
      <w:pPr>
        <w:jc w:val="both"/>
        <w:ind w:left="340" w:hanging="332"/>
        <w:spacing w:after="0" w:line="312" w:lineRule="auto"/>
        <w:tabs>
          <w:tab w:leader="none" w:pos="34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Update on Ultra-C Tahoe. </w:t>
      </w:r>
      <w:r>
        <w:rPr>
          <w:rFonts w:ascii="Times New Roman" w:cs="Times New Roman" w:eastAsia="Times New Roman" w:hAnsi="Times New Roman"/>
          <w:sz w:val="16"/>
          <w:szCs w:val="16"/>
          <w:color w:val="auto"/>
        </w:rPr>
        <w:t>ACM delivered its first Ultra-C Tahoe evaluation tool to an important strategic customer in January of 2019. Evaluation of 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first tool is progressing as planned, and the test results are encouraging. The Ultra-C Tahoe tool incorporates innovative and patented technology to deliver high cleaning performance, but uses 10% or less of the sulfuric acid typically consumed by conventional high temperature single wafer cleaning tools.</w:t>
      </w:r>
    </w:p>
    <w:p>
      <w:pPr>
        <w:spacing w:after="0" w:line="297" w:lineRule="exact"/>
        <w:rPr>
          <w:rFonts w:ascii="Times New Roman" w:cs="Times New Roman" w:eastAsia="Times New Roman" w:hAnsi="Times New Roman"/>
          <w:sz w:val="16"/>
          <w:szCs w:val="16"/>
          <w:color w:val="auto"/>
        </w:rPr>
      </w:pPr>
    </w:p>
    <w:p>
      <w:pPr>
        <w:ind w:left="5680" w:hanging="112"/>
        <w:spacing w:after="0"/>
        <w:tabs>
          <w:tab w:leader="none" w:pos="56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50"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Summary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jc w:val="center"/>
              <w:ind w:right="480"/>
              <w:spacing w:after="0"/>
              <w:rPr>
                <w:sz w:val="20"/>
                <w:szCs w:val="20"/>
                <w:color w:val="auto"/>
              </w:rPr>
            </w:pPr>
            <w:r>
              <w:rPr>
                <w:rFonts w:ascii="Times New Roman" w:cs="Times New Roman" w:eastAsia="Times New Roman" w:hAnsi="Times New Roman"/>
                <w:sz w:val="15"/>
                <w:szCs w:val="15"/>
                <w:b w:val="1"/>
                <w:bCs w:val="1"/>
                <w:color w:val="auto"/>
                <w:w w:val="99"/>
              </w:rPr>
              <w:t>Three Months Ended June 30,</w:t>
            </w:r>
          </w:p>
        </w:tc>
        <w:tc>
          <w:tcPr>
            <w:tcW w:w="3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3"/>
        </w:trPr>
        <w:tc>
          <w:tcPr>
            <w:tcW w:w="6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5"/>
                <w:szCs w:val="15"/>
                <w:b w:val="1"/>
                <w:bCs w:val="1"/>
                <w:color w:val="auto"/>
              </w:rPr>
              <w:t>GAAP</w:t>
            </w:r>
          </w:p>
        </w:tc>
        <w:tc>
          <w:tcPr>
            <w:tcW w:w="9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Non-GAAP(1)</w:t>
            </w:r>
          </w:p>
        </w:tc>
        <w:tc>
          <w:tcPr>
            <w:tcW w:w="7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6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5"/>
                <w:szCs w:val="15"/>
                <w:b w:val="1"/>
                <w:bCs w:val="1"/>
                <w:color w:val="auto"/>
              </w:rPr>
              <w:t>2019</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5"/>
                <w:szCs w:val="15"/>
                <w:b w:val="1"/>
                <w:bCs w:val="1"/>
                <w:color w:val="auto"/>
              </w:rPr>
              <w:t>2018</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2019</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5"/>
                <w:szCs w:val="15"/>
                <w:b w:val="1"/>
                <w:bCs w:val="1"/>
                <w:color w:val="auto"/>
              </w:rPr>
              <w:t>2018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5"/>
          </w:tcPr>
          <w:p>
            <w:pPr>
              <w:jc w:val="center"/>
              <w:ind w:right="480"/>
              <w:spacing w:after="0"/>
              <w:rPr>
                <w:sz w:val="20"/>
                <w:szCs w:val="20"/>
                <w:color w:val="auto"/>
              </w:rPr>
            </w:pPr>
            <w:r>
              <w:rPr>
                <w:rFonts w:ascii="Times New Roman" w:cs="Times New Roman" w:eastAsia="Times New Roman" w:hAnsi="Times New Roman"/>
                <w:sz w:val="15"/>
                <w:szCs w:val="15"/>
                <w:i w:val="1"/>
                <w:iCs w:val="1"/>
                <w:color w:val="auto"/>
                <w:w w:val="99"/>
              </w:rPr>
              <w:t>(dollars in thousands)</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29,010</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margin</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45.3%</w:t>
            </w: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41.8%</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45.4%</w:t>
            </w:r>
          </w:p>
        </w:tc>
        <w:tc>
          <w:tcPr>
            <w:tcW w:w="3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16"/>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26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280" w:type="dxa"/>
            <w:vAlign w:val="bottom"/>
          </w:tcPr>
          <w:p>
            <w:pPr>
              <w:spacing w:after="0"/>
              <w:rPr>
                <w:sz w:val="18"/>
                <w:szCs w:val="18"/>
                <w:color w:val="auto"/>
              </w:rPr>
            </w:pPr>
          </w:p>
        </w:tc>
        <w:tc>
          <w:tcPr>
            <w:tcW w:w="34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EPS</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8"/>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 EPS</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6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80" w:type="dxa"/>
            <w:vAlign w:val="bottom"/>
          </w:tcPr>
          <w:p>
            <w:pPr>
              <w:spacing w:after="0"/>
              <w:rPr>
                <w:sz w:val="19"/>
                <w:szCs w:val="19"/>
                <w:color w:val="auto"/>
              </w:rPr>
            </w:pPr>
          </w:p>
        </w:tc>
        <w:tc>
          <w:tcPr>
            <w:tcW w:w="34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643"/>
        </w:trPr>
        <w:tc>
          <w:tcPr>
            <w:tcW w:w="60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center"/>
              <w:ind w:right="460"/>
              <w:spacing w:after="0"/>
              <w:rPr>
                <w:sz w:val="20"/>
                <w:szCs w:val="20"/>
                <w:color w:val="auto"/>
              </w:rPr>
            </w:pPr>
            <w:r>
              <w:rPr>
                <w:rFonts w:ascii="Times New Roman" w:cs="Times New Roman" w:eastAsia="Times New Roman" w:hAnsi="Times New Roman"/>
                <w:sz w:val="15"/>
                <w:szCs w:val="15"/>
                <w:b w:val="1"/>
                <w:bCs w:val="1"/>
                <w:color w:val="auto"/>
                <w:w w:val="99"/>
              </w:rPr>
              <w:t>Six Months Ended June 30,</w:t>
            </w: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6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5"/>
                <w:szCs w:val="15"/>
                <w:b w:val="1"/>
                <w:bCs w:val="1"/>
                <w:color w:val="auto"/>
              </w:rPr>
              <w:t>GAAP</w:t>
            </w:r>
          </w:p>
        </w:tc>
        <w:tc>
          <w:tcPr>
            <w:tcW w:w="9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Non-GAAP(1)</w:t>
            </w:r>
          </w:p>
        </w:tc>
        <w:tc>
          <w:tcPr>
            <w:tcW w:w="7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6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5"/>
                <w:szCs w:val="15"/>
                <w:b w:val="1"/>
                <w:bCs w:val="1"/>
                <w:color w:val="auto"/>
              </w:rPr>
              <w:t>2019</w:t>
            </w:r>
          </w:p>
        </w:tc>
        <w:tc>
          <w:tcPr>
            <w:tcW w:w="2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5"/>
                <w:szCs w:val="15"/>
                <w:b w:val="1"/>
                <w:bCs w:val="1"/>
                <w:color w:val="auto"/>
              </w:rPr>
              <w:t>2018</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5"/>
                <w:szCs w:val="15"/>
                <w:b w:val="1"/>
                <w:bCs w:val="1"/>
                <w:color w:val="auto"/>
              </w:rPr>
              <w:t>2019</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5"/>
                <w:szCs w:val="15"/>
                <w:b w:val="1"/>
                <w:bCs w:val="1"/>
                <w:color w:val="auto"/>
              </w:rPr>
              <w:t>2018</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6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560" w:type="dxa"/>
            <w:vAlign w:val="bottom"/>
            <w:gridSpan w:val="5"/>
          </w:tcPr>
          <w:p>
            <w:pPr>
              <w:jc w:val="center"/>
              <w:ind w:right="480"/>
              <w:spacing w:after="0"/>
              <w:rPr>
                <w:sz w:val="20"/>
                <w:szCs w:val="20"/>
                <w:color w:val="auto"/>
              </w:rPr>
            </w:pPr>
            <w:r>
              <w:rPr>
                <w:rFonts w:ascii="Times New Roman" w:cs="Times New Roman" w:eastAsia="Times New Roman" w:hAnsi="Times New Roman"/>
                <w:sz w:val="15"/>
                <w:szCs w:val="15"/>
                <w:i w:val="1"/>
                <w:iCs w:val="1"/>
                <w:color w:val="auto"/>
                <w:w w:val="99"/>
              </w:rPr>
              <w:t>(dollars in thousands)</w:t>
            </w: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49,489</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Gross margin</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44.4%</w:t>
            </w: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45.2%</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44.5%</w:t>
            </w:r>
          </w:p>
        </w:tc>
        <w:tc>
          <w:tcPr>
            <w:tcW w:w="3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16"/>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from operations</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8,274</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2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6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7,530</w:t>
            </w:r>
          </w:p>
        </w:tc>
        <w:tc>
          <w:tcPr>
            <w:tcW w:w="280" w:type="dxa"/>
            <w:vAlign w:val="bottom"/>
          </w:tcPr>
          <w:p>
            <w:pPr>
              <w:spacing w:after="0"/>
              <w:rPr>
                <w:sz w:val="18"/>
                <w:szCs w:val="18"/>
                <w:color w:val="auto"/>
              </w:rPr>
            </w:pPr>
          </w:p>
        </w:tc>
        <w:tc>
          <w:tcPr>
            <w:tcW w:w="34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 EPS</w:t>
            </w:r>
          </w:p>
        </w:tc>
        <w:tc>
          <w:tcPr>
            <w:tcW w:w="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0.47</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8"/>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 EPS</w:t>
            </w:r>
          </w:p>
        </w:tc>
        <w:tc>
          <w:tcPr>
            <w:tcW w:w="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6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w:t>
            </w:r>
          </w:p>
        </w:tc>
        <w:tc>
          <w:tcPr>
            <w:tcW w:w="280" w:type="dxa"/>
            <w:vAlign w:val="bottom"/>
          </w:tcPr>
          <w:p>
            <w:pPr>
              <w:spacing w:after="0"/>
              <w:rPr>
                <w:sz w:val="19"/>
                <w:szCs w:val="19"/>
                <w:color w:val="auto"/>
              </w:rPr>
            </w:pPr>
          </w:p>
        </w:tc>
        <w:tc>
          <w:tcPr>
            <w:tcW w:w="340" w:type="dxa"/>
            <w:vAlign w:val="bottom"/>
          </w:tcPr>
          <w:p>
            <w:pPr>
              <w:jc w:val="right"/>
              <w:ind w:right="178"/>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r>
    </w:tbl>
    <w:p>
      <w:pPr>
        <w:spacing w:after="0" w:line="122" w:lineRule="exact"/>
        <w:rPr>
          <w:sz w:val="20"/>
          <w:szCs w:val="20"/>
          <w:color w:val="auto"/>
        </w:rPr>
      </w:pPr>
    </w:p>
    <w:p>
      <w:pPr>
        <w:ind w:left="340" w:right="20" w:hanging="332"/>
        <w:spacing w:after="0" w:line="339" w:lineRule="auto"/>
        <w:tabs>
          <w:tab w:leader="none" w:pos="34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Reconciliations to U.S. generally accepted accounting principles (“GAAP”) financial measures from non-GAAP financial measures are presented below under “Reconciliation of GAAP to Non-GAAP Financial Measures.” Non-GAAP financial measures (excluding revenue) exclude stock-based compensation.</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following figures refer to the second quarter of 2019 compared with the second quarter of 2018, unless otherwise noted.</w:t>
      </w:r>
    </w:p>
    <w:p>
      <w:pPr>
        <w:spacing w:after="0" w:line="158" w:lineRule="exact"/>
        <w:rPr>
          <w:sz w:val="20"/>
          <w:szCs w:val="20"/>
          <w:color w:val="auto"/>
        </w:rPr>
      </w:pPr>
    </w:p>
    <w:p>
      <w:pPr>
        <w:ind w:left="340" w:hanging="332"/>
        <w:spacing w:after="0" w:line="277" w:lineRule="auto"/>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increased 39.0% to $29.0 million, due to an increased volume of tools shipped for revenue and higher prices associated with these tools. Revenue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second quarter included repeat shipments and several customer acceptances of tools shipped in previous quarters.</w:t>
      </w:r>
    </w:p>
    <w:p>
      <w:pPr>
        <w:spacing w:after="0" w:line="102" w:lineRule="exact"/>
        <w:rPr>
          <w:rFonts w:ascii="Times New Roman" w:cs="Times New Roman" w:eastAsia="Times New Roman" w:hAnsi="Times New Roman"/>
          <w:sz w:val="18"/>
          <w:szCs w:val="18"/>
          <w:b w:val="1"/>
          <w:bCs w:val="1"/>
          <w:color w:val="auto"/>
        </w:rPr>
      </w:pPr>
    </w:p>
    <w:p>
      <w:pPr>
        <w:jc w:val="both"/>
        <w:ind w:left="340" w:right="20" w:hanging="332"/>
        <w:spacing w:after="0" w:line="264"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margin </w:t>
      </w:r>
      <w:r>
        <w:rPr>
          <w:rFonts w:ascii="Times New Roman" w:cs="Times New Roman" w:eastAsia="Times New Roman" w:hAnsi="Times New Roman"/>
          <w:sz w:val="18"/>
          <w:szCs w:val="18"/>
          <w:color w:val="auto"/>
        </w:rPr>
        <w:t>was 45.3%, compared to 41.8% in the second quarter of 2018. Gross margin was slightly above the high-end of the range of 40.0% to 45.0%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set forth in the Company’s long-term business model. The strong gross margin performance was due to a higher mix of higher-margin products. The Company expects gross margin to continue to vary from period to period due to a variety of factors, such as sales volume and product mix.</w:t>
      </w:r>
    </w:p>
    <w:p>
      <w:pPr>
        <w:spacing w:after="0" w:line="113" w:lineRule="exact"/>
        <w:rPr>
          <w:rFonts w:ascii="Times New Roman" w:cs="Times New Roman" w:eastAsia="Times New Roman" w:hAnsi="Times New Roman"/>
          <w:sz w:val="18"/>
          <w:szCs w:val="18"/>
          <w:color w:val="auto"/>
        </w:rPr>
      </w:pPr>
    </w:p>
    <w:p>
      <w:pPr>
        <w:jc w:val="both"/>
        <w:ind w:left="340" w:hanging="332"/>
        <w:spacing w:after="0" w:line="264"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were $8.5 million, an increase of 32.5%. GAAP operating expenses as a percent of revenue decreased to 29.2%, compared to 30.6%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second quarter of 2018. Non-GAAP operating expenses, which remove stock-based compensation, were $7.9 million, an increase of 26.7%. Non-GAAP operating expenses as a percent of revenue decreased to 27.2%, compared to 29.7% in the second quarter of 2018.</w:t>
      </w:r>
    </w:p>
    <w:p>
      <w:pPr>
        <w:spacing w:after="0" w:line="113" w:lineRule="exact"/>
        <w:rPr>
          <w:rFonts w:ascii="Times New Roman" w:cs="Times New Roman" w:eastAsia="Times New Roman" w:hAnsi="Times New Roman"/>
          <w:sz w:val="18"/>
          <w:szCs w:val="18"/>
          <w:color w:val="auto"/>
        </w:rPr>
      </w:pPr>
    </w:p>
    <w:p>
      <w:pPr>
        <w:ind w:left="340" w:hanging="332"/>
        <w:spacing w:after="0" w:line="277"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w:t>
      </w:r>
      <w:r>
        <w:rPr>
          <w:rFonts w:ascii="Times New Roman" w:cs="Times New Roman" w:eastAsia="Times New Roman" w:hAnsi="Times New Roman"/>
          <w:sz w:val="18"/>
          <w:szCs w:val="18"/>
          <w:color w:val="auto"/>
        </w:rPr>
        <w:t>was $4.3 million, compared to $3.2 million in the second quarter of 2018. Non-GAAP net income was $4.9 million, compared to $3.4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second quarter of 2018.</w:t>
      </w:r>
    </w:p>
    <w:p>
      <w:pPr>
        <w:spacing w:after="0" w:line="102" w:lineRule="exact"/>
        <w:rPr>
          <w:rFonts w:ascii="Times New Roman" w:cs="Times New Roman" w:eastAsia="Times New Roman" w:hAnsi="Times New Roman"/>
          <w:sz w:val="18"/>
          <w:szCs w:val="18"/>
          <w:color w:val="auto"/>
        </w:rPr>
      </w:pPr>
    </w:p>
    <w:p>
      <w:pPr>
        <w:ind w:left="340" w:hanging="332"/>
        <w:spacing w:after="0" w:line="277"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income per diluted share </w:t>
      </w:r>
      <w:r>
        <w:rPr>
          <w:rFonts w:ascii="Times New Roman" w:cs="Times New Roman" w:eastAsia="Times New Roman" w:hAnsi="Times New Roman"/>
          <w:sz w:val="18"/>
          <w:szCs w:val="18"/>
          <w:color w:val="auto"/>
        </w:rPr>
        <w:t>was $0.23, compared to $0.18 in the second quarter of 2018. Non-GAAP net income per diluted share was $0.26, compared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$0.19 in the second quarter of 2018.</w:t>
      </w:r>
    </w:p>
    <w:p>
      <w:pPr>
        <w:spacing w:after="0" w:line="102" w:lineRule="exact"/>
        <w:rPr>
          <w:rFonts w:ascii="Times New Roman" w:cs="Times New Roman" w:eastAsia="Times New Roman" w:hAnsi="Times New Roman"/>
          <w:sz w:val="18"/>
          <w:szCs w:val="18"/>
          <w:color w:val="auto"/>
        </w:rPr>
      </w:pPr>
    </w:p>
    <w:p>
      <w:pPr>
        <w:ind w:left="340" w:right="20" w:hanging="332"/>
        <w:spacing w:after="0" w:line="277" w:lineRule="auto"/>
        <w:tabs>
          <w:tab w:leader="none" w:pos="3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Cash and equivalents </w:t>
      </w:r>
      <w:r>
        <w:rPr>
          <w:rFonts w:ascii="Times New Roman" w:cs="Times New Roman" w:eastAsia="Times New Roman" w:hAnsi="Times New Roman"/>
          <w:sz w:val="18"/>
          <w:szCs w:val="18"/>
          <w:color w:val="auto"/>
        </w:rPr>
        <w:t>at quarter-end were $27.6 million, up from $27.4 million at the end of the first quarter of 2019 and $17.4 million at the end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second quarter of 2018.</w:t>
      </w:r>
    </w:p>
    <w:p>
      <w:pPr>
        <w:spacing w:after="0" w:line="266" w:lineRule="exact"/>
        <w:rPr>
          <w:rFonts w:ascii="Times New Roman" w:cs="Times New Roman" w:eastAsia="Times New Roman" w:hAnsi="Times New Roman"/>
          <w:sz w:val="18"/>
          <w:szCs w:val="18"/>
          <w:b w:val="1"/>
          <w:bCs w:val="1"/>
          <w:color w:val="auto"/>
        </w:rPr>
      </w:pPr>
    </w:p>
    <w:p>
      <w:pPr>
        <w:ind w:left="5680" w:hanging="112"/>
        <w:spacing w:after="0"/>
        <w:tabs>
          <w:tab w:leader="none" w:pos="56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4"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Outlook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Company has increased its full year 2019 revenue guidance to $105 million, an increase of $5 million from the Company’s previous 2019 revenue guidance.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Conference Call Details</w:t>
      </w:r>
    </w:p>
    <w:p>
      <w:pPr>
        <w:spacing w:after="0" w:line="16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8"/>
          <w:szCs w:val="18"/>
          <w:color w:val="auto"/>
        </w:rPr>
        <w:t>A conference call to discuss results will be held on Thursday, August 8, 2019, at 8:00 a.m. Eastern Time (8:00 p.m. China Time). Dial-in details for the call are as follows. Please reference conference ID 8986804.</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Phone Number</w:t>
            </w:r>
          </w:p>
        </w:tc>
        <w:tc>
          <w:tcPr>
            <w:tcW w:w="2740" w:type="dxa"/>
            <w:vAlign w:val="bottom"/>
          </w:tcPr>
          <w:p>
            <w:pPr>
              <w:spacing w:after="0"/>
              <w:rPr>
                <w:sz w:val="17"/>
                <w:szCs w:val="17"/>
                <w:color w:val="auto"/>
              </w:rPr>
            </w:pPr>
          </w:p>
        </w:tc>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3"/>
              </w:rPr>
              <w:t>Toll-Free Number</w:t>
            </w:r>
          </w:p>
        </w:tc>
      </w:tr>
      <w:tr>
        <w:trPr>
          <w:trHeight w:val="222"/>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 (845) 675-0437</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w w:val="96"/>
              </w:rPr>
              <w:t>+1 (866) 519-4004</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Hong Kong</w:t>
            </w:r>
          </w:p>
        </w:tc>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+852 3018 6771</w:t>
            </w:r>
          </w:p>
        </w:tc>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+852 8009 06601</w:t>
            </w:r>
          </w:p>
        </w:tc>
      </w:tr>
      <w:tr>
        <w:trPr>
          <w:trHeight w:val="216"/>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Mainland China</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w w:val="99"/>
              </w:rPr>
              <w:t>+86</w:t>
            </w: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(800) 819 0121</w:t>
            </w:r>
          </w:p>
        </w:tc>
        <w:tc>
          <w:tcPr>
            <w:tcW w:w="134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w w:val="99"/>
              </w:rPr>
              <w:t>+86</w:t>
            </w: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(400) 620 8038</w:t>
            </w:r>
          </w:p>
        </w:tc>
        <w:tc>
          <w:tcPr>
            <w:tcW w:w="1340" w:type="dxa"/>
            <w:vAlign w:val="bottom"/>
          </w:tcPr>
          <w:p>
            <w:pPr>
              <w:spacing w:after="0"/>
              <w:rPr>
                <w:sz w:val="18"/>
                <w:szCs w:val="18"/>
                <w:color w:val="auto"/>
              </w:rPr>
            </w:pPr>
          </w:p>
        </w:tc>
      </w:tr>
      <w:tr>
        <w:trPr>
          <w:trHeight w:val="228"/>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Other International</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w w:val="99"/>
              </w:rPr>
              <w:t>+65</w:t>
            </w:r>
          </w:p>
        </w:tc>
        <w:tc>
          <w:tcPr>
            <w:tcW w:w="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6713 5090</w:t>
            </w:r>
          </w:p>
        </w:tc>
        <w:tc>
          <w:tcPr>
            <w:tcW w:w="274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204" w:lineRule="exact"/>
        <w:rPr>
          <w:sz w:val="20"/>
          <w:szCs w:val="20"/>
          <w:color w:val="auto"/>
        </w:rPr>
      </w:pPr>
    </w:p>
    <w:p>
      <w:pPr>
        <w:ind w:right="1500"/>
        <w:spacing w:after="0" w:line="422" w:lineRule="auto"/>
        <w:rPr>
          <w:sz w:val="20"/>
          <w:szCs w:val="20"/>
          <w:color w:val="auto"/>
        </w:rPr>
      </w:pPr>
      <w:r>
        <w:rPr>
          <w:rFonts w:ascii="Times New Roman" w:cs="Times New Roman" w:eastAsia="Times New Roman" w:hAnsi="Times New Roman"/>
          <w:sz w:val="18"/>
          <w:szCs w:val="18"/>
          <w:color w:val="auto"/>
        </w:rPr>
        <w:t xml:space="preserve">A recording of the webcast will be available on the investor page of the ACM website at www.acmrcsh.com for one week following the call. </w:t>
      </w:r>
      <w:r>
        <w:rPr>
          <w:rFonts w:ascii="Times New Roman" w:cs="Times New Roman" w:eastAsia="Times New Roman" w:hAnsi="Times New Roman"/>
          <w:sz w:val="18"/>
          <w:szCs w:val="18"/>
          <w:b w:val="1"/>
          <w:bCs w:val="1"/>
          <w:u w:val="single" w:color="auto"/>
          <w:color w:val="auto"/>
        </w:rPr>
        <w:t>Use of Non-GAAP Financial Measures</w:t>
      </w:r>
    </w:p>
    <w:p>
      <w:pPr>
        <w:spacing w:after="0" w:line="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ACM presents non-GAAP gross margin, operating expenses, operating income, net income, and basic and diluted earnings per share as supplemental measures to GAAP financial measures regarding ACM’s operational performance. These supplemental measures exclude the impact of stock-based compensation, which ACM does not believe is indicative of its core operating results. A reconciliation of each non-GAAP financial measure to the most directly comparable GAAP financial measure is provided below under “Reconciliation of Non-GAAP to GAAP Financial Measures.”</w:t>
      </w:r>
    </w:p>
    <w:p>
      <w:pPr>
        <w:spacing w:after="0" w:line="123"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ACM believes these non-GAAP financial measures are useful to investors in assessing its operating performance. ACM uses these financial measures internally to evaluate its operating performance and for planning and forecasting of future periods. Financial analysts may focus on and publish both historical results and future projections based on the non-GAAP financial measures. ACM also believes it is in the best interests of investors for ACM to provide this non-GAAP information.</w:t>
      </w:r>
    </w:p>
    <w:p>
      <w:pPr>
        <w:spacing w:after="0" w:line="123"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While ACM believes these non-GAAP financial measures provide useful supplemental information to investors, there are limitations associated with the use of these non-GAAP financial measures. These non-GAAP financial measures may not be reported by competitors, and they may not be directly comparable to similarly titled measures of other companies due to differences in calculation methodologies. The non-GAAP financial measures are not an alternative to GAAP information and are not meant to be considered in isolation or as a substitute for comparable GAAP financial measures. They should be used only as a supplement to GAAP information and should be considered only in conjunction with ACM’s consolidated financial statements prepared in accordance with GAAP.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Forward-Looking Statements</w:t>
      </w:r>
    </w:p>
    <w:p>
      <w:pPr>
        <w:spacing w:after="0" w:line="160"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Information presented in the second and third paragraphs of this press release and under the heading “Outlook” above contains forward-looking statements for purposes of the safe harbor provisions of the Private Securities Litigation Reform Act of 1995. Actual results may vary significantly from ACM’s expectations based on a number of risks and uncertainties, including but not limited to the following: anticipated customer orders or identified market opportunities may not grow or develop as anticipated; customer orders already received may be postponed or canceled; suppliers may not be able to meet ACM’s demands on a timely basis; volatile global economic, market, industry, regulatory and other conditions could result in sharply lower demand for products containing semiconductors and for the Company's products and in disruption of capital and credit markets; ACM’s failure to successfully manage its operations; and trade regulations, currency fluctuations, political instability and war may materially adversely affect ACM due to its substantial non-U.S. customer and supplier base and its substantial non-U.S. manufacturing operations. ACM cannot guarantee any future results, levels of activity, performance or achievements. ACM expressly disclaims any obligation to update forward-looking statements after the date of this press release.</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01" w:right="2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About ACM Research, Inc.</w:t>
      </w:r>
    </w:p>
    <w:p>
      <w:pPr>
        <w:spacing w:after="0" w:line="160"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8"/>
          <w:szCs w:val="18"/>
          <w:color w:val="auto"/>
        </w:rPr>
        <w:t>ACM develops, manufactures and sells single-wafer wet cleaning equipment, which semiconductor manufacturers can use in numerous manufacturing steps to remove particles, contaminants and other random defects, and thereby improve product yield, in fabricating advanced integrated circuits.</w:t>
      </w:r>
    </w:p>
    <w:p>
      <w:pPr>
        <w:spacing w:after="0" w:line="106" w:lineRule="exact"/>
        <w:rPr>
          <w:sz w:val="20"/>
          <w:szCs w:val="20"/>
          <w:color w:val="auto"/>
        </w:rPr>
      </w:pPr>
    </w:p>
    <w:p>
      <w:pPr>
        <w:ind w:right="140" w:firstLine="8"/>
        <w:spacing w:after="0" w:line="262" w:lineRule="auto"/>
        <w:tabs>
          <w:tab w:leader="none" w:pos="1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ACM Research, Inc. The ACM logo, SAPS and ULTRA C are trademarks of ACM Research, Inc. For convenience, these trademarks appear in this press release without ™ symbols, but that practice does not mean that ACM will not assert, to the fullest extent under applicable law, its rights to the trademarks. This press release also contains other companies’ trademarks, registered marks and trade names, which are the property of those companies.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tc>
        <w:tc>
          <w:tcPr>
            <w:tcW w:w="7020" w:type="dxa"/>
            <w:vAlign w:val="bottom"/>
          </w:tcPr>
          <w:p>
            <w:pPr>
              <w:spacing w:after="0"/>
              <w:rPr>
                <w:sz w:val="20"/>
                <w:szCs w:val="20"/>
                <w:color w:val="auto"/>
              </w:rPr>
            </w:pPr>
          </w:p>
        </w:tc>
      </w:tr>
      <w:tr>
        <w:trPr>
          <w:trHeight w:val="326"/>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the United States:</w:t>
            </w:r>
          </w:p>
        </w:tc>
        <w:tc>
          <w:tcPr>
            <w:tcW w:w="70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The Blueshirt Group</w:t>
            </w:r>
          </w:p>
        </w:tc>
      </w:tr>
      <w:tr>
        <w:trPr>
          <w:trHeight w:val="222"/>
        </w:trPr>
        <w:tc>
          <w:tcPr>
            <w:tcW w:w="6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96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Ralph Fong</w:t>
            </w:r>
          </w:p>
        </w:tc>
      </w:tr>
      <w:tr>
        <w:trPr>
          <w:trHeight w:val="214"/>
        </w:trPr>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70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 (415) 489-2195</w:t>
            </w:r>
          </w:p>
        </w:tc>
      </w:tr>
      <w:tr>
        <w:trPr>
          <w:trHeight w:val="230"/>
        </w:trPr>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020" w:type="dxa"/>
            <w:vAlign w:val="bottom"/>
          </w:tcPr>
          <w:p>
            <w:pPr>
              <w:ind w:left="760"/>
              <w:spacing w:after="0"/>
              <w:rPr>
                <w:sz w:val="20"/>
                <w:szCs w:val="20"/>
                <w:color w:val="auto"/>
              </w:rPr>
            </w:pPr>
            <w:r>
              <w:rPr>
                <w:rFonts w:ascii="Times New Roman" w:cs="Times New Roman" w:eastAsia="Times New Roman" w:hAnsi="Times New Roman"/>
                <w:sz w:val="18"/>
                <w:szCs w:val="18"/>
                <w:i w:val="1"/>
                <w:iCs w:val="1"/>
                <w:color w:val="auto"/>
              </w:rPr>
              <w:t>ralph@blueshirtgroup.com</w:t>
            </w:r>
          </w:p>
        </w:tc>
      </w:tr>
      <w:tr>
        <w:trPr>
          <w:trHeight w:val="394"/>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 China:</w:t>
            </w:r>
          </w:p>
        </w:tc>
        <w:tc>
          <w:tcPr>
            <w:tcW w:w="70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The Blueshirt Group Asia</w:t>
            </w:r>
          </w:p>
        </w:tc>
      </w:tr>
      <w:tr>
        <w:trPr>
          <w:trHeight w:val="222"/>
        </w:trPr>
        <w:tc>
          <w:tcPr>
            <w:tcW w:w="660" w:type="dxa"/>
            <w:vAlign w:val="bottom"/>
            <w:tcBorders>
              <w:top w:val="single" w:sz="8" w:color="auto"/>
            </w:tcBorders>
          </w:tcPr>
          <w:p>
            <w:pPr>
              <w:spacing w:after="0"/>
              <w:rPr>
                <w:sz w:val="19"/>
                <w:szCs w:val="19"/>
                <w:color w:val="auto"/>
              </w:rPr>
            </w:pPr>
          </w:p>
        </w:tc>
        <w:tc>
          <w:tcPr>
            <w:tcW w:w="78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70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Gary Dvorchak, CFA</w:t>
            </w:r>
          </w:p>
        </w:tc>
      </w:tr>
      <w:tr>
        <w:trPr>
          <w:trHeight w:val="214"/>
        </w:trPr>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70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+86 (138) 1079-1480</w:t>
            </w:r>
          </w:p>
        </w:tc>
      </w:tr>
      <w:tr>
        <w:trPr>
          <w:trHeight w:val="230"/>
        </w:trPr>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7020" w:type="dxa"/>
            <w:vAlign w:val="bottom"/>
          </w:tcPr>
          <w:p>
            <w:pPr>
              <w:ind w:left="760"/>
              <w:spacing w:after="0"/>
              <w:rPr>
                <w:sz w:val="20"/>
                <w:szCs w:val="20"/>
                <w:color w:val="auto"/>
              </w:rPr>
            </w:pPr>
            <w:r>
              <w:rPr>
                <w:rFonts w:ascii="Times New Roman" w:cs="Times New Roman" w:eastAsia="Times New Roman" w:hAnsi="Times New Roman"/>
                <w:sz w:val="18"/>
                <w:szCs w:val="18"/>
                <w:i w:val="1"/>
                <w:iCs w:val="1"/>
                <w:color w:val="auto"/>
              </w:rPr>
              <w:t>gary@blueshirtgroup.com</w:t>
            </w:r>
          </w:p>
        </w:tc>
      </w:tr>
      <w:tr>
        <w:trPr>
          <w:trHeight w:val="649"/>
        </w:trPr>
        <w:tc>
          <w:tcPr>
            <w:tcW w:w="6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702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- 4 -</w:t>
            </w:r>
          </w:p>
        </w:tc>
      </w:tr>
    </w:tbl>
    <w:p>
      <w:pPr>
        <w:sectPr>
          <w:pgSz w:w="11900" w:h="16838" w:orient="portrait"/>
          <w:cols w:equalWidth="0" w:num="1">
            <w:col w:w="11420"/>
          </w:cols>
          <w:pgMar w:left="240" w:top="434"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8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5"/>
                <w:szCs w:val="15"/>
                <w:b w:val="1"/>
                <w:bCs w:val="1"/>
                <w:color w:val="auto"/>
              </w:rPr>
              <w:t>June 30,</w:t>
            </w:r>
          </w:p>
        </w:tc>
        <w:tc>
          <w:tcPr>
            <w:tcW w:w="1220" w:type="dxa"/>
            <w:vAlign w:val="bottom"/>
            <w:gridSpan w:val="3"/>
          </w:tcPr>
          <w:p>
            <w:pPr>
              <w:jc w:val="right"/>
              <w:ind w:right="260"/>
              <w:spacing w:after="0"/>
              <w:rPr>
                <w:sz w:val="20"/>
                <w:szCs w:val="20"/>
                <w:color w:val="auto"/>
              </w:rPr>
            </w:pPr>
            <w:r>
              <w:rPr>
                <w:rFonts w:ascii="Times New Roman" w:cs="Times New Roman" w:eastAsia="Times New Roman" w:hAnsi="Times New Roman"/>
                <w:sz w:val="15"/>
                <w:szCs w:val="15"/>
                <w:b w:val="1"/>
                <w:bCs w:val="1"/>
                <w:color w:val="auto"/>
              </w:rPr>
              <w:t>December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5"/>
                <w:szCs w:val="15"/>
                <w:b w:val="1"/>
                <w:bCs w:val="1"/>
                <w:color w:val="auto"/>
              </w:rPr>
              <w:t>2019</w:t>
            </w: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5"/>
                <w:szCs w:val="15"/>
                <w:b w:val="1"/>
                <w:bCs w:val="1"/>
                <w:color w:val="auto"/>
              </w:rPr>
              <w:t>2018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3"/>
          </w:tcPr>
          <w:p>
            <w:pPr>
              <w:jc w:val="center"/>
              <w:ind w:left="554"/>
              <w:spacing w:after="0"/>
              <w:rPr>
                <w:sz w:val="20"/>
                <w:szCs w:val="20"/>
                <w:color w:val="auto"/>
              </w:rPr>
            </w:pPr>
            <w:r>
              <w:rPr>
                <w:rFonts w:ascii="Times New Roman" w:cs="Times New Roman" w:eastAsia="Times New Roman" w:hAnsi="Times New Roman"/>
                <w:sz w:val="15"/>
                <w:szCs w:val="15"/>
                <w:i w:val="1"/>
                <w:iCs w:val="1"/>
                <w:color w:val="auto"/>
                <w:w w:val="99"/>
              </w:rPr>
              <w:t>(unaudited)</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00" w:type="dxa"/>
            <w:vAlign w:val="bottom"/>
            <w:vMerge w:val="restart"/>
          </w:tcPr>
          <w:p>
            <w:pPr>
              <w:ind w:left="41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spacing w:after="0"/>
              <w:rPr>
                <w:sz w:val="14"/>
                <w:szCs w:val="14"/>
                <w:color w:val="auto"/>
              </w:rPr>
            </w:pPr>
          </w:p>
        </w:tc>
        <w:tc>
          <w:tcPr>
            <w:tcW w:w="2460" w:type="dxa"/>
            <w:vAlign w:val="bottom"/>
            <w:gridSpan w:val="5"/>
          </w:tcPr>
          <w:p>
            <w:pPr>
              <w:jc w:val="center"/>
              <w:ind w:right="260"/>
              <w:spacing w:after="0" w:line="162" w:lineRule="exact"/>
              <w:rPr>
                <w:sz w:val="20"/>
                <w:szCs w:val="20"/>
                <w:color w:val="auto"/>
              </w:rPr>
            </w:pPr>
            <w:r>
              <w:rPr>
                <w:rFonts w:ascii="Times New Roman" w:cs="Times New Roman" w:eastAsia="Times New Roman" w:hAnsi="Times New Roman"/>
                <w:sz w:val="15"/>
                <w:szCs w:val="15"/>
                <w:i w:val="1"/>
                <w:iCs w:val="1"/>
                <w:color w:val="auto"/>
                <w:w w:val="98"/>
              </w:rPr>
              <w:t>(in thousands, except share and per</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8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3"/>
          </w:tcPr>
          <w:p>
            <w:pPr>
              <w:jc w:val="center"/>
              <w:ind w:left="574"/>
              <w:spacing w:after="0"/>
              <w:rPr>
                <w:sz w:val="20"/>
                <w:szCs w:val="20"/>
                <w:color w:val="auto"/>
              </w:rPr>
            </w:pPr>
            <w:r>
              <w:rPr>
                <w:rFonts w:ascii="Times New Roman" w:cs="Times New Roman" w:eastAsia="Times New Roman" w:hAnsi="Times New Roman"/>
                <w:sz w:val="15"/>
                <w:szCs w:val="15"/>
                <w:i w:val="1"/>
                <w:iCs w:val="1"/>
                <w:color w:val="auto"/>
                <w:w w:val="98"/>
              </w:rPr>
              <w:t>share data)</w:t>
            </w: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27,578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of $0 as of June 30, 2019 and $0 as of December 31, 2018</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45,494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108,400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96,028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tcBorders>
              <w:bottom w:val="single" w:sz="8" w:color="CCEEFF"/>
            </w:tcBorders>
            <w:shd w:val="clear" w:color="auto" w:fill="CCEEFF"/>
          </w:tcPr>
          <w:p>
            <w:pPr>
              <w:ind w:left="10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120,269</w:t>
            </w:r>
          </w:p>
        </w:tc>
        <w:tc>
          <w:tcPr>
            <w:tcW w:w="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103,047</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Pr>
          <w:p>
            <w:pPr>
              <w:ind w:left="29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Short-term borrowings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18,238</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Advances from customers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53,401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60,554</w:t>
            </w: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50,723</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Common stock – Class A, par value $0.0001: 50,000,000 shares authorized as of June 30, 2019 and December 31, 2018.</w:t>
            </w: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14,229,942 shares issued and outstanding as of June 30, 2019 and 14,110,315 shares issued and outstanding as of</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8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2018</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800" w:type="dxa"/>
            <w:vAlign w:val="bottom"/>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Common stock–Class B, par value $0.0001: 2,409,738 shares authorized as of June 30, 2019 and December 31, 2018.</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1,883,423 shares issued and outstanding as of June 30, 2019 and 1,898,423 shares issued and outstanding as of December</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31, 2018</w:t>
            </w: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58,101</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surplus (deficit)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(1,168)</w:t>
            </w:r>
          </w:p>
        </w:tc>
        <w:tc>
          <w:tcPr>
            <w:tcW w:w="3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59,715</w:t>
            </w: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52,324</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120,269</w:t>
            </w:r>
          </w:p>
        </w:tc>
        <w:tc>
          <w:tcPr>
            <w:tcW w:w="280" w:type="dxa"/>
            <w:vAlign w:val="bottom"/>
          </w:tcPr>
          <w:p>
            <w:pPr>
              <w:spacing w:after="0"/>
              <w:rPr>
                <w:sz w:val="18"/>
                <w:szCs w:val="18"/>
                <w:color w:val="auto"/>
              </w:rPr>
            </w:pPr>
          </w:p>
        </w:tc>
        <w:tc>
          <w:tcPr>
            <w:tcW w:w="3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88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- 5 -</w:t>
            </w: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41"/>
        </w:trPr>
        <w:tc>
          <w:tcPr>
            <w:tcW w:w="20" w:type="dxa"/>
            <w:vAlign w:val="bottom"/>
            <w:vMerge w:val="continue"/>
          </w:tcPr>
          <w:p>
            <w:pPr>
              <w:spacing w:after="0"/>
              <w:rPr>
                <w:sz w:val="24"/>
                <w:szCs w:val="24"/>
                <w:color w:val="auto"/>
              </w:rPr>
            </w:pPr>
          </w:p>
        </w:tc>
        <w:tc>
          <w:tcPr>
            <w:tcW w:w="8800" w:type="dxa"/>
            <w:vAlign w:val="bottom"/>
            <w:tcBorders>
              <w:bottom w:val="single" w:sz="8" w:color="auto"/>
            </w:tcBorders>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5"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5"/>
          </w:tcPr>
          <w:p>
            <w:pPr>
              <w:jc w:val="center"/>
              <w:ind w:right="400"/>
              <w:spacing w:after="0"/>
              <w:rPr>
                <w:sz w:val="20"/>
                <w:szCs w:val="20"/>
                <w:color w:val="auto"/>
              </w:rPr>
            </w:pPr>
            <w:r>
              <w:rPr>
                <w:rFonts w:ascii="Times New Roman" w:cs="Times New Roman" w:eastAsia="Times New Roman" w:hAnsi="Times New Roman"/>
                <w:sz w:val="15"/>
                <w:szCs w:val="15"/>
                <w:b w:val="1"/>
                <w:bCs w:val="1"/>
                <w:color w:val="auto"/>
                <w:w w:val="99"/>
              </w:rPr>
              <w:t>Three Months Ended June 30,</w:t>
            </w:r>
          </w:p>
        </w:tc>
        <w:tc>
          <w:tcPr>
            <w:tcW w:w="140" w:type="dxa"/>
            <w:vAlign w:val="bottom"/>
          </w:tcPr>
          <w:p>
            <w:pPr>
              <w:spacing w:after="0"/>
              <w:rPr>
                <w:sz w:val="16"/>
                <w:szCs w:val="16"/>
                <w:color w:val="auto"/>
              </w:rPr>
            </w:pPr>
          </w:p>
        </w:tc>
        <w:tc>
          <w:tcPr>
            <w:tcW w:w="2460" w:type="dxa"/>
            <w:vAlign w:val="bottom"/>
            <w:gridSpan w:val="5"/>
          </w:tcPr>
          <w:p>
            <w:pPr>
              <w:jc w:val="center"/>
              <w:ind w:right="280"/>
              <w:spacing w:after="0"/>
              <w:rPr>
                <w:sz w:val="20"/>
                <w:szCs w:val="20"/>
                <w:color w:val="auto"/>
              </w:rPr>
            </w:pPr>
            <w:r>
              <w:rPr>
                <w:rFonts w:ascii="Times New Roman" w:cs="Times New Roman" w:eastAsia="Times New Roman" w:hAnsi="Times New Roman"/>
                <w:sz w:val="15"/>
                <w:szCs w:val="15"/>
                <w:b w:val="1"/>
                <w:bCs w:val="1"/>
                <w:color w:val="auto"/>
                <w:w w:val="99"/>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5"/>
                <w:szCs w:val="15"/>
                <w:b w:val="1"/>
                <w:bCs w:val="1"/>
                <w:color w:val="auto"/>
              </w:rPr>
              <w:t>2019</w:t>
            </w:r>
          </w:p>
        </w:tc>
        <w:tc>
          <w:tcPr>
            <w:tcW w:w="26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5"/>
                <w:szCs w:val="15"/>
                <w:b w:val="1"/>
                <w:bCs w:val="1"/>
                <w:color w:val="auto"/>
              </w:rPr>
              <w:t>2018</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15"/>
              <w:spacing w:after="0"/>
              <w:rPr>
                <w:sz w:val="20"/>
                <w:szCs w:val="20"/>
                <w:color w:val="auto"/>
              </w:rPr>
            </w:pPr>
            <w:r>
              <w:rPr>
                <w:rFonts w:ascii="Times New Roman" w:cs="Times New Roman" w:eastAsia="Times New Roman" w:hAnsi="Times New Roman"/>
                <w:sz w:val="15"/>
                <w:szCs w:val="15"/>
                <w:b w:val="1"/>
                <w:bCs w:val="1"/>
                <w:color w:val="auto"/>
              </w:rPr>
              <w:t>2019</w:t>
            </w:r>
          </w:p>
        </w:tc>
        <w:tc>
          <w:tcPr>
            <w:tcW w:w="280" w:type="dxa"/>
            <w:vAlign w:val="bottom"/>
            <w:tcBorders>
              <w:top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3"/>
              <w:spacing w:after="0"/>
              <w:rPr>
                <w:sz w:val="20"/>
                <w:szCs w:val="20"/>
                <w:color w:val="auto"/>
              </w:rPr>
            </w:pPr>
            <w:r>
              <w:rPr>
                <w:rFonts w:ascii="Times New Roman" w:cs="Times New Roman" w:eastAsia="Times New Roman" w:hAnsi="Times New Roman"/>
                <w:sz w:val="15"/>
                <w:szCs w:val="15"/>
                <w:b w:val="1"/>
                <w:bCs w:val="1"/>
                <w:color w:val="auto"/>
              </w:rPr>
              <w:t>2018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3"/>
          </w:tcPr>
          <w:p>
            <w:pPr>
              <w:jc w:val="right"/>
              <w:ind w:right="58"/>
              <w:spacing w:after="0"/>
              <w:rPr>
                <w:sz w:val="20"/>
                <w:szCs w:val="20"/>
                <w:color w:val="auto"/>
              </w:rPr>
            </w:pPr>
            <w:r>
              <w:rPr>
                <w:rFonts w:ascii="Times New Roman" w:cs="Times New Roman" w:eastAsia="Times New Roman" w:hAnsi="Times New Roman"/>
                <w:sz w:val="15"/>
                <w:szCs w:val="15"/>
                <w:i w:val="1"/>
                <w:iCs w:val="1"/>
                <w:color w:val="auto"/>
              </w:rPr>
              <w:t>(Unaudited)</w:t>
            </w: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5"/>
          </w:tcPr>
          <w:p>
            <w:pPr>
              <w:jc w:val="center"/>
              <w:ind w:right="400"/>
              <w:spacing w:after="0" w:line="162" w:lineRule="exact"/>
              <w:rPr>
                <w:sz w:val="20"/>
                <w:szCs w:val="20"/>
                <w:color w:val="auto"/>
              </w:rPr>
            </w:pPr>
            <w:r>
              <w:rPr>
                <w:rFonts w:ascii="Times New Roman" w:cs="Times New Roman" w:eastAsia="Times New Roman" w:hAnsi="Times New Roman"/>
                <w:sz w:val="15"/>
                <w:szCs w:val="15"/>
                <w:i w:val="1"/>
                <w:iCs w:val="1"/>
                <w:color w:val="auto"/>
                <w:w w:val="98"/>
              </w:rPr>
              <w:t>(In thousands, except share and per</w:t>
            </w:r>
          </w:p>
        </w:tc>
        <w:tc>
          <w:tcPr>
            <w:tcW w:w="140" w:type="dxa"/>
            <w:vAlign w:val="bottom"/>
          </w:tcPr>
          <w:p>
            <w:pPr>
              <w:spacing w:after="0"/>
              <w:rPr>
                <w:sz w:val="14"/>
                <w:szCs w:val="14"/>
                <w:color w:val="auto"/>
              </w:rPr>
            </w:pPr>
          </w:p>
        </w:tc>
        <w:tc>
          <w:tcPr>
            <w:tcW w:w="2460" w:type="dxa"/>
            <w:vAlign w:val="bottom"/>
            <w:gridSpan w:val="5"/>
          </w:tcPr>
          <w:p>
            <w:pPr>
              <w:jc w:val="center"/>
              <w:ind w:right="260"/>
              <w:spacing w:after="0" w:line="162" w:lineRule="exact"/>
              <w:rPr>
                <w:sz w:val="20"/>
                <w:szCs w:val="20"/>
                <w:color w:val="auto"/>
              </w:rPr>
            </w:pPr>
            <w:r>
              <w:rPr>
                <w:rFonts w:ascii="Times New Roman" w:cs="Times New Roman" w:eastAsia="Times New Roman" w:hAnsi="Times New Roman"/>
                <w:sz w:val="15"/>
                <w:szCs w:val="15"/>
                <w:i w:val="1"/>
                <w:iCs w:val="1"/>
                <w:color w:val="auto"/>
                <w:w w:val="98"/>
              </w:rPr>
              <w:t>(in thousands, except share and per</w:t>
            </w: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0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3"/>
          </w:tcPr>
          <w:p>
            <w:pPr>
              <w:jc w:val="center"/>
              <w:ind w:left="534"/>
              <w:spacing w:after="0"/>
              <w:rPr>
                <w:sz w:val="20"/>
                <w:szCs w:val="20"/>
                <w:color w:val="auto"/>
              </w:rPr>
            </w:pPr>
            <w:r>
              <w:rPr>
                <w:rFonts w:ascii="Times New Roman" w:cs="Times New Roman" w:eastAsia="Times New Roman" w:hAnsi="Times New Roman"/>
                <w:sz w:val="15"/>
                <w:szCs w:val="15"/>
                <w:i w:val="1"/>
                <w:iCs w:val="1"/>
                <w:color w:val="auto"/>
                <w:w w:val="98"/>
              </w:rPr>
              <w:t>share data)</w:t>
            </w: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3"/>
          </w:tcPr>
          <w:p>
            <w:pPr>
              <w:jc w:val="center"/>
              <w:ind w:left="575"/>
              <w:spacing w:after="0"/>
              <w:rPr>
                <w:sz w:val="20"/>
                <w:szCs w:val="20"/>
                <w:color w:val="auto"/>
              </w:rPr>
            </w:pPr>
            <w:r>
              <w:rPr>
                <w:rFonts w:ascii="Times New Roman" w:cs="Times New Roman" w:eastAsia="Times New Roman" w:hAnsi="Times New Roman"/>
                <w:sz w:val="15"/>
                <w:szCs w:val="15"/>
                <w:i w:val="1"/>
                <w:iCs w:val="1"/>
                <w:color w:val="auto"/>
                <w:w w:val="98"/>
              </w:rPr>
              <w:t>share data)</w:t>
            </w: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29,010</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49,489</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15,879</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12,149</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27,532</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13,131</w:t>
            </w:r>
          </w:p>
        </w:tc>
        <w:tc>
          <w:tcPr>
            <w:tcW w:w="2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21,957</w:t>
            </w: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13,846</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c>
          <w:tcPr>
            <w:tcW w:w="2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w:t>
            </w: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4,922</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Total operating expenses, net</w:t>
            </w: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8,470</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6,393</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15,045</w:t>
            </w:r>
          </w:p>
        </w:tc>
        <w:tc>
          <w:tcPr>
            <w:tcW w:w="2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(149)</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income in net income of affiliates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2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5,187</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(876)</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(995)</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top w:val="single" w:sz="8" w:color="CCEEFF"/>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(968)</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(1,036)</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w:t>
            </w:r>
          </w:p>
        </w:tc>
        <w:tc>
          <w:tcPr>
            <w:tcW w:w="3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top w:val="single" w:sz="8" w:color="CCEEFF"/>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26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26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5,857</w:t>
            </w:r>
          </w:p>
        </w:tc>
        <w:tc>
          <w:tcPr>
            <w:tcW w:w="280" w:type="dxa"/>
            <w:vAlign w:val="bottom"/>
            <w:tcBorders>
              <w:top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ACM Reasearch, Inc. per common share: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2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6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80" w:type="dxa"/>
            <w:vAlign w:val="bottom"/>
          </w:tcPr>
          <w:p>
            <w:pPr>
              <w:spacing w:after="0"/>
              <w:rPr>
                <w:sz w:val="18"/>
                <w:szCs w:val="18"/>
                <w:color w:val="auto"/>
              </w:rPr>
            </w:pPr>
          </w:p>
        </w:tc>
        <w:tc>
          <w:tcPr>
            <w:tcW w:w="3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Weighted average common shares outstanding used in computing per share amounts: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1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9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16,090,937</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15,838,540</w:t>
            </w: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16,067,924</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15,611,863</w:t>
            </w: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3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4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18,604,347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18,119,733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18,455,534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17,669,650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292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rPr>
              <w:t>- 6 -</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316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55"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ACM RESEARCH,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Financial Measures</w:t>
      </w:r>
    </w:p>
    <w:p>
      <w:pPr>
        <w:spacing w:after="0" w:line="145"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As described under “Use of Non-GAAP Financial Measures” above, ACM presents non-GAAP gross margin, operating income and net income (loss) as supplemental measures to GAAP financial measures, each of which excludes stock-based compensation (“SBC”) from the equivalent GAAP financial line items. The following table reconciles gross margin, operating income and net income (loss) to the related non-GAAP financial measures:</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6"/>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w w:val="99"/>
              </w:rPr>
              <w:t>Three Months Ended June 30,</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5"/>
                <w:szCs w:val="15"/>
                <w:b w:val="1"/>
                <w:bCs w:val="1"/>
                <w:color w:val="auto"/>
              </w:rPr>
              <w:t>2019</w:t>
            </w: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5"/>
                <w:szCs w:val="15"/>
                <w:b w:val="1"/>
                <w:bCs w:val="1"/>
                <w:color w:val="auto"/>
              </w:rPr>
              <w:t>2018</w:t>
            </w: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5"/>
                <w:szCs w:val="15"/>
                <w:b w:val="1"/>
                <w:bCs w:val="1"/>
                <w:color w:val="auto"/>
              </w:rPr>
              <w:t>Actual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5"/>
              <w:spacing w:after="0" w:line="145" w:lineRule="exact"/>
              <w:rPr>
                <w:sz w:val="20"/>
                <w:szCs w:val="20"/>
                <w:color w:val="auto"/>
              </w:rPr>
            </w:pPr>
            <w:r>
              <w:rPr>
                <w:rFonts w:ascii="Times New Roman" w:cs="Times New Roman" w:eastAsia="Times New Roman" w:hAnsi="Times New Roman"/>
                <w:sz w:val="15"/>
                <w:szCs w:val="15"/>
                <w:b w:val="1"/>
                <w:bCs w:val="1"/>
                <w:color w:val="auto"/>
                <w:w w:val="99"/>
              </w:rPr>
              <w:t>Adjusted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5"/>
                <w:szCs w:val="15"/>
                <w:b w:val="1"/>
                <w:bCs w:val="1"/>
                <w:color w:val="auto"/>
                <w:w w:val="98"/>
              </w:rPr>
              <w:t>Actual</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54"/>
              <w:spacing w:after="0" w:line="145" w:lineRule="exact"/>
              <w:rPr>
                <w:sz w:val="20"/>
                <w:szCs w:val="20"/>
                <w:color w:val="auto"/>
              </w:rPr>
            </w:pPr>
            <w:r>
              <w:rPr>
                <w:rFonts w:ascii="Times New Roman" w:cs="Times New Roman" w:eastAsia="Times New Roman" w:hAnsi="Times New Roman"/>
                <w:sz w:val="15"/>
                <w:szCs w:val="15"/>
                <w:b w:val="1"/>
                <w:bCs w:val="1"/>
                <w:color w:val="auto"/>
                <w:w w:val="99"/>
              </w:rPr>
              <w:t>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5"/>
                <w:szCs w:val="15"/>
                <w:b w:val="1"/>
                <w:bCs w:val="1"/>
                <w:color w:val="auto"/>
                <w:w w:val="98"/>
              </w:rPr>
              <w:t>(GAAP)</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5"/>
                <w:szCs w:val="15"/>
                <w:b w:val="1"/>
                <w:bCs w:val="1"/>
                <w:color w:val="auto"/>
              </w:rPr>
              <w:t>SBC</w:t>
            </w:r>
          </w:p>
        </w:tc>
        <w:tc>
          <w:tcPr>
            <w:tcW w:w="220" w:type="dxa"/>
            <w:vAlign w:val="bottom"/>
          </w:tcPr>
          <w:p>
            <w:pPr>
              <w:spacing w:after="0"/>
              <w:rPr>
                <w:sz w:val="16"/>
                <w:szCs w:val="16"/>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(Non-GAAP)</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5"/>
                <w:szCs w:val="15"/>
                <w:b w:val="1"/>
                <w:bCs w:val="1"/>
                <w:color w:val="auto"/>
                <w:w w:val="98"/>
              </w:rPr>
              <w:t>(GAAP)</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5"/>
                <w:szCs w:val="15"/>
                <w:b w:val="1"/>
                <w:bCs w:val="1"/>
                <w:color w:val="auto"/>
              </w:rPr>
              <w:t>SBC</w:t>
            </w:r>
          </w:p>
        </w:tc>
        <w:tc>
          <w:tcPr>
            <w:tcW w:w="220" w:type="dxa"/>
            <w:vAlign w:val="bottom"/>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(Non-GAAP)</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95"/>
              <w:spacing w:after="0" w:line="162" w:lineRule="exact"/>
              <w:rPr>
                <w:sz w:val="20"/>
                <w:szCs w:val="20"/>
                <w:color w:val="auto"/>
              </w:rPr>
            </w:pPr>
            <w:r>
              <w:rPr>
                <w:rFonts w:ascii="Times New Roman" w:cs="Times New Roman" w:eastAsia="Times New Roman" w:hAnsi="Times New Roman"/>
                <w:sz w:val="15"/>
                <w:szCs w:val="15"/>
                <w:i w:val="1"/>
                <w:iCs w:val="1"/>
                <w:color w:val="auto"/>
              </w:rPr>
              <w:t>(in</w:t>
            </w:r>
          </w:p>
        </w:tc>
        <w:tc>
          <w:tcPr>
            <w:tcW w:w="1140" w:type="dxa"/>
            <w:vAlign w:val="bottom"/>
            <w:gridSpan w:val="3"/>
          </w:tcPr>
          <w:p>
            <w:pPr>
              <w:jc w:val="center"/>
              <w:ind w:right="535"/>
              <w:spacing w:after="0" w:line="162" w:lineRule="exact"/>
              <w:rPr>
                <w:sz w:val="20"/>
                <w:szCs w:val="20"/>
                <w:color w:val="auto"/>
              </w:rPr>
            </w:pPr>
            <w:r>
              <w:rPr>
                <w:rFonts w:ascii="Times New Roman" w:cs="Times New Roman" w:eastAsia="Times New Roman" w:hAnsi="Times New Roman"/>
                <w:sz w:val="15"/>
                <w:szCs w:val="15"/>
                <w:i w:val="1"/>
                <w:iCs w:val="1"/>
                <w:color w:val="auto"/>
                <w:w w:val="78"/>
              </w:rPr>
              <w:t>thousands)</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29,010</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20,873</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(15,879)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1020" w:type="dxa"/>
            <w:vAlign w:val="bottom"/>
            <w:gridSpan w:val="2"/>
          </w:tcPr>
          <w:p>
            <w:pPr>
              <w:jc w:val="right"/>
              <w:ind w:right="86"/>
              <w:spacing w:after="0"/>
              <w:rPr>
                <w:sz w:val="20"/>
                <w:szCs w:val="20"/>
                <w:color w:val="auto"/>
              </w:rPr>
            </w:pPr>
            <w:r>
              <w:rPr>
                <w:rFonts w:ascii="Times New Roman" w:cs="Times New Roman" w:eastAsia="Times New Roman" w:hAnsi="Times New Roman"/>
                <w:sz w:val="18"/>
                <w:szCs w:val="18"/>
                <w:color w:val="auto"/>
              </w:rPr>
              <w:t>(15,850)</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(12,149)</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8,724</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(2,924)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8"/>
                <w:szCs w:val="18"/>
                <w:color w:val="auto"/>
              </w:rPr>
              <w:t>(2,878)</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(2,682)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(2,643)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8"/>
                <w:szCs w:val="18"/>
                <w:color w:val="auto"/>
              </w:rPr>
            </w:pPr>
          </w:p>
        </w:tc>
        <w:tc>
          <w:tcPr>
            <w:tcW w:w="1020" w:type="dxa"/>
            <w:vAlign w:val="bottom"/>
            <w:gridSpan w:val="2"/>
          </w:tcPr>
          <w:p>
            <w:pPr>
              <w:jc w:val="right"/>
              <w:ind w:right="86"/>
              <w:spacing w:after="0"/>
              <w:rPr>
                <w:sz w:val="20"/>
                <w:szCs w:val="20"/>
                <w:color w:val="auto"/>
              </w:rPr>
            </w:pPr>
            <w:r>
              <w:rPr>
                <w:rFonts w:ascii="Times New Roman" w:cs="Times New Roman" w:eastAsia="Times New Roman" w:hAnsi="Times New Roman"/>
                <w:sz w:val="18"/>
                <w:szCs w:val="18"/>
                <w:color w:val="auto"/>
              </w:rPr>
              <w:t>(3,247)</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(2,419)</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(2,205)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8"/>
                <w:szCs w:val="18"/>
                <w:color w:val="auto"/>
              </w:rPr>
              <w:t>(1,756)</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(1,292)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4,661</w:t>
            </w: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22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w:t>
            </w:r>
          </w:p>
        </w:tc>
        <w:tc>
          <w:tcPr>
            <w:tcW w:w="2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w:t>
            </w: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3,215</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6"/>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5"/>
          </w:tcPr>
          <w:p>
            <w:pPr>
              <w:jc w:val="center"/>
              <w:ind w:right="340"/>
              <w:spacing w:after="0"/>
              <w:rPr>
                <w:sz w:val="20"/>
                <w:szCs w:val="20"/>
                <w:color w:val="auto"/>
              </w:rPr>
            </w:pPr>
            <w:r>
              <w:rPr>
                <w:rFonts w:ascii="Times New Roman" w:cs="Times New Roman" w:eastAsia="Times New Roman" w:hAnsi="Times New Roman"/>
                <w:sz w:val="15"/>
                <w:szCs w:val="15"/>
                <w:b w:val="1"/>
                <w:bCs w:val="1"/>
                <w:color w:val="auto"/>
                <w:w w:val="99"/>
              </w:rPr>
              <w:t>Six Months Ended June 30,</w:t>
            </w: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5"/>
                <w:szCs w:val="15"/>
                <w:b w:val="1"/>
                <w:bCs w:val="1"/>
                <w:color w:val="auto"/>
              </w:rPr>
              <w:t>2019</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5"/>
                <w:szCs w:val="15"/>
                <w:b w:val="1"/>
                <w:bCs w:val="1"/>
                <w:color w:val="auto"/>
              </w:rPr>
              <w:t>2018</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80"/>
              <w:spacing w:after="0" w:line="145" w:lineRule="exact"/>
              <w:rPr>
                <w:sz w:val="20"/>
                <w:szCs w:val="20"/>
                <w:color w:val="auto"/>
              </w:rPr>
            </w:pPr>
            <w:r>
              <w:rPr>
                <w:rFonts w:ascii="Times New Roman" w:cs="Times New Roman" w:eastAsia="Times New Roman" w:hAnsi="Times New Roman"/>
                <w:sz w:val="15"/>
                <w:szCs w:val="15"/>
                <w:b w:val="1"/>
                <w:bCs w:val="1"/>
                <w:color w:val="auto"/>
              </w:rPr>
              <w:t>Actual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5"/>
              <w:spacing w:after="0" w:line="145" w:lineRule="exact"/>
              <w:rPr>
                <w:sz w:val="20"/>
                <w:szCs w:val="20"/>
                <w:color w:val="auto"/>
              </w:rPr>
            </w:pPr>
            <w:r>
              <w:rPr>
                <w:rFonts w:ascii="Times New Roman" w:cs="Times New Roman" w:eastAsia="Times New Roman" w:hAnsi="Times New Roman"/>
                <w:sz w:val="15"/>
                <w:szCs w:val="15"/>
                <w:b w:val="1"/>
                <w:bCs w:val="1"/>
                <w:color w:val="auto"/>
                <w:w w:val="99"/>
              </w:rPr>
              <w:t>Adjusted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60"/>
              <w:spacing w:after="0" w:line="145" w:lineRule="exact"/>
              <w:rPr>
                <w:sz w:val="20"/>
                <w:szCs w:val="20"/>
                <w:color w:val="auto"/>
              </w:rPr>
            </w:pPr>
            <w:r>
              <w:rPr>
                <w:rFonts w:ascii="Times New Roman" w:cs="Times New Roman" w:eastAsia="Times New Roman" w:hAnsi="Times New Roman"/>
                <w:sz w:val="15"/>
                <w:szCs w:val="15"/>
                <w:b w:val="1"/>
                <w:bCs w:val="1"/>
                <w:color w:val="auto"/>
                <w:w w:val="98"/>
              </w:rPr>
              <w:t>Actual</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54"/>
              <w:spacing w:after="0" w:line="145" w:lineRule="exact"/>
              <w:rPr>
                <w:sz w:val="20"/>
                <w:szCs w:val="20"/>
                <w:color w:val="auto"/>
              </w:rPr>
            </w:pPr>
            <w:r>
              <w:rPr>
                <w:rFonts w:ascii="Times New Roman" w:cs="Times New Roman" w:eastAsia="Times New Roman" w:hAnsi="Times New Roman"/>
                <w:sz w:val="15"/>
                <w:szCs w:val="15"/>
                <w:b w:val="1"/>
                <w:bCs w:val="1"/>
                <w:color w:val="auto"/>
                <w:w w:val="99"/>
              </w:rPr>
              <w:t>Adjusted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6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5"/>
                <w:szCs w:val="15"/>
                <w:b w:val="1"/>
                <w:bCs w:val="1"/>
                <w:color w:val="auto"/>
                <w:w w:val="98"/>
              </w:rPr>
              <w:t>(GAAP)</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5"/>
                <w:szCs w:val="15"/>
                <w:b w:val="1"/>
                <w:bCs w:val="1"/>
                <w:color w:val="auto"/>
              </w:rPr>
              <w:t>SBC</w:t>
            </w:r>
          </w:p>
        </w:tc>
        <w:tc>
          <w:tcPr>
            <w:tcW w:w="220" w:type="dxa"/>
            <w:vAlign w:val="bottom"/>
          </w:tcPr>
          <w:p>
            <w:pPr>
              <w:spacing w:after="0"/>
              <w:rPr>
                <w:sz w:val="16"/>
                <w:szCs w:val="16"/>
                <w:color w:val="auto"/>
              </w:rPr>
            </w:pPr>
          </w:p>
        </w:tc>
        <w:tc>
          <w:tcPr>
            <w:tcW w:w="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(Non-GAAP)</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5"/>
                <w:szCs w:val="15"/>
                <w:b w:val="1"/>
                <w:bCs w:val="1"/>
                <w:color w:val="auto"/>
                <w:w w:val="98"/>
              </w:rPr>
              <w:t>(GAAP)</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5"/>
                <w:szCs w:val="15"/>
                <w:b w:val="1"/>
                <w:bCs w:val="1"/>
                <w:color w:val="auto"/>
              </w:rPr>
              <w:t>SBC</w:t>
            </w:r>
          </w:p>
        </w:tc>
        <w:tc>
          <w:tcPr>
            <w:tcW w:w="220" w:type="dxa"/>
            <w:vAlign w:val="bottom"/>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w w:val="97"/>
              </w:rPr>
              <w:t>(Non-GAAP)</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160" w:type="dxa"/>
            <w:vAlign w:val="bottom"/>
            <w:gridSpan w:val="5"/>
          </w:tcPr>
          <w:p>
            <w:pPr>
              <w:jc w:val="center"/>
              <w:ind w:right="340"/>
              <w:spacing w:after="0"/>
              <w:rPr>
                <w:sz w:val="20"/>
                <w:szCs w:val="20"/>
                <w:color w:val="auto"/>
              </w:rPr>
            </w:pPr>
            <w:r>
              <w:rPr>
                <w:rFonts w:ascii="Times New Roman" w:cs="Times New Roman" w:eastAsia="Times New Roman" w:hAnsi="Times New Roman"/>
                <w:sz w:val="15"/>
                <w:szCs w:val="15"/>
                <w:i w:val="1"/>
                <w:iCs w:val="1"/>
                <w:color w:val="auto"/>
                <w:w w:val="99"/>
              </w:rPr>
              <w:t>(in thousands)</w:t>
            </w: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49,489</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30,616</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(27,532)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8"/>
                <w:szCs w:val="18"/>
                <w:color w:val="auto"/>
              </w:rPr>
            </w:pPr>
          </w:p>
        </w:tc>
        <w:tc>
          <w:tcPr>
            <w:tcW w:w="1020" w:type="dxa"/>
            <w:vAlign w:val="bottom"/>
            <w:gridSpan w:val="2"/>
          </w:tcPr>
          <w:p>
            <w:pPr>
              <w:jc w:val="right"/>
              <w:ind w:right="86"/>
              <w:spacing w:after="0"/>
              <w:rPr>
                <w:sz w:val="20"/>
                <w:szCs w:val="20"/>
                <w:color w:val="auto"/>
              </w:rPr>
            </w:pPr>
            <w:r>
              <w:rPr>
                <w:rFonts w:ascii="Times New Roman" w:cs="Times New Roman" w:eastAsia="Times New Roman" w:hAnsi="Times New Roman"/>
                <w:sz w:val="18"/>
                <w:szCs w:val="18"/>
                <w:color w:val="auto"/>
              </w:rPr>
              <w:t>(27,473)</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(16,770)</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(16,751)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22,016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8"/>
                <w:szCs w:val="18"/>
                <w:color w:val="auto"/>
              </w:rPr>
              <w:t>(4,713)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(4,537)</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(6,106)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tcPr>
          <w:p>
            <w:pPr>
              <w:spacing w:after="0"/>
              <w:rPr>
                <w:sz w:val="18"/>
                <w:szCs w:val="18"/>
                <w:color w:val="auto"/>
              </w:rPr>
            </w:pPr>
          </w:p>
        </w:tc>
        <w:tc>
          <w:tcPr>
            <w:tcW w:w="1020" w:type="dxa"/>
            <w:vAlign w:val="bottom"/>
            <w:gridSpan w:val="2"/>
          </w:tcPr>
          <w:p>
            <w:pPr>
              <w:jc w:val="right"/>
              <w:ind w:right="86"/>
              <w:spacing w:after="0"/>
              <w:rPr>
                <w:sz w:val="20"/>
                <w:szCs w:val="20"/>
                <w:color w:val="auto"/>
              </w:rPr>
            </w:pPr>
            <w:r>
              <w:rPr>
                <w:rFonts w:ascii="Times New Roman" w:cs="Times New Roman" w:eastAsia="Times New Roman" w:hAnsi="Times New Roman"/>
                <w:sz w:val="18"/>
                <w:szCs w:val="18"/>
                <w:color w:val="auto"/>
              </w:rPr>
              <w:t>(5,926)</w:t>
            </w:r>
          </w:p>
        </w:tc>
        <w:tc>
          <w:tcPr>
            <w:tcW w:w="1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(3,960)</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right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(1,043)</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6"/>
              <w:spacing w:after="0"/>
              <w:rPr>
                <w:sz w:val="20"/>
                <w:szCs w:val="20"/>
                <w:color w:val="auto"/>
              </w:rPr>
            </w:pPr>
            <w:r>
              <w:rPr>
                <w:rFonts w:ascii="Times New Roman" w:cs="Times New Roman" w:eastAsia="Times New Roman" w:hAnsi="Times New Roman"/>
                <w:sz w:val="18"/>
                <w:szCs w:val="18"/>
                <w:color w:val="auto"/>
              </w:rPr>
              <w:t>(3,103)</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(4,922)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(2,201)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680" w:type="dxa"/>
            <w:vAlign w:val="bottom"/>
            <w:tcBorders>
              <w:right w:val="single" w:sz="8" w:color="CCEEFF"/>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6,912</w:t>
            </w: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8,274</w:t>
            </w:r>
          </w:p>
        </w:tc>
        <w:tc>
          <w:tcPr>
            <w:tcW w:w="220" w:type="dxa"/>
            <w:vAlign w:val="bottom"/>
          </w:tcPr>
          <w:p>
            <w:pPr>
              <w:spacing w:after="0"/>
              <w:rPr>
                <w:sz w:val="18"/>
                <w:szCs w:val="18"/>
                <w:color w:val="auto"/>
              </w:rPr>
            </w:pPr>
          </w:p>
        </w:tc>
        <w:tc>
          <w:tcPr>
            <w:tcW w:w="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20" w:type="dxa"/>
            <w:vAlign w:val="bottom"/>
          </w:tcPr>
          <w:p>
            <w:pPr>
              <w:spacing w:after="0"/>
              <w:rPr>
                <w:sz w:val="18"/>
                <w:szCs w:val="18"/>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(2,360)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8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14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7,530</w:t>
            </w: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(2,360)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w:t>
            </w: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7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lvl w:ilvl="1">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2019-12-28T07:35:06Z</dcterms:created>
  <dcterms:modified xsi:type="dcterms:W3CDTF">2019-12-28T07:35:06Z</dcterms:modified>
</cp:coreProperties>
</file>