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December 5, 2022</w:t>
      </w:r>
    </w:p>
    <w:p>
      <w:pPr>
        <w:spacing w:after="0" w:line="242"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7"/>
          <w:szCs w:val="17"/>
          <w:color w:val="auto"/>
        </w:rPr>
        <w:t>Michael A. Hedge</w:t>
      </w:r>
    </w:p>
    <w:p>
      <w:pPr>
        <w:sectPr>
          <w:pgSz w:w="11900" w:h="16838" w:orient="portrait"/>
          <w:cols w:equalWidth="0" w:num="1">
            <w:col w:w="11240"/>
          </w:cols>
          <w:pgMar w:left="320" w:top="1440" w:right="339" w:bottom="1440" w:gutter="0" w:footer="0" w:header="0"/>
        </w:sect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EDGAR and FedEx</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 949-623-3519</w:t>
      </w:r>
    </w:p>
    <w:p>
      <w:pPr>
        <w:spacing w:after="0" w:line="200" w:lineRule="exact"/>
        <w:rPr>
          <w:sz w:val="24"/>
          <w:szCs w:val="24"/>
          <w:color w:val="auto"/>
        </w:rPr>
      </w:pPr>
    </w:p>
    <w:p>
      <w:pPr>
        <w:sectPr>
          <w:pgSz w:w="11900" w:h="16838" w:orient="portrait"/>
          <w:cols w:equalWidth="0" w:num="2">
            <w:col w:w="7820" w:space="720"/>
            <w:col w:w="2700"/>
          </w:cols>
          <w:pgMar w:left="320" w:top="14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Robert Littlepage</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Inessa Kessman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michael.hedge@klgates.com</w:t>
      </w:r>
    </w:p>
    <w:p>
      <w:pPr>
        <w:spacing w:after="0" w:line="1298" w:lineRule="exact"/>
        <w:rPr>
          <w:sz w:val="24"/>
          <w:szCs w:val="24"/>
          <w:color w:val="auto"/>
        </w:rPr>
      </w:pPr>
    </w:p>
    <w:p>
      <w:pPr>
        <w:sectPr>
          <w:pgSz w:w="11900" w:h="16838" w:orient="portrait"/>
          <w:cols w:equalWidth="0" w:num="2">
            <w:col w:w="7820" w:space="720"/>
            <w:col w:w="2700"/>
          </w:cols>
          <w:pgMar w:left="320" w:top="1440"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the Fiscal Year Ended December 31, 2021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Fiscal Quarters Ended June 30,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001-38273</w:t>
      </w:r>
    </w:p>
    <w:p>
      <w:pPr>
        <w:spacing w:after="0" w:line="200" w:lineRule="exact"/>
        <w:rPr>
          <w:sz w:val="24"/>
          <w:szCs w:val="24"/>
          <w:color w:val="auto"/>
        </w:rPr>
      </w:pPr>
    </w:p>
    <w:p>
      <w:pPr>
        <w:sectPr>
          <w:pgSz w:w="11900" w:h="16838" w:orient="portrait"/>
          <w:cols w:equalWidth="0" w:num="2">
            <w:col w:w="280" w:space="300"/>
            <w:col w:w="10660"/>
          </w:cols>
          <w:pgMar w:left="320" w:top="14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ectPr>
          <w:pgSz w:w="11900" w:h="16838" w:orient="portrait"/>
          <w:cols w:equalWidth="0" w:num="1">
            <w:col w:w="11240"/>
          </w:cols>
          <w:pgMar w:left="320" w:top="1440" w:right="339" w:bottom="1440" w:gutter="0" w:footer="0" w:header="0"/>
          <w:type w:val="continuous"/>
        </w:sectPr>
      </w:pPr>
    </w:p>
    <w:p>
      <w:pPr>
        <w:spacing w:after="0" w:line="241" w:lineRule="exact"/>
        <w:rPr>
          <w:sz w:val="24"/>
          <w:szCs w:val="24"/>
          <w:color w:val="auto"/>
        </w:rPr>
      </w:pPr>
    </w:p>
    <w:p>
      <w:pPr>
        <w:jc w:val="both"/>
        <w:ind w:firstLine="324"/>
        <w:spacing w:after="0" w:line="252" w:lineRule="auto"/>
        <w:rPr>
          <w:sz w:val="20"/>
          <w:szCs w:val="20"/>
          <w:color w:val="auto"/>
        </w:rPr>
      </w:pPr>
      <w:r>
        <w:rPr>
          <w:rFonts w:ascii="Times New Roman" w:cs="Times New Roman" w:eastAsia="Times New Roman" w:hAnsi="Times New Roman"/>
          <w:sz w:val="21"/>
          <w:szCs w:val="21"/>
          <w:color w:val="auto"/>
        </w:rPr>
        <w:t>We are submitting this letter on behalf of ACM Research, Inc.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in response to comments from the staff (the “</w:t>
      </w:r>
      <w:r>
        <w:rPr>
          <w:rFonts w:ascii="Times New Roman" w:cs="Times New Roman" w:eastAsia="Times New Roman" w:hAnsi="Times New Roman"/>
          <w:sz w:val="21"/>
          <w:szCs w:val="21"/>
          <w:i w:val="1"/>
          <w:iCs w:val="1"/>
          <w:color w:val="auto"/>
        </w:rPr>
        <w:t>Staff</w:t>
      </w:r>
      <w:r>
        <w:rPr>
          <w:rFonts w:ascii="Times New Roman" w:cs="Times New Roman" w:eastAsia="Times New Roman" w:hAnsi="Times New Roman"/>
          <w:sz w:val="21"/>
          <w:szCs w:val="21"/>
          <w:color w:val="auto"/>
        </w:rPr>
        <w:t>”) of the Securities and Exchange Commission (the “</w:t>
      </w:r>
      <w:r>
        <w:rPr>
          <w:rFonts w:ascii="Times New Roman" w:cs="Times New Roman" w:eastAsia="Times New Roman" w:hAnsi="Times New Roman"/>
          <w:sz w:val="21"/>
          <w:szCs w:val="21"/>
          <w:i w:val="1"/>
          <w:iCs w:val="1"/>
          <w:color w:val="auto"/>
        </w:rPr>
        <w:t>Commission</w:t>
      </w:r>
      <w:r>
        <w:rPr>
          <w:rFonts w:ascii="Times New Roman" w:cs="Times New Roman" w:eastAsia="Times New Roman" w:hAnsi="Times New Roman"/>
          <w:sz w:val="21"/>
          <w:szCs w:val="21"/>
          <w:color w:val="auto"/>
        </w:rPr>
        <w:t>”) received by letter dated October 26, 2022 relating to the Company’s Annual Report on Form 10-K for the fiscal year ended December 31, 2021 filed with the Commission via EDGAR on March 1, 2022, as amended on April 29, 2022 (the “</w:t>
      </w:r>
      <w:r>
        <w:rPr>
          <w:rFonts w:ascii="Times New Roman" w:cs="Times New Roman" w:eastAsia="Times New Roman" w:hAnsi="Times New Roman"/>
          <w:sz w:val="21"/>
          <w:szCs w:val="21"/>
          <w:i w:val="1"/>
          <w:iCs w:val="1"/>
          <w:color w:val="auto"/>
        </w:rPr>
        <w:t>Form 10-K</w:t>
      </w:r>
      <w:r>
        <w:rPr>
          <w:rFonts w:ascii="Times New Roman" w:cs="Times New Roman" w:eastAsia="Times New Roman" w:hAnsi="Times New Roman"/>
          <w:sz w:val="21"/>
          <w:szCs w:val="21"/>
          <w:color w:val="auto"/>
        </w:rPr>
        <w:t>”) and the Company’s Quarterly Report on Form 10-Q for the fiscal quarters ended June 30, 2022 filed with the Commission via EDGAR on August 9, 2022 (the “</w:t>
      </w:r>
      <w:r>
        <w:rPr>
          <w:rFonts w:ascii="Times New Roman" w:cs="Times New Roman" w:eastAsia="Times New Roman" w:hAnsi="Times New Roman"/>
          <w:sz w:val="21"/>
          <w:szCs w:val="21"/>
          <w:i w:val="1"/>
          <w:iCs w:val="1"/>
          <w:color w:val="auto"/>
        </w:rPr>
        <w:t>June Form 10-Q</w:t>
      </w:r>
      <w:r>
        <w:rPr>
          <w:rFonts w:ascii="Times New Roman" w:cs="Times New Roman" w:eastAsia="Times New Roman" w:hAnsi="Times New Roman"/>
          <w:sz w:val="21"/>
          <w:szCs w:val="21"/>
          <w:color w:val="auto"/>
        </w:rPr>
        <w:t>”).</w:t>
      </w:r>
    </w:p>
    <w:p>
      <w:pPr>
        <w:spacing w:after="0" w:line="194" w:lineRule="exact"/>
        <w:rPr>
          <w:sz w:val="24"/>
          <w:szCs w:val="24"/>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For convenience, we have set forth below, in italicized, bold type, the enumerated written comments provided in the Staff’s letter to the Company dated October 26, 2022. The response of the Company to each comment is set forth immediately following the comment.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Fiscal Year Ended December 31, 2021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1A. Risk Factors, page 19</w:t>
      </w:r>
    </w:p>
    <w:p>
      <w:pPr>
        <w:spacing w:after="0" w:line="242" w:lineRule="exact"/>
        <w:rPr>
          <w:sz w:val="24"/>
          <w:szCs w:val="24"/>
          <w:color w:val="auto"/>
        </w:rPr>
      </w:pPr>
    </w:p>
    <w:p>
      <w:pPr>
        <w:ind w:left="340" w:right="20" w:hanging="332"/>
        <w:spacing w:after="0" w:line="286"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1 and your disclosure on page 64 of the Form 10-Q for the fiscal quarters ended June 30, 2022. Please specifically revise to state that your securities may decline in value or become worthless.</w:t>
      </w:r>
    </w:p>
    <w:p>
      <w:pPr>
        <w:spacing w:after="0" w:line="177" w:lineRule="exact"/>
        <w:rPr>
          <w:sz w:val="24"/>
          <w:szCs w:val="24"/>
          <w:color w:val="auto"/>
        </w:rPr>
      </w:pPr>
    </w:p>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In response to the Staff’s comment, the Company has revised the following risk factor on pages 70 and 71 of its Quarterly Report on Form 10-Q for the fiscal quarter ended September 30, 2022, as filed with the Commission on November 8, 2022 (the “</w:t>
      </w:r>
      <w:r>
        <w:rPr>
          <w:rFonts w:ascii="Times New Roman" w:cs="Times New Roman" w:eastAsia="Times New Roman" w:hAnsi="Times New Roman"/>
          <w:sz w:val="22"/>
          <w:szCs w:val="22"/>
          <w:i w:val="1"/>
          <w:iCs w:val="1"/>
          <w:color w:val="auto"/>
        </w:rPr>
        <w:t>September Form 10-Q</w:t>
      </w:r>
      <w:r>
        <w:rPr>
          <w:rFonts w:ascii="Times New Roman" w:cs="Times New Roman" w:eastAsia="Times New Roman" w:hAnsi="Times New Roman"/>
          <w:sz w:val="22"/>
          <w:szCs w:val="22"/>
          <w:color w:val="auto"/>
        </w:rPr>
        <w:t>”), to add the underlined text below, and will continue to do so as applicable in future filings:</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K&amp;L GATES LLP</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PARK PLAZA  TWELFTH FLOOR  IRVINE  CA 92614</w:t>
      </w:r>
    </w:p>
    <w:p>
      <w:pPr>
        <w:spacing w:after="0"/>
        <w:rPr>
          <w:sz w:val="20"/>
          <w:szCs w:val="20"/>
          <w:color w:val="auto"/>
        </w:rPr>
      </w:pPr>
      <w:r>
        <w:rPr>
          <w:rFonts w:ascii="Times New Roman" w:cs="Times New Roman" w:eastAsia="Times New Roman" w:hAnsi="Times New Roman"/>
          <w:sz w:val="22"/>
          <w:szCs w:val="22"/>
          <w:color w:val="auto"/>
        </w:rPr>
        <w:t>T +1 949 253 0900 F +1 949 253 0902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r>
        <w:rPr>
          <w:rFonts w:ascii="Times New Roman" w:cs="Times New Roman" w:eastAsia="Times New Roman" w:hAnsi="Times New Roman"/>
          <w:sz w:val="22"/>
          <w:szCs w:val="22"/>
          <w:i w:val="1"/>
          <w:iCs w:val="1"/>
          <w:u w:val="single" w:color="auto"/>
          <w:color w:val="auto"/>
        </w:rPr>
        <w:t>, which could decline in value or become worthless</w:t>
      </w:r>
      <w:r>
        <w:rPr>
          <w:rFonts w:ascii="Times New Roman" w:cs="Times New Roman" w:eastAsia="Times New Roman" w:hAnsi="Times New Roman"/>
          <w:sz w:val="22"/>
          <w:szCs w:val="22"/>
          <w:i w:val="1"/>
          <w:iCs w:val="1"/>
          <w:color w:val="auto"/>
        </w:rPr>
        <w:t>.</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PRC central government authorities have taken steps to preclude, or significantly discourage, certain PRC companies from listing on U.S. and other exchanges outside the PRC. Investments activities in the PRC by non-PRC investors are principally governed by the Encouraged Industries Catalog for Foreign Investment (2020 version) and the Special Administrative Measures for Foreign Investment Access (Negative List 2021), both of which were promulgated by the PRC’s Ministry of Commerce, or MOFCOM, and National Development and Reform Commission. These regulations set forth the industries in which foreign investments are encouraged, restricted and prohibited.</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Industries that are not listed in any of these three categories are generally open to foreign investment unless otherwise specifically restricted by other PRC rules and regulations. We believe that our operations do not fall within any industry that is restricted or prohibited under these regulations and that the regulations therefore do not apply to us.</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PRC-based companies that seek to list their shares in the United States but are subject to PRC restrictions on investments by non-PRC investors sometimes use a special purpose vehicle known as a variable interest entity, or VIE, created in an off-shore jurisdiction such as the Cayman Islands. In these structures, a VIE enters into a series of contractual arrangements with the PRC-based operating company and its PRC-based shareholders that afford those shareholders, rather than the shareholders of the VIE, effective control over the finances and operations of the operating company. The VIE, effectively a shell company, issues shares that are listed for trading on a U.S. exchange, but the enterprise is controlled by the legacy PRC-based shareholders and is subject to PRC laws and regulations. ACM Research is not a VIE or other special purpose, or shell, company, and its relationship with ACM Shanghai does not involve the types of contractual arrangements existing between a VIE and a PRC-based operating company. ACM Research is a Delaware corporation founded in California in 1998 that formed ACM Shanghai to conduct business operations in the PRC.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spacing w:after="0" w:line="21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do not believe that our corporate structure or any other matters relating to our business operations currently require that ACM Shanghai obtain any permissions or approvals from the China Securities Regulatory Commission, or CSRC, or any other PRC central government authority in connection with ACM’s listing, or offering for sale in the future, shares of our Class A common stock in the United States. We, including ACM Shanghai, therefore have never solicited any permission or approval from any PRC central government authority in connection with ACM Research’s seeking and maintaining the listing of our Class A common stock in the United States. In the event that we inadvertently conclude that permissions or approvals are not required, or either the CSRC or another PRC central government authority were to determine that existing PRC laws or regulations require that ACM Shanghai obtain the authority’s permission or approval to continue ACM Research’s listing of Class A common stock in the United States or if those existing PRC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which may decline in value or become worthless</w:t>
      </w:r>
      <w:r>
        <w:rPr>
          <w:rFonts w:ascii="Times New Roman" w:cs="Times New Roman" w:eastAsia="Times New Roman" w:hAnsi="Times New Roman"/>
          <w:sz w:val="22"/>
          <w:szCs w:val="22"/>
          <w:color w:val="auto"/>
        </w:rPr>
        <w:t>. In addition, ACM Shanghai could face sanctions by the CSRC or other PRC central government authorities or pressure from the PRC government in various business matters for failure to obtain such permission or approval. Such potential sanctions or pressure may include fines and penalties on ACM Shanghai’s operations in the PRC, limitations on its operating privileges in the PRC,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w:t>
      </w:r>
      <w:r>
        <w:rPr>
          <w:rFonts w:ascii="Times New Roman" w:cs="Times New Roman" w:eastAsia="Times New Roman" w:hAnsi="Times New Roman"/>
          <w:sz w:val="22"/>
          <w:szCs w:val="22"/>
          <w:u w:val="single" w:color="auto"/>
          <w:color w:val="auto"/>
        </w:rPr>
        <w:t>, which could decline in value or become worthless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0"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2" w:name="page3"/>
    <w:bookmarkEnd w:id="2"/>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3. Since your new disclosure does not specifically address Cyberspace Administration of China (CAC), we are reissuing our prior comment 3. Please note even if you believe you or your subsidiaries are not subject to CAC oversight, you must still provide disclosure addressing how oversight may impact your business if you or your subsidiaries become subject to CAC oversight.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 response to the Staff’s comment, the Company has revised the following risk factor on pages 72 through 74 of the</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September Form 10-Q to add the underlined text below, and will continue to do so as applicable in future filings:</w:t>
      </w:r>
    </w:p>
    <w:p>
      <w:pPr>
        <w:spacing w:after="0" w:line="205"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22"/>
          <w:szCs w:val="22"/>
          <w:i w:val="1"/>
          <w:iCs w:val="1"/>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81" w:lineRule="exact"/>
        <w:rPr>
          <w:sz w:val="20"/>
          <w:szCs w:val="20"/>
          <w:color w:val="auto"/>
        </w:rPr>
      </w:pPr>
    </w:p>
    <w:p>
      <w:pPr>
        <w:jc w:val="both"/>
        <w:ind w:left="340"/>
        <w:spacing w:after="0" w:line="238" w:lineRule="auto"/>
        <w:rPr>
          <w:sz w:val="20"/>
          <w:szCs w:val="20"/>
          <w:color w:val="auto"/>
        </w:rPr>
      </w:pPr>
      <w:r>
        <w:rPr>
          <w:rFonts w:ascii="Times New Roman" w:cs="Times New Roman" w:eastAsia="Times New Roman" w:hAnsi="Times New Roman"/>
          <w:sz w:val="22"/>
          <w:szCs w:val="22"/>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of ACM Shanghai or ACM Research. We cannot assure you, however, that future changes in PRC laws and regulations will not materially and adversely affect our PRC-based operations. For example:</w:t>
      </w:r>
    </w:p>
    <w:p>
      <w:pPr>
        <w:spacing w:after="0" w:line="213" w:lineRule="exact"/>
        <w:rPr>
          <w:sz w:val="20"/>
          <w:szCs w:val="20"/>
          <w:color w:val="auto"/>
        </w:rPr>
      </w:pPr>
    </w:p>
    <w:p>
      <w:pPr>
        <w:jc w:val="both"/>
        <w:ind w:left="980" w:hanging="324"/>
        <w:spacing w:after="0" w:line="25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Security¾Our success depends on our ability to protect our intellectual property, including our SAPS, TEBO, Tahoe, ECP, furnace and other technologies.” in Item 1A, “Risk Factors” of Part I of our Annual Report. The significant majority of our intellectual property has been developed in the PRC and is owned by ACM Shanghai. Implementation and enforcement of intellectual property-related laws in the PRC has historically been lacking due primarily to ambiguities in PRC intellectual property law. See “Risks Related to Our Intellectual Property and Data Security¾We may not be able to protect our intellectual property rights throughout the world, including the PRC, which could materially, negatively affect our business.” in Item 1A, “Risk Factors” of Part I of our Annual Report. In the event PRC central government authorities were to significantly revise or revamp the current scope and structure of intellectual property protection in the PRC, our ability to protect and enforce our intellectual property rights for our key proprietary technologies may be adversely impacted and competitors may be able to match our technologies and tools in order to compete with 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left="324" w:hanging="324"/>
        <w:spacing w:after="0" w:line="25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Defect in Leased Premises</w:t>
      </w:r>
      <w:r>
        <w:rPr>
          <w:rFonts w:ascii="Times New Roman" w:cs="Times New Roman" w:eastAsia="Times New Roman" w:hAnsi="Times New Roman"/>
          <w:sz w:val="18"/>
          <w:szCs w:val="18"/>
          <w:color w:val="auto"/>
        </w:rPr>
        <w:t>. We conduct research and development, service support operations, and a portion of our manufacturing at ACM Shanghai’s headquarters located in the Zhangjiang Hi Tech Park in Shanghai, which ACM Shanghai leases from Zhangjiang Group. Zhangjiang Group has not obtained a certificate of property title for the premises, although it has represented to ACM Shanghai that it has the right to rent the premises to ACM Shanghai. If any adjustment in local regional overall planning of Shanghai, or any other reason, results in the demolition of such premises, the premises could not continue to be leased to ACM Shanghai and the day-to-day production and operation of ACM Shanghai would be materially and adversely affected. See Item 2, “Properties” of Part I of our Annual Report.</w:t>
      </w:r>
    </w:p>
    <w:p>
      <w:pPr>
        <w:spacing w:after="0" w:line="214" w:lineRule="exact"/>
        <w:rPr>
          <w:rFonts w:ascii="Times New Roman" w:cs="Times New Roman" w:eastAsia="Times New Roman" w:hAnsi="Times New Roman"/>
          <w:sz w:val="18"/>
          <w:szCs w:val="18"/>
          <w:color w:val="auto"/>
        </w:rPr>
      </w:pPr>
    </w:p>
    <w:p>
      <w:pPr>
        <w:jc w:val="both"/>
        <w:ind w:left="324" w:hanging="324"/>
        <w:spacing w:after="0" w:line="220" w:lineRule="exact"/>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 Pandemic</w:t>
      </w:r>
      <w:r>
        <w:rPr>
          <w:rFonts w:ascii="Times New Roman" w:cs="Times New Roman" w:eastAsia="Times New Roman" w:hAnsi="Times New Roman"/>
          <w:sz w:val="18"/>
          <w:szCs w:val="18"/>
          <w:color w:val="auto"/>
        </w:rPr>
        <w:t>. We conduct substantially all of our product development, manufacturing, support and services in the PRC, and those activities have been directly impacted by COVID-19 and related restrictions on transportation and public appearances, including implementation by PRC government authorities of “spot” and full-city quarantines in the city of Shanghai, where substantially all of our operations are located. Furthermore, a number of our key customers have substantial operations based in operations areas of the PRC, including in the City of Shanghai, which required us to defer, in the first quarter of 2022, shipments of finished products to those customers. Protective measures taken by PRC government authorities in upcoming months could result in closures or reductions of PRC operations or production, whether of ACM Shanghai or of some of its key customers, or other business interruptions, any of which could materially adversely affect our operations. See “Substantially all of our operations, as well as significant operations of a number of our key customers, are located in areas of the PRC impacted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our operations have been, and may continue to be, adversely affected by the effects of PRC restrictions imposed as the result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in Item 1A, “Risk Factors” of Part II of this report.</w:t>
      </w:r>
    </w:p>
    <w:p>
      <w:pPr>
        <w:spacing w:after="0" w:line="212"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Security</w:t>
      </w:r>
      <w:r>
        <w:rPr>
          <w:rFonts w:ascii="Times New Roman" w:cs="Times New Roman" w:eastAsia="Times New Roman" w:hAnsi="Times New Roman"/>
          <w:sz w:val="18"/>
          <w:szCs w:val="18"/>
          <w:color w:val="auto"/>
        </w:rPr>
        <w:t xml:space="preserve">. The Standing Committee of the National People’s Congress, or the Standing Committee, has promulgated the Cyber Security Law, which imposes requirements on entities who build and operate the PRC’s internet architecture or provide services in the PRC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PRC central government authority and has not received any inquiry, notice, warning, or sanction in such respect. However, cybersecurity is increasingly a focus of the PRC central government. </w:t>
      </w:r>
      <w:r>
        <w:rPr>
          <w:rFonts w:ascii="Times New Roman" w:cs="Times New Roman" w:eastAsia="Times New Roman" w:hAnsi="Times New Roman"/>
          <w:sz w:val="18"/>
          <w:szCs w:val="18"/>
          <w:u w:val="single" w:color="auto"/>
          <w:color w:val="auto"/>
        </w:rPr>
        <w:t>If the CAC or other PRC central government authorities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should in the future require ACM Shanghai to comply with these or additional, or more restrictive, PRC cybersecurity regulations, it could require ACM Shanghai to make changes to its operations, and any failure to satisfy or delay in meeting such requirements may subject ACM Shanghai to restrictions and penalties imposed by the CAC or other PRC regulatory authorities, which may include regulatory actions, fines and penalties on our operations in the PRC, which could materially harm our business, financial condition, results of operations, reputation and prospects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 w:name="page5"/>
    <w:bookmarkEnd w:id="4"/>
    <w:p>
      <w:pPr>
        <w:jc w:val="both"/>
        <w:ind w:left="324" w:hanging="324"/>
        <w:spacing w:after="0" w:line="25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Anti-Monopoly</w:t>
      </w:r>
      <w:r>
        <w:rPr>
          <w:rFonts w:ascii="Times New Roman" w:cs="Times New Roman" w:eastAsia="Times New Roman" w:hAnsi="Times New Roman"/>
          <w:sz w:val="18"/>
          <w:szCs w:val="18"/>
          <w:color w:val="auto"/>
        </w:rPr>
        <w:t>. A number of PRC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PRC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PRC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PRC laws and regulations governing mergers and acquisitions, including activities in the PRC by foreign investors, will not extend or otherwise modify existing requirements, which could materially and adversely affect our PRC-based operations or our ability to expand by investments or acquisitions.</w:t>
      </w:r>
    </w:p>
    <w:p>
      <w:pPr>
        <w:spacing w:after="0" w:line="232"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In the ordinary course of business, ACM Shanghai has obtained all of the permits and licenses it believes are necessary for it to operate in the PRC. ACM Shanghai may be adversely affected, however, by the complexity, uncertainties and changes in PRC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spacing w:after="0" w:line="38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 w:name="page6"/>
    <w:bookmarkEnd w:id="5"/>
    <w:p>
      <w:pPr>
        <w:jc w:val="both"/>
        <w:ind w:left="980" w:hanging="324"/>
        <w:spacing w:after="0" w:line="253"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Policies</w:t>
      </w:r>
      <w:r>
        <w:rPr>
          <w:rFonts w:ascii="Times New Roman" w:cs="Times New Roman" w:eastAsia="Times New Roman" w:hAnsi="Times New Roman"/>
          <w:sz w:val="18"/>
          <w:szCs w:val="18"/>
          <w:color w:val="auto"/>
        </w:rPr>
        <w:t>. Since 2018, general trade tensions between the United States and the PRC have escalated. See “Regulatory Risks —Changes in government trade policies could limit the demand for our tools and increase the cost of our tools.” in Item 1A, “Risk Factors” of Part I of our Annual Report. 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208" w:lineRule="exact"/>
        <w:rPr>
          <w:sz w:val="20"/>
          <w:szCs w:val="20"/>
          <w:color w:val="auto"/>
        </w:rPr>
      </w:pPr>
    </w:p>
    <w:p>
      <w:pPr>
        <w:jc w:val="both"/>
        <w:ind w:left="340"/>
        <w:spacing w:after="0" w:line="239" w:lineRule="auto"/>
        <w:rPr>
          <w:sz w:val="20"/>
          <w:szCs w:val="20"/>
          <w:color w:val="auto"/>
        </w:rPr>
      </w:pPr>
      <w:r>
        <w:rPr>
          <w:rFonts w:ascii="Times New Roman" w:cs="Times New Roman" w:eastAsia="Times New Roman" w:hAnsi="Times New Roman"/>
          <w:sz w:val="22"/>
          <w:szCs w:val="22"/>
          <w:color w:val="auto"/>
        </w:rPr>
        <w:t>Moreover, by imposing industrial policies and other economic measures, such as control of foreign exchange, taxation and foreign investment, the PRC central government exerts considerable direct and indirect influence on the development of the PRC economy. Other political, economic and social factors may also lead to further legal and regulatory changes and reforms, which may adversely affect our operations and business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Liquidity and Capital Resources, page 76</w:t>
      </w:r>
    </w:p>
    <w:p>
      <w:pPr>
        <w:spacing w:after="0" w:line="242" w:lineRule="exact"/>
        <w:rPr>
          <w:sz w:val="20"/>
          <w:szCs w:val="20"/>
          <w:color w:val="auto"/>
        </w:rPr>
      </w:pPr>
    </w:p>
    <w:p>
      <w:pPr>
        <w:jc w:val="both"/>
        <w:ind w:left="340" w:hanging="332"/>
        <w:spacing w:after="0" w:line="262"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12. However, you have not revised your disclosure to clarify your statement or discuss the relationship between the PRC government, you and all of your subsidiaries. Your current disclosure, specifically, “our anticipated cash needs for the next twelve months do not require receipt of any PRC government subsidies,” implies that you will receive government subsidies if you deem them necessary. Please revise accordingly.</w:t>
      </w:r>
    </w:p>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21"/>
          <w:szCs w:val="21"/>
          <w:color w:val="auto"/>
        </w:rPr>
        <w:t>In response to the Staff’s comment, the Company has added the following disclosure to the Liquidity and Capital Resources section of its MD&amp;A on page 59 of the September Form 10-Q, and will continue to do so as applicable in future filings:</w:t>
      </w:r>
    </w:p>
    <w:p>
      <w:pPr>
        <w:spacing w:after="0" w:line="162" w:lineRule="exact"/>
        <w:rPr>
          <w:sz w:val="20"/>
          <w:szCs w:val="20"/>
          <w:color w:val="auto"/>
        </w:rPr>
      </w:pPr>
    </w:p>
    <w:p>
      <w:pPr>
        <w:jc w:val="both"/>
        <w:ind w:left="340"/>
        <w:spacing w:after="0" w:line="245" w:lineRule="auto"/>
        <w:rPr>
          <w:sz w:val="20"/>
          <w:szCs w:val="20"/>
          <w:color w:val="auto"/>
        </w:rPr>
      </w:pPr>
      <w:r>
        <w:rPr>
          <w:rFonts w:ascii="Times New Roman" w:cs="Times New Roman" w:eastAsia="Times New Roman" w:hAnsi="Times New Roman"/>
          <w:sz w:val="21"/>
          <w:szCs w:val="21"/>
          <w:color w:val="auto"/>
        </w:rPr>
        <w:t>“ACM Shanghai has historically participated in certain PRC government-sponsored grant and subsidy programs, as described under “—Key Components of Results of Operations—PRC Government Research and Development Funding” and “— Contractual Obligations” and we expect that ACM Shanghai will continue to take advantage of these programs when they are available and fit with our business strategy. ACM Shanghai generally applies for these grants and subsidies through the applicable PRC government agency’s defined processes. Periodically, the public relations department researches the availability of these grants and subsidies through the PRC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PRC government agencies based on suitability and the merits of the application. Neither ACM Research, nor ACM Shanghai or any of our other subsidiaries, has any direct relationship with any PRC government agency, and our anticipated cash needs for the next twelve months neither anticipate, nor require, receipt of any PRC government grants or subsidies.”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40" w:hanging="332"/>
        <w:spacing w:after="0" w:line="286" w:lineRule="auto"/>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15, however it does not appear that the liquidity discussion has been expanded to explain and analyze material changes from period to period in one or more cash flow statement line items. As such, we are reissuing our prior comment 15.</w:t>
      </w:r>
    </w:p>
    <w:p>
      <w:pPr>
        <w:spacing w:after="0" w:line="177" w:lineRule="exact"/>
        <w:rPr>
          <w:sz w:val="20"/>
          <w:szCs w:val="20"/>
          <w:color w:val="auto"/>
        </w:rPr>
      </w:pPr>
    </w:p>
    <w:p>
      <w:pPr>
        <w:jc w:val="both"/>
        <w:ind w:left="340"/>
        <w:spacing w:after="0" w:line="239" w:lineRule="auto"/>
        <w:rPr>
          <w:sz w:val="20"/>
          <w:szCs w:val="20"/>
          <w:color w:val="auto"/>
        </w:rPr>
      </w:pPr>
      <w:r>
        <w:rPr>
          <w:rFonts w:ascii="Times New Roman" w:cs="Times New Roman" w:eastAsia="Times New Roman" w:hAnsi="Times New Roman"/>
          <w:sz w:val="22"/>
          <w:szCs w:val="22"/>
          <w:color w:val="auto"/>
        </w:rPr>
        <w:t>In response to the Staff’s comments, the Company has substantially revised the Liquidity and Capital Resources section of its MD&amp;A on pages 60 and 61 of the September Form 10-Q to explain and analyze material changes from period-to-period in cash flow used in operating activities, cash flow from investing activities and cash flow from financing activities, and will continue to do so in future filings.</w:t>
      </w:r>
    </w:p>
    <w:p>
      <w:pPr>
        <w:spacing w:after="0" w:line="21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You note your working capital total only shows certain assets and ignores current liabilities. Please revise how you characterize the total amount.</w:t>
      </w:r>
    </w:p>
    <w:p>
      <w:pPr>
        <w:spacing w:after="0" w:line="247" w:lineRule="exact"/>
        <w:rPr>
          <w:sz w:val="20"/>
          <w:szCs w:val="20"/>
          <w:color w:val="auto"/>
        </w:rPr>
      </w:pPr>
    </w:p>
    <w:p>
      <w:pPr>
        <w:jc w:val="both"/>
        <w:ind w:left="340"/>
        <w:spacing w:after="0" w:line="236" w:lineRule="auto"/>
        <w:rPr>
          <w:sz w:val="20"/>
          <w:szCs w:val="20"/>
          <w:color w:val="auto"/>
        </w:rPr>
      </w:pPr>
      <w:r>
        <w:rPr>
          <w:rFonts w:ascii="Times New Roman" w:cs="Times New Roman" w:eastAsia="Times New Roman" w:hAnsi="Times New Roman"/>
          <w:sz w:val="22"/>
          <w:szCs w:val="22"/>
          <w:color w:val="auto"/>
        </w:rPr>
        <w:t>The Company acknowledges that its prior disclosure regarding working capital only showed certain assets and ignored current liabilities. In response to the Staff’s comments, the Company has removed its specific discussion of working capital from the Liquidity and Capital Resources section of its MD&amp;A in the September Form 10-Q, in connection with the substantial revisions to that section referenced in the response to comment 4, and replaced this information with the cash flow discussion described therein. The Company does not intend to reintroduce a specific discussion of working capital in its future filings.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242" w:lineRule="exact"/>
        <w:rPr>
          <w:sz w:val="20"/>
          <w:szCs w:val="20"/>
          <w:color w:val="auto"/>
        </w:rPr>
      </w:pPr>
    </w:p>
    <w:p>
      <w:pPr>
        <w:ind w:left="340" w:hanging="332"/>
        <w:spacing w:after="0" w:line="286" w:lineRule="auto"/>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Please amend your Form 10-K for the Fiscal Year Ended December 31, 2021 for all comments issued in this letter and our letter dated July 12, 2022.</w:t>
      </w:r>
    </w:p>
    <w:p>
      <w:pPr>
        <w:spacing w:after="0" w:line="177"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The Company acknowledges the Staff’s comment regarding filing an amendment to its Annual Report on Form 10-K for the year ended December 31, 2021 and respectfully requests, as discussed with the Staff, to address this comment upon resolution of the remaining comments in this letter.</w:t>
      </w:r>
    </w:p>
    <w:p>
      <w:pPr>
        <w:spacing w:after="0" w:line="206" w:lineRule="exact"/>
        <w:rPr>
          <w:sz w:val="20"/>
          <w:szCs w:val="20"/>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29 and your new disclosure below the table of contents. However, you did not disclose certain aspects of our comment in the forefront of your filing. Specifically, address the following at the forefront of your filing:</w:t>
      </w:r>
    </w:p>
    <w:p>
      <w:pPr>
        <w:spacing w:after="0" w:line="181"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the risk associated with having a substantial portion of your operations in the PRC could cause the value of your securities to both decline and become worthless.</w:t>
      </w:r>
    </w:p>
    <w:p>
      <w:pPr>
        <w:spacing w:after="0" w:line="17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22"/>
          <w:szCs w:val="22"/>
          <w:color w:val="auto"/>
        </w:rPr>
        <w:t>In response to the Staff’s comment, the Company has revised the following disclosure on page 4 of the September Form 10-Q to add the underlined text below, and will continue to do so as applicable in future filings:</w:t>
      </w:r>
    </w:p>
    <w:p>
      <w:pPr>
        <w:spacing w:after="0" w:line="185" w:lineRule="exact"/>
        <w:rPr>
          <w:sz w:val="20"/>
          <w:szCs w:val="20"/>
          <w:color w:val="auto"/>
        </w:rPr>
      </w:pPr>
    </w:p>
    <w:p>
      <w:pPr>
        <w:jc w:val="both"/>
        <w:ind w:left="980"/>
        <w:spacing w:after="0" w:line="235" w:lineRule="auto"/>
        <w:rPr>
          <w:sz w:val="20"/>
          <w:szCs w:val="20"/>
          <w:color w:val="auto"/>
        </w:rPr>
      </w:pPr>
      <w:r>
        <w:rPr>
          <w:rFonts w:ascii="Times New Roman" w:cs="Times New Roman" w:eastAsia="Times New Roman" w:hAnsi="Times New Roman"/>
          <w:sz w:val="22"/>
          <w:szCs w:val="22"/>
          <w:color w:val="auto"/>
        </w:rPr>
        <w:t xml:space="preserve">“In addition to the matters discussed above, we are also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w:t>
      </w:r>
      <w:r>
        <w:rPr>
          <w:rFonts w:ascii="Times New Roman" w:cs="Times New Roman" w:eastAsia="Times New Roman" w:hAnsi="Times New Roman"/>
          <w:sz w:val="22"/>
          <w:szCs w:val="22"/>
          <w:u w:val="single" w:color="auto"/>
          <w:color w:val="auto"/>
        </w:rPr>
        <w:t>to significantly decline in value or become worthless</w:t>
      </w:r>
      <w:r>
        <w:rPr>
          <w:rFonts w:ascii="Times New Roman" w:cs="Times New Roman" w:eastAsia="Times New Roman" w:hAnsi="Times New Roman"/>
          <w:sz w:val="22"/>
          <w:szCs w:val="22"/>
          <w:color w:val="auto"/>
        </w:rPr>
        <w:t>. Please carefully read the information included in “Part II. Item 1A – Risk Factors” of this report and our Annual Report on Form 10-K for the year ended December 31, 2021 and our Quarterly Report on Form 10-Q for the quarter ended June 30, 2022, in particular the risk factors addressing the following issues: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ind w:left="1120" w:hanging="480"/>
        <w:spacing w:after="0" w:line="254"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t>
      </w:r>
      <w:r>
        <w:rPr>
          <w:rFonts w:ascii="Times New Roman" w:cs="Times New Roman" w:eastAsia="Times New Roman" w:hAnsi="Times New Roman"/>
          <w:sz w:val="18"/>
          <w:szCs w:val="18"/>
          <w:u w:val="single" w:color="auto"/>
          <w:color w:val="auto"/>
        </w:rPr>
        <w:t>which could decline in value or become worthless</w:t>
      </w:r>
      <w:r>
        <w:rPr>
          <w:rFonts w:ascii="Times New Roman" w:cs="Times New Roman" w:eastAsia="Times New Roman" w:hAnsi="Times New Roman"/>
          <w:sz w:val="18"/>
          <w:szCs w:val="18"/>
          <w:color w:val="auto"/>
        </w:rPr>
        <w:t>.</w:t>
      </w:r>
    </w:p>
    <w:p>
      <w:pPr>
        <w:spacing w:after="0" w:line="218" w:lineRule="exact"/>
        <w:rPr>
          <w:rFonts w:ascii="Times New Roman" w:cs="Times New Roman" w:eastAsia="Times New Roman" w:hAnsi="Times New Roman"/>
          <w:sz w:val="18"/>
          <w:szCs w:val="18"/>
          <w:color w:val="auto"/>
        </w:rPr>
      </w:pPr>
    </w:p>
    <w:p>
      <w:pPr>
        <w:ind w:left="1120" w:hanging="480"/>
        <w:spacing w:after="0" w:line="282"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88" w:lineRule="exact"/>
        <w:rPr>
          <w:rFonts w:ascii="Times New Roman" w:cs="Times New Roman" w:eastAsia="Times New Roman" w:hAnsi="Times New Roman"/>
          <w:sz w:val="18"/>
          <w:szCs w:val="18"/>
          <w:color w:val="auto"/>
        </w:rPr>
      </w:pPr>
    </w:p>
    <w:p>
      <w:pPr>
        <w:jc w:val="both"/>
        <w:ind w:left="1120" w:hanging="480"/>
        <w:spacing w:after="0" w:line="266"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PRC central government may determine to exert additional control over offerings conducted overseas or foreign investment in PRC-based issuers, which could result in a material change in operations of ACM Shanghai and </w:t>
      </w:r>
      <w:r>
        <w:rPr>
          <w:rFonts w:ascii="Times New Roman" w:cs="Times New Roman" w:eastAsia="Times New Roman" w:hAnsi="Times New Roman"/>
          <w:sz w:val="18"/>
          <w:szCs w:val="18"/>
          <w:u w:val="single" w:color="auto"/>
          <w:color w:val="auto"/>
        </w:rPr>
        <w:t>cause significant declines in the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ACM Research Class A common stock, or make them worthless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that your auditor is subject to the determinations announced by the PCAOB on December 16, 2021.</w:t>
      </w:r>
    </w:p>
    <w:p>
      <w:pPr>
        <w:spacing w:after="0" w:line="252" w:lineRule="exact"/>
        <w:rPr>
          <w:rFonts w:ascii="Times New Roman" w:cs="Times New Roman" w:eastAsia="Times New Roman" w:hAnsi="Times New Roman"/>
          <w:sz w:val="18"/>
          <w:szCs w:val="18"/>
          <w:color w:val="auto"/>
        </w:rPr>
      </w:pPr>
    </w:p>
    <w:p>
      <w:pPr>
        <w:ind w:left="640" w:hanging="324"/>
        <w:spacing w:after="0" w:line="28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a discussion of the rules adopted by the SEC relating to the Holding Foreign Companies Accountable Act (HFCAA) and how the related regulations will affect your company.</w:t>
      </w:r>
    </w:p>
    <w:p>
      <w:pPr>
        <w:spacing w:after="0" w:line="18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Your disclosure should state prominently that you have been added to the list of issuers identified under the HFCAA.</w:t>
      </w:r>
    </w:p>
    <w:p>
      <w:pPr>
        <w:spacing w:after="0" w:line="252"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all the risks and consequences of being added to the list including that the value of your securities may significantly decline or become worthless, and that your securities may eventually be delisted.</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This information needs to be discussed in the forefront of the filing. Provide a specific cross-reference to a longer risk factor discussion of the impacts of the HFCAA and the Accelerating HFCAA.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response to the Staff’s comments, the Company has added the following disclosure on page 3 of the September Form 10-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 and will continue to do so as applicable in future filings:</w:t>
      </w: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8" w:name="page9"/>
    <w:bookmarkEnd w:id="8"/>
    <w:p>
      <w:pPr>
        <w:jc w:val="both"/>
        <w:ind w:left="340"/>
        <w:spacing w:after="0" w:line="243" w:lineRule="auto"/>
        <w:rPr>
          <w:sz w:val="20"/>
          <w:szCs w:val="20"/>
          <w:color w:val="auto"/>
        </w:rPr>
      </w:pPr>
      <w:r>
        <w:rPr>
          <w:rFonts w:ascii="Times New Roman" w:cs="Times New Roman" w:eastAsia="Times New Roman" w:hAnsi="Times New Roman"/>
          <w:sz w:val="21"/>
          <w:szCs w:val="21"/>
          <w:color w:val="auto"/>
        </w:rPr>
        <w:t>“The U.S. Holding Foreign Companies Accountable Act (the “HFCA Act”) requires that the Public Company Accounting Oversight Board (the “PCAOB”) determine whether it is unable to inspect or investigate completely registered public accounting firms located in a non-U.S. jurisdiction because of a position taken by one or more authorities in that jurisdiction. BDO China Shu Lun Pan Certified Public Accountants LLP (“BDO China”) had been our independent registered public accounting firm in recent years, including for the year ended December 31, 2021.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“Part II. Item 1A, Risk Factors— 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three consecutive times due to our independent auditor being located in a jurisdiction that does not allow for PCAOB inspections, the SEC could prohibit trading in our securities and cause our securities to be delisted in the U.S., and their value may significantly decline or become worthless. Further, the “Accelerating HFCAA” could reduce the applicable threshold from three consecutive appearances to two consecutive appearances on the list. However,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 and, subsequent to the filing of our 2022 annual report, we do not believe ACM Research will appear on the “Conclusive” list for a second time.”</w:t>
      </w:r>
    </w:p>
    <w:p>
      <w:pPr>
        <w:spacing w:after="0" w:line="220" w:lineRule="exact"/>
        <w:rPr>
          <w:sz w:val="20"/>
          <w:szCs w:val="20"/>
          <w:color w:val="auto"/>
        </w:rPr>
      </w:pPr>
    </w:p>
    <w:p>
      <w:pPr>
        <w:jc w:val="both"/>
        <w:ind w:left="340" w:hanging="332"/>
        <w:spacing w:after="0" w:line="259" w:lineRule="auto"/>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31 and new disclosure in the notes to the consolidated financial statements and M&amp;DA. However, the information disclosed in the notes to the consolidated financial statements did not address all aspects of our comment. For example, when discussing prior cash transfers, amounts were not quantified. A clear overview describing how cash is transferred through your organization should also be provided. Furthermore, this information should be disclosed at the forefront of your filing and at the forefront of your liquidity sections in the M&amp;DA, not just in the notes to the consolidated financial statements. As such, we are reissuing prior comment 31.</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In response to the Staff’s comments, the Company has added the following disclosure on page 3 of the September Form 10-</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Q, and will continue to do so as applicable in future filings:</w:t>
      </w:r>
    </w:p>
    <w:p>
      <w:pPr>
        <w:spacing w:after="0" w:line="209"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210" w:lineRule="exact"/>
        <w:rPr>
          <w:sz w:val="20"/>
          <w:szCs w:val="20"/>
          <w:color w:val="auto"/>
        </w:rPr>
      </w:pPr>
    </w:p>
    <w:p>
      <w:pPr>
        <w:jc w:val="both"/>
        <w:ind w:left="340"/>
        <w:spacing w:after="0" w:line="234" w:lineRule="auto"/>
        <w:rPr>
          <w:sz w:val="20"/>
          <w:szCs w:val="20"/>
          <w:color w:val="auto"/>
        </w:rPr>
      </w:pPr>
      <w:r>
        <w:rPr>
          <w:rFonts w:ascii="Times New Roman" w:cs="Times New Roman" w:eastAsia="Times New Roman" w:hAnsi="Times New Roman"/>
          <w:sz w:val="22"/>
          <w:szCs w:val="22"/>
          <w:color w:val="auto"/>
        </w:rPr>
        <w:t>ACM Research (CA), Inc. (“ACM California”) periodically procures goods and services on behalf of ACM Shanghai. For these transactions, ACM Shanghai makes cash payments to ACM California in accordance with applicable transfer pricing arrangements. ACM California periodically borrows funds for working capital advances from its direct parent, CleanChip Technologies Limited (“CleanChip”). ACM California repays these intercompany loans in accordance with their terms. For sales through CleanChip and ACM Research, a certain amount of sales proceeds is repatriated back to ACM Shanghai in accordance with applicable transfer pricing arrangements in the ordinary course of business. Subsequent to June 30, 2020, with the exception of sales and services-related transfer-pricing payments in the ordinary course of business, no cash transfers, dividends or other payments or distributions have been made between the ACM Research and ACM Shanghai. We intend to retain any future earnings to finance the operations and expenses of our business, and we do not expect to distribute earnings or declare or pay any dividends in the foreseeable future.”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In response to the Staff’s comments, the Company has also added the following disclosure on page 17 of the September Form 10-Q in Note 2 to the Company’s Condensed Consolidated Financial Statements, which includes quantification of certain amounts transferred between entities:</w:t>
      </w:r>
    </w:p>
    <w:p>
      <w:pPr>
        <w:spacing w:after="0" w:line="201"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“For 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210"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ACM California periodically procures goods and services on behalf of ACM Shanghai. For these transactions, ACM Shanghai makes cash payments to ACM California in accordance with applicable transfer pricing arrangements. For the nine months ended September 30, 2022, cash payments from ACM Shanghai to ACM California for the procurement of goods and services were $24.6 million and $1.6 million, respectively. ACM California periodically borrows funds for working capital advances from its direct parent, CleanChip. ACM California repays these intercompany loans in accordance with their terms. For sales through CleanChip and ACM Research, a certain amount of sales proceeds is repatriated back to ACM Shanghai in accordance with applicable transfer pricing arrangements in the ordinary course of business. Subsequent to June 30, 2020, with the exception of sales and services-related transfer-pricing payments in the ordinary course of business, no cash transfers, dividends or other payments or distributions have been made between the ACM Research and ACM Shanghai. We intend to retain any future earnings to finance the operations and expenses of our business, and we do not expect to distribute earnings or declare or pay any dividends in the foreseeable future.</w:t>
      </w:r>
    </w:p>
    <w:p>
      <w:pPr>
        <w:spacing w:after="0" w:line="21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22"/>
          <w:szCs w:val="22"/>
          <w:color w:val="auto"/>
        </w:rPr>
        <w:t>Amounts held in South Korea exceed the Korea Deposit Insurance Corporation (“KDIC”) insurance limits and is subject to risk of loss. No losses have been experienced to date.</w:t>
      </w:r>
    </w:p>
    <w:p>
      <w:pPr>
        <w:spacing w:after="0" w:line="185"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There is no additional restriction for the transfer of cash from bank accounts in the U.S., South Korea, and Hong Kong. For sales through CleanChip and ACM Research, a certain amount of sales proceeds is repatriated back to ACM Shanghai in accordance with the transfer pricing arrangements in the ordinary course of business.</w:t>
      </w:r>
    </w:p>
    <w:p>
      <w:pPr>
        <w:spacing w:after="0" w:line="200" w:lineRule="exact"/>
        <w:rPr>
          <w:sz w:val="20"/>
          <w:szCs w:val="20"/>
          <w:color w:val="auto"/>
        </w:rPr>
      </w:pPr>
    </w:p>
    <w:p>
      <w:pPr>
        <w:jc w:val="both"/>
        <w:ind w:left="340" w:right="20"/>
        <w:spacing w:after="0" w:line="258" w:lineRule="auto"/>
        <w:rPr>
          <w:sz w:val="20"/>
          <w:szCs w:val="20"/>
          <w:color w:val="auto"/>
        </w:rPr>
      </w:pPr>
      <w:r>
        <w:rPr>
          <w:rFonts w:ascii="Times New Roman" w:cs="Times New Roman" w:eastAsia="Times New Roman" w:hAnsi="Times New Roman"/>
          <w:sz w:val="22"/>
          <w:szCs w:val="22"/>
          <w:color w:val="auto"/>
        </w:rPr>
        <w:t>For the nine months ended September 30, 2022 and 2021, no transfers, dividends, or distributions have been made between ACM Research and its subsidiaries, including ACM Shanghai, or to holders of ACM Research Class A common stock.”</w:t>
      </w:r>
    </w:p>
    <w:p>
      <w:pPr>
        <w:spacing w:after="0" w:line="190" w:lineRule="exact"/>
        <w:rPr>
          <w:sz w:val="20"/>
          <w:szCs w:val="20"/>
          <w:color w:val="auto"/>
        </w:rPr>
      </w:pPr>
    </w:p>
    <w:p>
      <w:pPr>
        <w:jc w:val="both"/>
        <w:ind w:left="340" w:hanging="332"/>
        <w:spacing w:after="0" w:line="262"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34 and new disclosure on page two of your Form 10-Q for the fiscal quarters ended June 30, 2022. However, your disclosure did not address Chinese authorities permissions or approvals required to operate your business. Revise accordingly. Also, since you disclose permissions are not required, disclose the consequences of inadvertently concluding permissions or approvals are not required. Provide an explanation of how you determined no permissions or approvals are required.</w:t>
      </w:r>
    </w:p>
    <w:p>
      <w:pPr>
        <w:spacing w:after="0" w:line="19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22"/>
          <w:szCs w:val="22"/>
          <w:color w:val="auto"/>
        </w:rPr>
        <w:t>In response to the Staff’s comment, the Company has revised the following disclosure on pages 4 and 42 of the September Form 10-Q to add the underlined text below, and will continue to do so as applicable in future filings: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 xml:space="preserve">“Our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 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w:t>
      </w:r>
      <w:r>
        <w:rPr>
          <w:rFonts w:ascii="Times New Roman" w:cs="Times New Roman" w:eastAsia="Times New Roman" w:hAnsi="Times New Roman"/>
          <w:sz w:val="22"/>
          <w:szCs w:val="22"/>
          <w:u w:val="single" w:color="auto"/>
          <w:color w:val="auto"/>
        </w:rPr>
        <w:t>This determination was based on the facts aforementioned and the PRC Company Law, PRC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 cybersecurity regulations and other relevant laws, regulations and regulatory requirements in the PRC currently in effect. However, if this determination proves to be incorrect, then it could have a material adverse effect on ACM Research. See “Part II. Item IA, Risk Factors— 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p>
    <w:p>
      <w:pPr>
        <w:spacing w:after="0" w:line="208" w:lineRule="exact"/>
        <w:rPr>
          <w:sz w:val="20"/>
          <w:szCs w:val="20"/>
          <w:color w:val="auto"/>
        </w:rPr>
      </w:pPr>
    </w:p>
    <w:p>
      <w:pPr>
        <w:jc w:val="both"/>
        <w:ind w:left="340"/>
        <w:spacing w:after="0" w:line="234" w:lineRule="auto"/>
        <w:rPr>
          <w:sz w:val="20"/>
          <w:szCs w:val="20"/>
          <w:color w:val="auto"/>
        </w:rPr>
      </w:pPr>
      <w:r>
        <w:rPr>
          <w:rFonts w:ascii="Times New Roman" w:cs="Times New Roman" w:eastAsia="Times New Roman" w:hAnsi="Times New Roman"/>
          <w:sz w:val="22"/>
          <w:szCs w:val="22"/>
          <w:u w:val="single" w:color="auto"/>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and it could have a material adverse effect on our business, financial condition, results of operations, reputation and prospects and on the trading price of ACM Research Class A common stock.</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both"/>
        <w:ind w:left="340" w:hanging="332"/>
        <w:spacing w:after="0" w:line="262" w:lineRule="auto"/>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our comment 35 and new disclosure on page 40 of your Form 10-Q for the fiscal quarters ended June 30, 2022. Please enhance your disclosure to discuss all of the risks and consequences of being added to the HFCAA list including that the value of your securities may significantly decline or become worthless, and that your securities may eventually be delisted. Disclose the impact of both the HFCAA and Accelerating HFCAA on your company. This disclosure should be moved to the forefront of your MD&amp;A.</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 response to the Staff’s comment, the Company has revised the disclosure regarding the HFCAA on page 40 of the</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September Form 10-Q to read as follows, and moved the disclosure forward in the Company’s MD&amp;A: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ind w:left="340"/>
        <w:spacing w:after="0" w:line="243" w:lineRule="auto"/>
        <w:rPr>
          <w:sz w:val="20"/>
          <w:szCs w:val="20"/>
          <w:color w:val="auto"/>
        </w:rPr>
      </w:pPr>
      <w:r>
        <w:rPr>
          <w:rFonts w:ascii="Times New Roman" w:cs="Times New Roman" w:eastAsia="Times New Roman" w:hAnsi="Times New Roman"/>
          <w:sz w:val="21"/>
          <w:szCs w:val="21"/>
          <w:color w:val="auto"/>
        </w:rPr>
        <w:t>“The U.S. Holding Foreign Companies Accountable Act (the “HFCA Act”) requires that the Public Company Accounting Oversight Board (the “PCAOB”) determine whether it is unable to inspect or investigate completely registered public accounting firms located in a non-U.S. jurisdiction because of a position taken by one or more authorities in that jurisdiction. BDO China Shu Lun Pan Certified Public Accountants LLP (“BDO China”) had been our independent registered public accounting firm in recent years, including for the year ended December 31, 2021.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“Part II. Item 1A, Risk Factors— 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three consecutive times due to our independent auditor being located in a jurisdiction that does not allow for PCAOB inspections, the SEC could prohibit trading in our securities and cause our securities to be delisted in the U.S., and their value may significantly decline or become worthless. Further, the “Accelerating HFCAA” could reduce the applicable threshold from three consecutive appearances to two consecutive appearances on the list. However,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 and subsequent to the filing of our 2022 annual report, we do not believe ACM Research will appear on the “Conclusive” list for a second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10-Q for Fiscal Quarters Ended June 30,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 to Consolidated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6 - Property Plant and Equipment, Net, page 21</w:t>
      </w:r>
    </w:p>
    <w:p>
      <w:pPr>
        <w:spacing w:after="0" w:line="242" w:lineRule="exact"/>
        <w:rPr>
          <w:sz w:val="20"/>
          <w:szCs w:val="20"/>
          <w:color w:val="auto"/>
        </w:rPr>
      </w:pPr>
    </w:p>
    <w:p>
      <w:pPr>
        <w:ind w:left="340" w:right="20" w:hanging="332"/>
        <w:spacing w:after="0" w:line="286" w:lineRule="auto"/>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36. In this regard, tell us when you believe title will be transferred, we note that it has been over eight months since you took possession of the property.</w:t>
      </w:r>
    </w:p>
    <w:p>
      <w:pPr>
        <w:spacing w:after="0" w:line="177" w:lineRule="exact"/>
        <w:rPr>
          <w:sz w:val="20"/>
          <w:szCs w:val="20"/>
          <w:color w:val="auto"/>
        </w:rPr>
      </w:pPr>
    </w:p>
    <w:p>
      <w:pPr>
        <w:jc w:val="both"/>
        <w:ind w:left="340" w:right="120"/>
        <w:spacing w:after="0" w:line="238" w:lineRule="auto"/>
        <w:rPr>
          <w:sz w:val="20"/>
          <w:szCs w:val="20"/>
          <w:color w:val="auto"/>
        </w:rPr>
      </w:pPr>
      <w:r>
        <w:rPr>
          <w:rFonts w:ascii="Times New Roman" w:cs="Times New Roman" w:eastAsia="Times New Roman" w:hAnsi="Times New Roman"/>
          <w:sz w:val="22"/>
          <w:szCs w:val="22"/>
          <w:color w:val="auto"/>
        </w:rPr>
        <w:t>The Company respectfully informs the Staff that ACM Shanghai received the right certificate conveying title to the property on November 23, 2022. Further, in response to the Staff’s comment, the Company had revised the disclosure on page 64 of the September Form 10-Q, filed on November 9, 2022, to add the underlined text below to indicate its expectation that it would receive the right certificate before December 31, 2022, and the Company will update such disclosure in future filings to reflect the subsequent receipt of the right certificate: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ind w:left="340" w:right="120"/>
        <w:spacing w:after="0" w:line="231" w:lineRule="auto"/>
        <w:rPr>
          <w:sz w:val="20"/>
          <w:szCs w:val="20"/>
          <w:color w:val="auto"/>
        </w:rPr>
      </w:pPr>
      <w:r>
        <w:rPr>
          <w:rFonts w:ascii="Times New Roman" w:cs="Times New Roman" w:eastAsia="Times New Roman" w:hAnsi="Times New Roman"/>
          <w:sz w:val="22"/>
          <w:szCs w:val="22"/>
          <w:color w:val="auto"/>
        </w:rPr>
        <w:t xml:space="preserve">“In connection with its financing the purchase of housing units in Lingang, Shanghai, or the Property, in November 2020 ACM Shengwei entered into a Loan and Mortgage Contract, or the Loan Agreement, with China Merchants Bank Co., Ltd., Shanghai Pilot Free Trade Zone Lin-Gang Special Area Sub-branch, or the Lender, pursuant to which ACM Shengwei obtained a loan in the aggregate amount of $19.6 million. The loan under the Loan Agreement is secured by a pledge of the Property, which ACM Shangwei’s subsidiary received ownership of in January 2022, and is guaranteed by ACM Shanghai. Under the Loan Agreement, ACM Shengwei must deliver the right certificate of the Property within sixty days of the execution of the Loan Agreement or the Lender has the right to, among other things, declare a breach of contract and enforce its remedies under the Loan Agreement, which remedies include the ability to declare any borrowings outstanding, together with accrued and unpaid interest and fees, to be immediately due and payable. As of the date of this report, ACM Shengwei and its developer have been unable to obtain the required right certificate of the Property due to administrative difficulties related to the COVID 19 pandemic and, as a result, the procedures of the formal pledge registration by the Lender have not been completed. </w:t>
      </w:r>
      <w:r>
        <w:rPr>
          <w:rFonts w:ascii="Times New Roman" w:cs="Times New Roman" w:eastAsia="Times New Roman" w:hAnsi="Times New Roman"/>
          <w:sz w:val="22"/>
          <w:szCs w:val="22"/>
          <w:u w:val="single" w:color="auto"/>
          <w:color w:val="auto"/>
        </w:rPr>
        <w:t>The Lender delivered an updated letter to ACM Shengwei on October 21, 2022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confirming that it is aware of the cause of the delay in ACM Shengwei’s delivery of the right certificate of the Property and as of the date of this report has not taken any action to date as a result of the delay</w:t>
      </w:r>
      <w:r>
        <w:rPr>
          <w:rFonts w:ascii="Times New Roman" w:cs="Times New Roman" w:eastAsia="Times New Roman" w:hAnsi="Times New Roman"/>
          <w:sz w:val="22"/>
          <w:szCs w:val="22"/>
          <w:color w:val="auto"/>
        </w:rPr>
        <w:t xml:space="preserve">. The Lender could, however, assert at any time that the delay is a breach of contract and, among other remedies, could seek to declare the amounts owing under the Loan Agreement to be due and payable. The Shanghai Lingang Industrial Zone Public Rental Housing Construction and Operation Management Co., Ltd., or the Developer, delivered a letter to ACM Shengwei on August 4, 2022, citing a force majeure delay due to the COVID-19-related restrictions in Shanghai for the delay of the initial registration of the housing ownership, and that it expected to complete the initial registration of housing ownership by the end of August 2022. </w:t>
      </w:r>
      <w:r>
        <w:rPr>
          <w:rFonts w:ascii="Times New Roman" w:cs="Times New Roman" w:eastAsia="Times New Roman" w:hAnsi="Times New Roman"/>
          <w:sz w:val="22"/>
          <w:szCs w:val="22"/>
          <w:u w:val="single" w:color="auto"/>
          <w:color w:val="auto"/>
        </w:rPr>
        <w:t>ACM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Shanghai has confirmed the Developer has completed the initial registration of the housing ownership with local PRC authorities, and, as of the date of this filing, expects to receive the right certificate before December 31, 2022</w:t>
      </w:r>
      <w:r>
        <w:rPr>
          <w:rFonts w:ascii="Times New Roman" w:cs="Times New Roman" w:eastAsia="Times New Roman" w:hAnsi="Times New Roman"/>
          <w:sz w:val="22"/>
          <w:szCs w:val="22"/>
          <w:color w:val="auto"/>
        </w:rPr>
        <w:t>. See “Risks Related to International Aspects of Our Business—As the result of administrative delays in the PRC related to the COVID-19 pandemic, ACM Research’s indirect subsidiary ACM Shengwei has not been able to obtain the right certificate of property in Lingang, Shanghai as required by its Loan and Mortgage Contract, and our liquidity, financial position and business would be adversely affected if the lender bank were to assert successfully that the failure to obtain the right certificate is a breach of the Loan and Mortgage Contract” in Item 1A. Risk Factors of Part II of our Quarterly Report on Form 10-Q for the quarter ended June 30, 2022.”</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Also, given that you do not hold title to the property tell us why you believe you have the risks and rewards of ownership.</w:t>
      </w:r>
    </w:p>
    <w:p>
      <w:pPr>
        <w:spacing w:after="0" w:line="239" w:lineRule="exact"/>
        <w:rPr>
          <w:sz w:val="20"/>
          <w:szCs w:val="20"/>
          <w:color w:val="auto"/>
        </w:rPr>
      </w:pPr>
    </w:p>
    <w:p>
      <w:pPr>
        <w:jc w:val="both"/>
        <w:ind w:left="340" w:right="140"/>
        <w:spacing w:after="0" w:line="258" w:lineRule="auto"/>
        <w:rPr>
          <w:sz w:val="20"/>
          <w:szCs w:val="20"/>
          <w:color w:val="auto"/>
        </w:rPr>
      </w:pPr>
      <w:r>
        <w:rPr>
          <w:rFonts w:ascii="Times New Roman" w:cs="Times New Roman" w:eastAsia="Times New Roman" w:hAnsi="Times New Roman"/>
          <w:sz w:val="22"/>
          <w:szCs w:val="22"/>
          <w:color w:val="auto"/>
        </w:rPr>
        <w:t>The Company respectfully advises the Staff that, prior to receiving the right certificate, it believed it had the risks and rewards of ownership of the property for the following reasons:</w:t>
      </w:r>
    </w:p>
    <w:p>
      <w:pPr>
        <w:spacing w:after="0" w:line="194"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paid for the property in full;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physical possession of the property and occupied and used the property without interference;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in the delivery of the right certificate was completely administrative, and based on ongoing discussions with the developer, the Company expected to receive it before December 31, 2022;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in the delivery of the right certificate had not interfered with the Company’s use or occupation of the property in any manner.</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For example, can you sell the property without possessing the title?</w:t>
      </w:r>
    </w:p>
    <w:p>
      <w:pPr>
        <w:spacing w:after="0" w:line="239"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22"/>
          <w:szCs w:val="22"/>
          <w:color w:val="auto"/>
        </w:rPr>
        <w:t>Although there are no plans to sell the property, and the right certificate has now been received, in the event of a sale of the property, the Company would have been required to obtain and transfer title to the property prior to closing.</w:t>
      </w:r>
    </w:p>
    <w:p>
      <w:pPr>
        <w:spacing w:after="0" w:line="185"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22"/>
          <w:szCs w:val="22"/>
          <w:color w:val="auto"/>
        </w:rPr>
        <w:t>Please do not hesitate to contact me at (949) 623-3519 if you have any questions or would like additional information regarding this matter.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A. Hedge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A. Hedge</w:t>
      </w:r>
    </w:p>
    <w:p>
      <w:pPr>
        <w:spacing w:after="0" w:line="242" w:lineRule="exact"/>
        <w:rPr>
          <w:sz w:val="20"/>
          <w:szCs w:val="20"/>
          <w:color w:val="auto"/>
        </w:rPr>
      </w:pPr>
    </w:p>
    <w:p>
      <w:pPr>
        <w:ind w:left="680" w:right="6619" w:hanging="672"/>
        <w:spacing w:after="0" w:line="289"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David H. Wang, ACM Research, Inc. Mark McKechnie, ACM Research, Inc. Jason C. Dreibelbis, K&amp;L Gates LLP</w:t>
      </w:r>
    </w:p>
    <w:p>
      <w:pPr>
        <w:spacing w:after="0" w:line="200" w:lineRule="exact"/>
        <w:rPr>
          <w:sz w:val="20"/>
          <w:szCs w:val="20"/>
          <w:color w:val="auto"/>
        </w:rPr>
      </w:pPr>
    </w:p>
    <w:p>
      <w:pPr>
        <w:spacing w:after="0" w:line="22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7"/>
    </w:lvl>
    <w:lvl w:ilvl="1">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o"/>
      <w:numFmt w:val="bullet"/>
      <w:start w:val="1"/>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2023-03-20T23:22:26Z</dcterms:created>
  <dcterms:modified xsi:type="dcterms:W3CDTF">2023-03-20T23:22:26Z</dcterms:modified>
</cp:coreProperties>
</file>