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74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407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11/22/2023</w:t>
            </w: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633,794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588,794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13, 2023.</w:t>
      </w:r>
    </w:p>
    <w:p>
      <w:pPr>
        <w:spacing w:after="0" w:line="5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$17.51 to $18.14,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price reported in Column 4 is a weighted average price. The shares were sold in multiple transactions at prices ranging from $17.51 to $18.16,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11/27/2023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2023-11-27T15:43:37Z</dcterms:created>
  <dcterms:modified xsi:type="dcterms:W3CDTF">2023-11-27T15:43:37Z</dcterms:modified>
</cp:coreProperties>
</file>