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Pappis Charles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ACM RESEARCH,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42307 OSGOOD ROAD, SUITE 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 Research,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ACMR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81.26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96.13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will vest and become exercisable immediately prior to the 2027 annual meeting of stockholders of the issuer, subject to continued service through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per restricted stock unit is based on the average closing market price of the Issuer's common stock for the 30 trading days preceding the grant day.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should be vested immediately prior to the 2027 annual meeting of stockholders of the issuer, subject to continued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McKechnie, Attorney-in-Fact for Charles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5345" TargetMode="External"/><Relationship Id="rId5" Type="http://schemas.openxmlformats.org/officeDocument/2006/relationships/hyperlink" Target="http://www.sec.gov/cgi-bin/browse-edgar?action=getcompany&amp;CIK=00016800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672</Words>
  <Characters>3602</Characters>
  <CharactersWithSpaces>4189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