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102235</wp:posOffset>
            </wp:positionV>
            <wp:extent cx="56235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3560" cy="171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170815</wp:posOffset>
            </wp:positionV>
            <wp:extent cx="5623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SCHEDULE 14A</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w:t>
      </w:r>
    </w:p>
    <w:p>
      <w:pPr>
        <w:jc w:val="center"/>
        <w:spacing w:after="0"/>
        <w:rPr>
          <w:sz w:val="20"/>
          <w:szCs w:val="20"/>
          <w:color w:val="auto"/>
        </w:rPr>
      </w:pPr>
      <w:r>
        <w:rPr>
          <w:rFonts w:ascii="Arial" w:cs="Arial" w:eastAsia="Arial" w:hAnsi="Arial"/>
          <w:sz w:val="18"/>
          <w:szCs w:val="18"/>
          <w:b w:val="1"/>
          <w:bCs w:val="1"/>
          <w:color w:val="auto"/>
        </w:rPr>
        <w:t>Section 14(a) of the Securities Exchange Act of 1934</w:t>
      </w:r>
    </w:p>
    <w:p>
      <w:pPr>
        <w:spacing w:after="0" w:line="125" w:lineRule="exact"/>
        <w:rPr>
          <w:sz w:val="24"/>
          <w:szCs w:val="24"/>
          <w:color w:val="auto"/>
        </w:rPr>
      </w:pPr>
    </w:p>
    <w:p>
      <w:pPr>
        <w:ind w:left="80"/>
        <w:spacing w:after="0" w:line="207" w:lineRule="exact"/>
        <w:tabs>
          <w:tab w:leader="none" w:pos="54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13"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20" w:hanging="340"/>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20" w:hanging="340"/>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03" w:lineRule="exact"/>
        <w:rPr>
          <w:rFonts w:ascii="MS PGothic" w:cs="MS PGothic" w:eastAsia="MS PGothic" w:hAnsi="MS PGothic"/>
          <w:sz w:val="18"/>
          <w:szCs w:val="18"/>
          <w:color w:val="auto"/>
        </w:rPr>
      </w:pPr>
    </w:p>
    <w:p>
      <w:pPr>
        <w:ind w:left="420" w:hanging="34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20" w:hanging="340"/>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20" w:hanging="340"/>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197485</wp:posOffset>
            </wp:positionV>
            <wp:extent cx="10115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80"/>
        <w:spacing w:after="0"/>
        <w:rPr>
          <w:sz w:val="20"/>
          <w:szCs w:val="20"/>
          <w:color w:val="auto"/>
        </w:rPr>
      </w:pPr>
      <w:r>
        <w:rPr>
          <w:rFonts w:ascii="Arial" w:cs="Arial" w:eastAsia="Arial" w:hAnsi="Arial"/>
          <w:sz w:val="18"/>
          <w:szCs w:val="18"/>
          <w:color w:val="auto"/>
        </w:rPr>
        <w:t> </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48" w:lineRule="exact"/>
        <w:rPr>
          <w:sz w:val="24"/>
          <w:szCs w:val="24"/>
          <w:color w:val="auto"/>
        </w:rPr>
      </w:pPr>
    </w:p>
    <w:p>
      <w:pPr>
        <w:ind w:left="260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99"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400" w:hanging="324"/>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20"/>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740" w:hanging="340"/>
        <w:spacing w:after="0"/>
        <w:tabs>
          <w:tab w:leader="none" w:pos="74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40" w:hanging="340"/>
        <w:spacing w:after="0"/>
        <w:tabs>
          <w:tab w:leader="none" w:pos="74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40" w:right="99" w:hanging="340"/>
        <w:spacing w:after="0" w:line="271" w:lineRule="auto"/>
        <w:tabs>
          <w:tab w:leader="none" w:pos="74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6" w:lineRule="exact"/>
        <w:rPr>
          <w:rFonts w:ascii="Arial" w:cs="Arial" w:eastAsia="Arial" w:hAnsi="Arial"/>
          <w:sz w:val="18"/>
          <w:szCs w:val="18"/>
          <w:color w:val="auto"/>
        </w:rPr>
      </w:pPr>
    </w:p>
    <w:p>
      <w:pPr>
        <w:ind w:left="740" w:hanging="340"/>
        <w:spacing w:after="0"/>
        <w:tabs>
          <w:tab w:leader="none" w:pos="74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40" w:hanging="340"/>
        <w:spacing w:after="0"/>
        <w:tabs>
          <w:tab w:leader="none" w:pos="74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00" w:hanging="320"/>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jc w:val="both"/>
        <w:ind w:left="400" w:right="99" w:hanging="320"/>
        <w:spacing w:after="0" w:line="25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0" w:lineRule="exact"/>
        <w:rPr>
          <w:rFonts w:ascii="MS PGothic" w:cs="MS PGothic" w:eastAsia="MS PGothic" w:hAnsi="MS PGothic"/>
          <w:sz w:val="18"/>
          <w:szCs w:val="18"/>
          <w:color w:val="auto"/>
        </w:rPr>
      </w:pPr>
    </w:p>
    <w:p>
      <w:pPr>
        <w:ind w:left="740" w:hanging="340"/>
        <w:spacing w:after="0"/>
        <w:tabs>
          <w:tab w:leader="none" w:pos="74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40" w:hanging="340"/>
        <w:spacing w:after="0"/>
        <w:tabs>
          <w:tab w:leader="none" w:pos="74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40" w:hanging="340"/>
        <w:spacing w:after="0"/>
        <w:tabs>
          <w:tab w:leader="none" w:pos="74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40" w:hanging="340"/>
        <w:spacing w:after="0"/>
        <w:tabs>
          <w:tab w:leader="none" w:pos="74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583565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240665</wp:posOffset>
            </wp:positionV>
            <wp:extent cx="5203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031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-170180</wp:posOffset>
            </wp:positionV>
            <wp:extent cx="5203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031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-590550</wp:posOffset>
            </wp:positionV>
            <wp:extent cx="5203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031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-1010285</wp:posOffset>
            </wp:positionV>
            <wp:extent cx="5203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031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-2082165</wp:posOffset>
            </wp:positionV>
            <wp:extent cx="52031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031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-2501900</wp:posOffset>
            </wp:positionV>
            <wp:extent cx="52031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31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-2922270</wp:posOffset>
            </wp:positionV>
            <wp:extent cx="5203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031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-3470910</wp:posOffset>
            </wp:positionV>
            <wp:extent cx="52031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031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-3890645</wp:posOffset>
            </wp:positionV>
            <wp:extent cx="52031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031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386080</wp:posOffset>
            </wp:positionV>
            <wp:extent cx="5623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446405</wp:posOffset>
            </wp:positionV>
            <wp:extent cx="56235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235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7012305" cy="6120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2305" cy="6120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58"/>
          <w:szCs w:val="58"/>
          <w:color w:val="FFFFFF"/>
        </w:rPr>
        <w:t>NOTICE OF</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58"/>
          <w:szCs w:val="58"/>
          <w:color w:val="FFFFFF"/>
        </w:rPr>
        <w:t>2022 ANNUAL MEETING</w:t>
      </w:r>
    </w:p>
    <w:p>
      <w:pPr>
        <w:jc w:val="center"/>
        <w:spacing w:after="0"/>
        <w:rPr>
          <w:sz w:val="20"/>
          <w:szCs w:val="20"/>
          <w:color w:val="auto"/>
        </w:rPr>
      </w:pPr>
      <w:r>
        <w:rPr>
          <w:rFonts w:ascii="Arial" w:cs="Arial" w:eastAsia="Arial" w:hAnsi="Arial"/>
          <w:sz w:val="58"/>
          <w:szCs w:val="58"/>
          <w:color w:val="FFFFFF"/>
        </w:rPr>
        <w:t>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FFFFFF"/>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50"/>
          <w:szCs w:val="50"/>
          <w:color w:val="FFFFFF"/>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578"/>
        </w:trPr>
        <w:tc>
          <w:tcPr>
            <w:tcW w:w="720" w:type="dxa"/>
            <w:vAlign w:val="bottom"/>
            <w:gridSpan w:val="2"/>
            <w:shd w:val="clear" w:color="auto" w:fill="58595B"/>
          </w:tcPr>
          <w:p>
            <w:pPr>
              <w:spacing w:after="0"/>
              <w:rPr>
                <w:sz w:val="20"/>
                <w:szCs w:val="20"/>
                <w:color w:val="auto"/>
              </w:rPr>
            </w:pPr>
            <w:r>
              <w:rPr>
                <w:rFonts w:ascii="Times New Roman" w:cs="Times New Roman" w:eastAsia="Times New Roman" w:hAnsi="Times New Roman"/>
                <w:sz w:val="4"/>
                <w:szCs w:val="4"/>
                <w:color w:val="auto"/>
              </w:rPr>
              <w:t>​</w:t>
            </w:r>
          </w:p>
        </w:tc>
        <w:tc>
          <w:tcPr>
            <w:tcW w:w="4780" w:type="dxa"/>
            <w:vAlign w:val="bottom"/>
            <w:shd w:val="clear" w:color="auto" w:fill="58595B"/>
          </w:tcPr>
          <w:p>
            <w:pPr>
              <w:ind w:left="700"/>
              <w:spacing w:after="0"/>
              <w:rPr>
                <w:sz w:val="20"/>
                <w:szCs w:val="20"/>
                <w:color w:val="auto"/>
              </w:rPr>
            </w:pPr>
            <w:r>
              <w:rPr>
                <w:rFonts w:ascii="Arial" w:cs="Arial" w:eastAsia="Arial" w:hAnsi="Arial"/>
                <w:sz w:val="29"/>
                <w:szCs w:val="29"/>
                <w:b w:val="1"/>
                <w:bCs w:val="1"/>
                <w:color w:val="FFFFFF"/>
              </w:rPr>
              <w:t>2022 Annual Meeting</w:t>
            </w:r>
          </w:p>
        </w:tc>
        <w:tc>
          <w:tcPr>
            <w:tcW w:w="380" w:type="dxa"/>
            <w:vAlign w:val="bottom"/>
            <w:shd w:val="clear" w:color="auto" w:fill="58595B"/>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4000" w:type="dxa"/>
            <w:vAlign w:val="bottom"/>
            <w:gridSpan w:val="3"/>
            <w:shd w:val="clear" w:color="auto" w:fill="58595B"/>
          </w:tcPr>
          <w:p>
            <w:pPr>
              <w:ind w:left="60"/>
              <w:spacing w:after="0"/>
              <w:rPr>
                <w:sz w:val="20"/>
                <w:szCs w:val="20"/>
                <w:color w:val="auto"/>
              </w:rPr>
            </w:pPr>
            <w:r>
              <w:rPr>
                <w:rFonts w:ascii="Arial" w:cs="Arial" w:eastAsia="Arial" w:hAnsi="Arial"/>
                <w:sz w:val="29"/>
                <w:szCs w:val="29"/>
                <w:b w:val="1"/>
                <w:bCs w:val="1"/>
                <w:color w:val="FFFFFF"/>
              </w:rPr>
              <w:t>Inside</w:t>
            </w:r>
          </w:p>
        </w:tc>
        <w:tc>
          <w:tcPr>
            <w:tcW w:w="1160" w:type="dxa"/>
            <w:vAlign w:val="bottom"/>
            <w:shd w:val="clear" w:color="auto" w:fill="58595B"/>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448"/>
        </w:trPr>
        <w:tc>
          <w:tcPr>
            <w:tcW w:w="20" w:type="dxa"/>
            <w:vAlign w:val="bottom"/>
            <w:shd w:val="clear" w:color="auto" w:fill="58595B"/>
          </w:tcPr>
          <w:p>
            <w:pPr>
              <w:spacing w:after="0"/>
              <w:rPr>
                <w:sz w:val="24"/>
                <w:szCs w:val="24"/>
                <w:color w:val="auto"/>
              </w:rPr>
            </w:pPr>
          </w:p>
        </w:tc>
        <w:tc>
          <w:tcPr>
            <w:tcW w:w="700" w:type="dxa"/>
            <w:vAlign w:val="bottom"/>
            <w:shd w:val="clear" w:color="auto" w:fill="58595B"/>
          </w:tcPr>
          <w:p>
            <w:pPr>
              <w:spacing w:after="0"/>
              <w:rPr>
                <w:sz w:val="24"/>
                <w:szCs w:val="24"/>
                <w:color w:val="auto"/>
              </w:rPr>
            </w:pPr>
          </w:p>
        </w:tc>
        <w:tc>
          <w:tcPr>
            <w:tcW w:w="4780" w:type="dxa"/>
            <w:vAlign w:val="bottom"/>
            <w:shd w:val="clear" w:color="auto" w:fill="58595B"/>
          </w:tcPr>
          <w:p>
            <w:pPr>
              <w:spacing w:after="0"/>
              <w:rPr>
                <w:sz w:val="24"/>
                <w:szCs w:val="24"/>
                <w:color w:val="auto"/>
              </w:rPr>
            </w:pPr>
          </w:p>
        </w:tc>
        <w:tc>
          <w:tcPr>
            <w:tcW w:w="380" w:type="dxa"/>
            <w:vAlign w:val="bottom"/>
            <w:shd w:val="clear" w:color="auto" w:fill="58595B"/>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4000" w:type="dxa"/>
            <w:vAlign w:val="bottom"/>
            <w:gridSpan w:val="3"/>
            <w:shd w:val="clear" w:color="auto" w:fill="58595B"/>
          </w:tcPr>
          <w:p>
            <w:pPr>
              <w:ind w:left="60"/>
              <w:spacing w:after="0"/>
              <w:rPr>
                <w:sz w:val="20"/>
                <w:szCs w:val="20"/>
                <w:color w:val="auto"/>
              </w:rPr>
            </w:pPr>
            <w:r>
              <w:rPr>
                <w:rFonts w:ascii="Arial" w:cs="Arial" w:eastAsia="Arial" w:hAnsi="Arial"/>
                <w:sz w:val="22"/>
                <w:szCs w:val="22"/>
                <w:color w:val="FFFFFF"/>
              </w:rPr>
              <w:t>CEO’s letter to stockholders</w:t>
            </w:r>
          </w:p>
        </w:tc>
        <w:tc>
          <w:tcPr>
            <w:tcW w:w="1160" w:type="dxa"/>
            <w:vAlign w:val="bottom"/>
            <w:shd w:val="clear" w:color="auto" w:fill="58595B"/>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92"/>
        </w:trPr>
        <w:tc>
          <w:tcPr>
            <w:tcW w:w="20" w:type="dxa"/>
            <w:vAlign w:val="bottom"/>
            <w:shd w:val="clear" w:color="auto" w:fill="58595B"/>
          </w:tcPr>
          <w:p>
            <w:pPr>
              <w:spacing w:after="0"/>
              <w:rPr>
                <w:sz w:val="24"/>
                <w:szCs w:val="24"/>
                <w:color w:val="auto"/>
              </w:rPr>
            </w:pPr>
          </w:p>
        </w:tc>
        <w:tc>
          <w:tcPr>
            <w:tcW w:w="700" w:type="dxa"/>
            <w:vAlign w:val="bottom"/>
            <w:shd w:val="clear" w:color="auto" w:fill="58595B"/>
          </w:tcPr>
          <w:p>
            <w:pPr>
              <w:spacing w:after="0"/>
              <w:rPr>
                <w:sz w:val="24"/>
                <w:szCs w:val="24"/>
                <w:color w:val="auto"/>
              </w:rPr>
            </w:pPr>
          </w:p>
        </w:tc>
        <w:tc>
          <w:tcPr>
            <w:tcW w:w="4780" w:type="dxa"/>
            <w:vAlign w:val="bottom"/>
            <w:shd w:val="clear" w:color="auto" w:fill="58595B"/>
          </w:tcPr>
          <w:p>
            <w:pPr>
              <w:ind w:left="700"/>
              <w:spacing w:after="0"/>
              <w:rPr>
                <w:sz w:val="20"/>
                <w:szCs w:val="20"/>
                <w:color w:val="auto"/>
              </w:rPr>
            </w:pPr>
            <w:r>
              <w:rPr>
                <w:rFonts w:ascii="Arial" w:cs="Arial" w:eastAsia="Arial" w:hAnsi="Arial"/>
                <w:sz w:val="22"/>
                <w:szCs w:val="22"/>
                <w:color w:val="FFFFFF"/>
              </w:rPr>
              <w:t>June 30, 2022</w:t>
            </w:r>
          </w:p>
        </w:tc>
        <w:tc>
          <w:tcPr>
            <w:tcW w:w="380" w:type="dxa"/>
            <w:vAlign w:val="bottom"/>
            <w:shd w:val="clear" w:color="auto" w:fill="58595B"/>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4000" w:type="dxa"/>
            <w:vAlign w:val="bottom"/>
            <w:gridSpan w:val="3"/>
            <w:shd w:val="clear" w:color="auto" w:fill="58595B"/>
          </w:tcPr>
          <w:p>
            <w:pPr>
              <w:ind w:left="60"/>
              <w:spacing w:after="0"/>
              <w:rPr>
                <w:sz w:val="20"/>
                <w:szCs w:val="20"/>
                <w:color w:val="auto"/>
              </w:rPr>
            </w:pPr>
            <w:r>
              <w:rPr>
                <w:rFonts w:ascii="Arial" w:cs="Arial" w:eastAsia="Arial" w:hAnsi="Arial"/>
                <w:sz w:val="22"/>
                <w:szCs w:val="22"/>
                <w:color w:val="FFFFFF"/>
              </w:rPr>
              <w:t>Information on two voting proposals:</w:t>
            </w:r>
          </w:p>
        </w:tc>
        <w:tc>
          <w:tcPr>
            <w:tcW w:w="1160" w:type="dxa"/>
            <w:vAlign w:val="bottom"/>
            <w:shd w:val="clear" w:color="auto" w:fill="58595B"/>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83"/>
        </w:trPr>
        <w:tc>
          <w:tcPr>
            <w:tcW w:w="720" w:type="dxa"/>
            <w:vAlign w:val="bottom"/>
            <w:gridSpan w:val="2"/>
            <w:vMerge w:val="restart"/>
            <w:shd w:val="clear" w:color="auto" w:fill="58595B"/>
          </w:tcPr>
          <w:p>
            <w:pPr>
              <w:spacing w:after="0"/>
              <w:rPr>
                <w:sz w:val="20"/>
                <w:szCs w:val="20"/>
                <w:color w:val="auto"/>
              </w:rPr>
            </w:pPr>
            <w:r>
              <w:rPr>
                <w:rFonts w:ascii="Times New Roman" w:cs="Times New Roman" w:eastAsia="Times New Roman" w:hAnsi="Times New Roman"/>
                <w:sz w:val="4"/>
                <w:szCs w:val="4"/>
                <w:color w:val="auto"/>
              </w:rPr>
              <w:t>​</w:t>
            </w:r>
          </w:p>
        </w:tc>
        <w:tc>
          <w:tcPr>
            <w:tcW w:w="4780" w:type="dxa"/>
            <w:vAlign w:val="bottom"/>
            <w:shd w:val="clear" w:color="auto" w:fill="58595B"/>
          </w:tcPr>
          <w:p>
            <w:pPr>
              <w:ind w:left="700"/>
              <w:spacing w:after="0"/>
              <w:rPr>
                <w:sz w:val="20"/>
                <w:szCs w:val="20"/>
                <w:color w:val="auto"/>
              </w:rPr>
            </w:pPr>
            <w:r>
              <w:rPr>
                <w:rFonts w:ascii="Arial" w:cs="Arial" w:eastAsia="Arial" w:hAnsi="Arial"/>
                <w:sz w:val="22"/>
                <w:szCs w:val="22"/>
                <w:color w:val="FFFFFF"/>
              </w:rPr>
              <w:t>7 a.m., Pacific time</w:t>
            </w:r>
          </w:p>
        </w:tc>
        <w:tc>
          <w:tcPr>
            <w:tcW w:w="380" w:type="dxa"/>
            <w:vAlign w:val="bottom"/>
            <w:vMerge w:val="restart"/>
            <w:shd w:val="clear" w:color="auto" w:fill="58595B"/>
          </w:tcPr>
          <w:p>
            <w:pPr>
              <w:jc w:val="right"/>
              <w:ind w:right="144"/>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shd w:val="clear" w:color="auto" w:fill="58595B"/>
          </w:tcPr>
          <w:p>
            <w:pPr>
              <w:spacing w:after="0"/>
              <w:rPr>
                <w:sz w:val="24"/>
                <w:szCs w:val="24"/>
                <w:color w:val="auto"/>
              </w:rPr>
            </w:pPr>
          </w:p>
        </w:tc>
        <w:tc>
          <w:tcPr>
            <w:tcW w:w="100" w:type="dxa"/>
            <w:vAlign w:val="bottom"/>
            <w:shd w:val="clear" w:color="auto" w:fill="58595B"/>
          </w:tcPr>
          <w:p>
            <w:pPr>
              <w:spacing w:after="0"/>
              <w:rPr>
                <w:sz w:val="24"/>
                <w:szCs w:val="24"/>
                <w:color w:val="auto"/>
              </w:rPr>
            </w:pPr>
          </w:p>
        </w:tc>
        <w:tc>
          <w:tcPr>
            <w:tcW w:w="3360" w:type="dxa"/>
            <w:vAlign w:val="bottom"/>
            <w:shd w:val="clear" w:color="auto" w:fill="58595B"/>
          </w:tcPr>
          <w:p>
            <w:pPr>
              <w:spacing w:after="0"/>
              <w:rPr>
                <w:sz w:val="24"/>
                <w:szCs w:val="24"/>
                <w:color w:val="auto"/>
              </w:rPr>
            </w:pPr>
          </w:p>
        </w:tc>
        <w:tc>
          <w:tcPr>
            <w:tcW w:w="1160" w:type="dxa"/>
            <w:vAlign w:val="bottom"/>
            <w:shd w:val="clear" w:color="auto" w:fill="58595B"/>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20" w:type="dxa"/>
            <w:vAlign w:val="bottom"/>
            <w:gridSpan w:val="2"/>
            <w:vMerge w:val="continue"/>
            <w:shd w:val="clear" w:color="auto" w:fill="58595B"/>
          </w:tcPr>
          <w:p>
            <w:pPr>
              <w:spacing w:after="0"/>
              <w:rPr>
                <w:sz w:val="2"/>
                <w:szCs w:val="2"/>
                <w:color w:val="auto"/>
              </w:rPr>
            </w:pPr>
          </w:p>
        </w:tc>
        <w:tc>
          <w:tcPr>
            <w:tcW w:w="4780" w:type="dxa"/>
            <w:vAlign w:val="bottom"/>
            <w:shd w:val="clear" w:color="auto" w:fill="58595B"/>
          </w:tcPr>
          <w:p>
            <w:pPr>
              <w:spacing w:after="0"/>
              <w:rPr>
                <w:sz w:val="2"/>
                <w:szCs w:val="2"/>
                <w:color w:val="auto"/>
              </w:rPr>
            </w:pPr>
          </w:p>
        </w:tc>
        <w:tc>
          <w:tcPr>
            <w:tcW w:w="380" w:type="dxa"/>
            <w:vAlign w:val="bottom"/>
            <w:vMerge w:val="continue"/>
            <w:shd w:val="clear" w:color="auto" w:fill="58595B"/>
          </w:tcPr>
          <w:p>
            <w:pPr>
              <w:spacing w:after="0"/>
              <w:rPr>
                <w:sz w:val="2"/>
                <w:szCs w:val="2"/>
                <w:color w:val="auto"/>
              </w:rPr>
            </w:pPr>
          </w:p>
        </w:tc>
        <w:tc>
          <w:tcPr>
            <w:tcW w:w="540" w:type="dxa"/>
            <w:vAlign w:val="bottom"/>
            <w:shd w:val="clear" w:color="auto" w:fill="58595B"/>
          </w:tcPr>
          <w:p>
            <w:pPr>
              <w:spacing w:after="0"/>
              <w:rPr>
                <w:sz w:val="2"/>
                <w:szCs w:val="2"/>
                <w:color w:val="auto"/>
              </w:rPr>
            </w:pPr>
          </w:p>
        </w:tc>
        <w:tc>
          <w:tcPr>
            <w:tcW w:w="100" w:type="dxa"/>
            <w:vAlign w:val="bottom"/>
            <w:shd w:val="clear" w:color="auto" w:fill="58595B"/>
          </w:tcPr>
          <w:p>
            <w:pPr>
              <w:spacing w:after="0"/>
              <w:rPr>
                <w:sz w:val="2"/>
                <w:szCs w:val="2"/>
                <w:color w:val="auto"/>
              </w:rPr>
            </w:pPr>
          </w:p>
        </w:tc>
        <w:tc>
          <w:tcPr>
            <w:tcW w:w="3360" w:type="dxa"/>
            <w:vAlign w:val="bottom"/>
            <w:shd w:val="clear" w:color="auto" w:fill="58595B"/>
          </w:tcPr>
          <w:p>
            <w:pPr>
              <w:spacing w:after="0"/>
              <w:rPr>
                <w:sz w:val="2"/>
                <w:szCs w:val="2"/>
                <w:color w:val="auto"/>
              </w:rPr>
            </w:pPr>
          </w:p>
        </w:tc>
        <w:tc>
          <w:tcPr>
            <w:tcW w:w="1160" w:type="dxa"/>
            <w:vAlign w:val="bottom"/>
            <w:shd w:val="clear" w:color="auto" w:fill="58595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shd w:val="clear" w:color="auto" w:fill="58595B"/>
          </w:tcPr>
          <w:p>
            <w:pPr>
              <w:spacing w:after="0"/>
              <w:rPr>
                <w:sz w:val="22"/>
                <w:szCs w:val="22"/>
                <w:color w:val="auto"/>
              </w:rPr>
            </w:pPr>
          </w:p>
        </w:tc>
        <w:tc>
          <w:tcPr>
            <w:tcW w:w="700" w:type="dxa"/>
            <w:vAlign w:val="bottom"/>
            <w:shd w:val="clear" w:color="auto" w:fill="58595B"/>
          </w:tcPr>
          <w:p>
            <w:pPr>
              <w:spacing w:after="0"/>
              <w:rPr>
                <w:sz w:val="22"/>
                <w:szCs w:val="22"/>
                <w:color w:val="auto"/>
              </w:rPr>
            </w:pPr>
          </w:p>
        </w:tc>
        <w:tc>
          <w:tcPr>
            <w:tcW w:w="4780" w:type="dxa"/>
            <w:vAlign w:val="bottom"/>
            <w:shd w:val="clear" w:color="auto" w:fill="58595B"/>
          </w:tcPr>
          <w:p>
            <w:pPr>
              <w:spacing w:after="0"/>
              <w:rPr>
                <w:sz w:val="22"/>
                <w:szCs w:val="22"/>
                <w:color w:val="auto"/>
              </w:rPr>
            </w:pPr>
          </w:p>
        </w:tc>
        <w:tc>
          <w:tcPr>
            <w:tcW w:w="380" w:type="dxa"/>
            <w:vAlign w:val="bottom"/>
            <w:shd w:val="clear" w:color="auto" w:fill="58595B"/>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shd w:val="clear" w:color="auto" w:fill="58595B"/>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58595B"/>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360" w:type="dxa"/>
            <w:vAlign w:val="bottom"/>
            <w:shd w:val="clear" w:color="auto" w:fill="58595B"/>
          </w:tcPr>
          <w:p>
            <w:pPr>
              <w:ind w:left="60"/>
              <w:spacing w:after="0"/>
              <w:rPr>
                <w:sz w:val="20"/>
                <w:szCs w:val="20"/>
                <w:color w:val="auto"/>
              </w:rPr>
            </w:pPr>
            <w:r>
              <w:rPr>
                <w:rFonts w:ascii="Arial" w:cs="Arial" w:eastAsia="Arial" w:hAnsi="Arial"/>
                <w:sz w:val="16"/>
                <w:szCs w:val="16"/>
                <w:color w:val="FFFFFF"/>
              </w:rPr>
              <w:t>Election of five directors</w:t>
            </w:r>
          </w:p>
        </w:tc>
        <w:tc>
          <w:tcPr>
            <w:tcW w:w="1160" w:type="dxa"/>
            <w:vAlign w:val="bottom"/>
            <w:shd w:val="clear" w:color="auto" w:fill="58595B"/>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31"/>
        </w:trPr>
        <w:tc>
          <w:tcPr>
            <w:tcW w:w="20" w:type="dxa"/>
            <w:vAlign w:val="bottom"/>
            <w:shd w:val="clear" w:color="auto" w:fill="58595B"/>
          </w:tcPr>
          <w:p>
            <w:pPr>
              <w:spacing w:after="0"/>
              <w:rPr>
                <w:sz w:val="24"/>
                <w:szCs w:val="24"/>
                <w:color w:val="auto"/>
              </w:rPr>
            </w:pPr>
          </w:p>
        </w:tc>
        <w:tc>
          <w:tcPr>
            <w:tcW w:w="700" w:type="dxa"/>
            <w:vAlign w:val="bottom"/>
            <w:shd w:val="clear" w:color="auto" w:fill="58595B"/>
          </w:tcPr>
          <w:p>
            <w:pPr>
              <w:spacing w:after="0"/>
              <w:rPr>
                <w:sz w:val="24"/>
                <w:szCs w:val="24"/>
                <w:color w:val="auto"/>
              </w:rPr>
            </w:pPr>
          </w:p>
        </w:tc>
        <w:tc>
          <w:tcPr>
            <w:tcW w:w="4780" w:type="dxa"/>
            <w:vAlign w:val="bottom"/>
            <w:shd w:val="clear" w:color="auto" w:fill="58595B"/>
          </w:tcPr>
          <w:p>
            <w:pPr>
              <w:ind w:left="700"/>
              <w:spacing w:after="0"/>
              <w:rPr>
                <w:sz w:val="20"/>
                <w:szCs w:val="20"/>
                <w:color w:val="auto"/>
              </w:rPr>
            </w:pPr>
            <w:r>
              <w:rPr>
                <w:rFonts w:ascii="Arial" w:cs="Arial" w:eastAsia="Arial" w:hAnsi="Arial"/>
                <w:sz w:val="20"/>
                <w:szCs w:val="20"/>
                <w:color w:val="FFFFFF"/>
              </w:rPr>
              <w:t>Virtual-only meeting, with webcast access at</w:t>
            </w:r>
          </w:p>
        </w:tc>
        <w:tc>
          <w:tcPr>
            <w:tcW w:w="380" w:type="dxa"/>
            <w:vAlign w:val="bottom"/>
            <w:shd w:val="clear" w:color="auto" w:fill="58595B"/>
          </w:tcPr>
          <w:p>
            <w:pPr>
              <w:spacing w:after="0"/>
              <w:rPr>
                <w:sz w:val="24"/>
                <w:szCs w:val="24"/>
                <w:color w:val="auto"/>
              </w:rPr>
            </w:pPr>
          </w:p>
        </w:tc>
        <w:tc>
          <w:tcPr>
            <w:tcW w:w="540" w:type="dxa"/>
            <w:vAlign w:val="bottom"/>
            <w:shd w:val="clear" w:color="auto" w:fill="58595B"/>
          </w:tcPr>
          <w:p>
            <w:pPr>
              <w:spacing w:after="0"/>
              <w:rPr>
                <w:sz w:val="24"/>
                <w:szCs w:val="24"/>
                <w:color w:val="auto"/>
              </w:rPr>
            </w:pPr>
          </w:p>
        </w:tc>
        <w:tc>
          <w:tcPr>
            <w:tcW w:w="100" w:type="dxa"/>
            <w:vAlign w:val="bottom"/>
            <w:shd w:val="clear" w:color="auto" w:fill="58595B"/>
          </w:tcPr>
          <w:p>
            <w:pPr>
              <w:spacing w:after="0"/>
              <w:rPr>
                <w:sz w:val="24"/>
                <w:szCs w:val="24"/>
                <w:color w:val="auto"/>
              </w:rPr>
            </w:pPr>
          </w:p>
        </w:tc>
        <w:tc>
          <w:tcPr>
            <w:tcW w:w="3360" w:type="dxa"/>
            <w:vAlign w:val="bottom"/>
            <w:shd w:val="clear" w:color="auto" w:fill="58595B"/>
          </w:tcPr>
          <w:p>
            <w:pPr>
              <w:spacing w:after="0"/>
              <w:rPr>
                <w:sz w:val="24"/>
                <w:szCs w:val="24"/>
                <w:color w:val="auto"/>
              </w:rPr>
            </w:pPr>
          </w:p>
        </w:tc>
        <w:tc>
          <w:tcPr>
            <w:tcW w:w="1160" w:type="dxa"/>
            <w:vAlign w:val="bottom"/>
            <w:shd w:val="clear" w:color="auto" w:fill="58595B"/>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58595B"/>
          </w:tcPr>
          <w:p>
            <w:pPr>
              <w:spacing w:after="0"/>
              <w:rPr>
                <w:sz w:val="24"/>
                <w:szCs w:val="24"/>
                <w:color w:val="auto"/>
              </w:rPr>
            </w:pPr>
          </w:p>
        </w:tc>
        <w:tc>
          <w:tcPr>
            <w:tcW w:w="700" w:type="dxa"/>
            <w:vAlign w:val="bottom"/>
            <w:shd w:val="clear" w:color="auto" w:fill="58595B"/>
          </w:tcPr>
          <w:p>
            <w:pPr>
              <w:spacing w:after="0"/>
              <w:rPr>
                <w:sz w:val="24"/>
                <w:szCs w:val="24"/>
                <w:color w:val="auto"/>
              </w:rPr>
            </w:pPr>
          </w:p>
        </w:tc>
        <w:tc>
          <w:tcPr>
            <w:tcW w:w="4780" w:type="dxa"/>
            <w:vAlign w:val="bottom"/>
            <w:shd w:val="clear" w:color="auto" w:fill="58595B"/>
          </w:tcPr>
          <w:p>
            <w:pPr>
              <w:ind w:left="700"/>
              <w:spacing w:after="0"/>
              <w:rPr>
                <w:sz w:val="20"/>
                <w:szCs w:val="20"/>
                <w:color w:val="auto"/>
              </w:rPr>
            </w:pPr>
            <w:r>
              <w:rPr>
                <w:rFonts w:ascii="Arial" w:cs="Arial" w:eastAsia="Arial" w:hAnsi="Arial"/>
                <w:sz w:val="20"/>
                <w:szCs w:val="20"/>
                <w:i w:val="1"/>
                <w:iCs w:val="1"/>
                <w:color w:val="FFFFFF"/>
              </w:rPr>
              <w:t>virtualshareholdermeeting.com/ACMR2022</w:t>
            </w:r>
          </w:p>
        </w:tc>
        <w:tc>
          <w:tcPr>
            <w:tcW w:w="380" w:type="dxa"/>
            <w:vAlign w:val="bottom"/>
            <w:shd w:val="clear" w:color="auto" w:fill="58595B"/>
          </w:tcPr>
          <w:p>
            <w:pPr>
              <w:jc w:val="right"/>
              <w:ind w:right="24"/>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shd w:val="clear" w:color="auto" w:fill="58595B"/>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58595B"/>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360" w:type="dxa"/>
            <w:vAlign w:val="bottom"/>
            <w:shd w:val="clear" w:color="auto" w:fill="58595B"/>
          </w:tcPr>
          <w:p>
            <w:pPr>
              <w:ind w:left="60"/>
              <w:spacing w:after="0"/>
              <w:rPr>
                <w:sz w:val="20"/>
                <w:szCs w:val="20"/>
                <w:color w:val="auto"/>
              </w:rPr>
            </w:pPr>
            <w:r>
              <w:rPr>
                <w:rFonts w:ascii="Arial" w:cs="Arial" w:eastAsia="Arial" w:hAnsi="Arial"/>
                <w:sz w:val="16"/>
                <w:szCs w:val="16"/>
                <w:color w:val="FFFFFF"/>
              </w:rPr>
              <w:t>Ratification of independent auditor for 2022</w:t>
            </w:r>
          </w:p>
        </w:tc>
        <w:tc>
          <w:tcPr>
            <w:tcW w:w="1160" w:type="dxa"/>
            <w:vAlign w:val="bottom"/>
            <w:shd w:val="clear" w:color="auto" w:fill="58595B"/>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77"/>
        </w:trPr>
        <w:tc>
          <w:tcPr>
            <w:tcW w:w="20" w:type="dxa"/>
            <w:vAlign w:val="bottom"/>
            <w:shd w:val="clear" w:color="auto" w:fill="58595B"/>
          </w:tcPr>
          <w:p>
            <w:pPr>
              <w:spacing w:after="0"/>
              <w:rPr>
                <w:sz w:val="15"/>
                <w:szCs w:val="15"/>
                <w:color w:val="auto"/>
              </w:rPr>
            </w:pPr>
          </w:p>
        </w:tc>
        <w:tc>
          <w:tcPr>
            <w:tcW w:w="700" w:type="dxa"/>
            <w:vAlign w:val="bottom"/>
            <w:shd w:val="clear" w:color="auto" w:fill="58595B"/>
          </w:tcPr>
          <w:p>
            <w:pPr>
              <w:spacing w:after="0"/>
              <w:rPr>
                <w:sz w:val="15"/>
                <w:szCs w:val="15"/>
                <w:color w:val="auto"/>
              </w:rPr>
            </w:pPr>
          </w:p>
        </w:tc>
        <w:tc>
          <w:tcPr>
            <w:tcW w:w="4780" w:type="dxa"/>
            <w:vAlign w:val="bottom"/>
            <w:shd w:val="clear" w:color="auto" w:fill="58595B"/>
          </w:tcPr>
          <w:p>
            <w:pPr>
              <w:spacing w:after="0"/>
              <w:rPr>
                <w:sz w:val="15"/>
                <w:szCs w:val="15"/>
                <w:color w:val="auto"/>
              </w:rPr>
            </w:pPr>
          </w:p>
        </w:tc>
        <w:tc>
          <w:tcPr>
            <w:tcW w:w="380" w:type="dxa"/>
            <w:vAlign w:val="bottom"/>
            <w:shd w:val="clear" w:color="auto" w:fill="58595B"/>
          </w:tcPr>
          <w:p>
            <w:pPr>
              <w:spacing w:after="0"/>
              <w:rPr>
                <w:sz w:val="15"/>
                <w:szCs w:val="15"/>
                <w:color w:val="auto"/>
              </w:rPr>
            </w:pPr>
          </w:p>
        </w:tc>
        <w:tc>
          <w:tcPr>
            <w:tcW w:w="540" w:type="dxa"/>
            <w:vAlign w:val="bottom"/>
            <w:shd w:val="clear" w:color="auto" w:fill="58595B"/>
          </w:tcPr>
          <w:p>
            <w:pPr>
              <w:spacing w:after="0"/>
              <w:rPr>
                <w:sz w:val="15"/>
                <w:szCs w:val="15"/>
                <w:color w:val="auto"/>
              </w:rPr>
            </w:pPr>
          </w:p>
        </w:tc>
        <w:tc>
          <w:tcPr>
            <w:tcW w:w="100" w:type="dxa"/>
            <w:vAlign w:val="bottom"/>
            <w:shd w:val="clear" w:color="auto" w:fill="58595B"/>
          </w:tcPr>
          <w:p>
            <w:pPr>
              <w:spacing w:after="0"/>
              <w:rPr>
                <w:sz w:val="15"/>
                <w:szCs w:val="15"/>
                <w:color w:val="auto"/>
              </w:rPr>
            </w:pPr>
          </w:p>
        </w:tc>
        <w:tc>
          <w:tcPr>
            <w:tcW w:w="3360" w:type="dxa"/>
            <w:vAlign w:val="bottom"/>
            <w:shd w:val="clear" w:color="auto" w:fill="58595B"/>
          </w:tcPr>
          <w:p>
            <w:pPr>
              <w:spacing w:after="0"/>
              <w:rPr>
                <w:sz w:val="15"/>
                <w:szCs w:val="15"/>
                <w:color w:val="auto"/>
              </w:rPr>
            </w:pPr>
          </w:p>
        </w:tc>
        <w:tc>
          <w:tcPr>
            <w:tcW w:w="1160" w:type="dxa"/>
            <w:vAlign w:val="bottom"/>
            <w:shd w:val="clear" w:color="auto" w:fill="58595B"/>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-1567815</wp:posOffset>
            </wp:positionV>
            <wp:extent cx="18186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18640" cy="1714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-1567815</wp:posOffset>
            </wp:positionV>
            <wp:extent cx="528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8320" cy="1714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-814070</wp:posOffset>
            </wp:positionV>
            <wp:extent cx="248285" cy="248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8285" cy="24828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-427990</wp:posOffset>
            </wp:positionV>
            <wp:extent cx="248285" cy="248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ectPr>
          <w:pgSz w:w="11900" w:h="16838" w:orient="portrait"/>
          <w:cols w:equalWidth="0" w:num="1">
            <w:col w:w="11040"/>
          </w:cols>
          <w:pgMar w:left="420" w:top="263" w:right="439"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161925</wp:posOffset>
            </wp:positionV>
            <wp:extent cx="1268730" cy="788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68730" cy="78867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42307 Osgood Rd, Suite I</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4C4C4C"/>
        </w:rPr>
        <w:t>Fremont, California 94539</w:t>
      </w:r>
    </w:p>
    <w:p>
      <w:pPr>
        <w:spacing w:after="0" w:line="200" w:lineRule="exact"/>
        <w:rPr>
          <w:sz w:val="20"/>
          <w:szCs w:val="20"/>
          <w:color w:val="auto"/>
        </w:rPr>
      </w:pPr>
    </w:p>
    <w:p>
      <w:pPr>
        <w:sectPr>
          <w:pgSz w:w="11900" w:h="16838" w:orient="portrait"/>
          <w:cols w:equalWidth="0" w:num="2">
            <w:col w:w="5340" w:space="720"/>
            <w:col w:w="2959"/>
          </w:cols>
          <w:pgMar w:left="1440" w:top="263" w:right="1440"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May 20, 2022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Dear Fellow Stockholder:</w:t>
      </w:r>
    </w:p>
    <w:p>
      <w:pPr>
        <w:spacing w:after="0" w:line="185"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4C4C4C"/>
        </w:rPr>
        <w:t>It is my pleasure to invite you to attend the Annual Meeting of Stockholders of ACM Research, Inc. to be held on June 30, 2022, at 7 a.m., Pacific time. This year’s Annual Meeting will be a “virtual meeting” conducted via live audio webcast, consistent with our prior practice and with prudent planning in light of the public health risks attributable to the COVID-19 (Coronavirus) pandemic. Each holder of Class A or Class B common stock as of 5 p.m., Eastern time, on the record date of May 3, 2022, will be able to</w:t>
      </w:r>
    </w:p>
    <w:p>
      <w:pPr>
        <w:spacing w:after="0" w:line="4"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7"/>
          <w:szCs w:val="17"/>
          <w:color w:val="4C4C4C"/>
        </w:rPr>
        <w:t xml:space="preserve">participate in the Annual Meeting by accessing a live webcast at </w:t>
      </w:r>
      <w:r>
        <w:rPr>
          <w:rFonts w:ascii="Arial" w:cs="Arial" w:eastAsia="Arial" w:hAnsi="Arial"/>
          <w:sz w:val="17"/>
          <w:szCs w:val="17"/>
          <w:i w:val="1"/>
          <w:iCs w:val="1"/>
          <w:color w:val="4C4C4C"/>
        </w:rPr>
        <w:t xml:space="preserve">virtualshareholdermeeting.com/ACMR2022 </w:t>
      </w:r>
      <w:r>
        <w:rPr>
          <w:rFonts w:ascii="Arial" w:cs="Arial" w:eastAsia="Arial" w:hAnsi="Arial"/>
          <w:sz w:val="17"/>
          <w:szCs w:val="17"/>
          <w:color w:val="4C4C4C"/>
        </w:rPr>
        <w:t>and entering the control number included on the stockholder’s</w:t>
      </w:r>
      <w:r>
        <w:rPr>
          <w:rFonts w:ascii="Arial" w:cs="Arial" w:eastAsia="Arial" w:hAnsi="Arial"/>
          <w:sz w:val="17"/>
          <w:szCs w:val="17"/>
          <w:i w:val="1"/>
          <w:iCs w:val="1"/>
          <w:color w:val="4C4C4C"/>
        </w:rPr>
        <w:t xml:space="preserve"> </w:t>
      </w:r>
      <w:r>
        <w:rPr>
          <w:rFonts w:ascii="Arial" w:cs="Arial" w:eastAsia="Arial" w:hAnsi="Arial"/>
          <w:sz w:val="17"/>
          <w:szCs w:val="17"/>
          <w:color w:val="4C4C4C"/>
        </w:rPr>
        <w:t>Notice of Internet Availability of Proxy Materials or proxy card. Stockholders will also be able to vote their shares and submit questions via the Internet during the meeting by participating in the webcast.</w:t>
      </w:r>
    </w:p>
    <w:p>
      <w:pPr>
        <w:spacing w:after="0" w:line="12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During the Annual Meeting, stockholders will be asked to elect the entire board of directors and to ratify the appointment of Armanino LLP as our independent auditor for 2022. Each of these matters is important, and we urge you to vote in favor of the election of each of the director nominees and the ratification of the appointment of our independent auditor.</w:t>
      </w:r>
    </w:p>
    <w:p>
      <w:pPr>
        <w:spacing w:after="0" w:line="133" w:lineRule="exact"/>
        <w:rPr>
          <w:sz w:val="20"/>
          <w:szCs w:val="20"/>
          <w:color w:val="auto"/>
        </w:rPr>
      </w:pPr>
    </w:p>
    <w:p>
      <w:pPr>
        <w:jc w:val="both"/>
        <w:ind w:left="300" w:right="319"/>
        <w:spacing w:after="0" w:line="242" w:lineRule="auto"/>
        <w:rPr>
          <w:sz w:val="20"/>
          <w:szCs w:val="20"/>
          <w:color w:val="auto"/>
        </w:rPr>
      </w:pPr>
      <w:r>
        <w:rPr>
          <w:rFonts w:ascii="Arial" w:cs="Arial" w:eastAsia="Arial" w:hAnsi="Arial"/>
          <w:sz w:val="18"/>
          <w:szCs w:val="18"/>
          <w:color w:val="4C4C4C"/>
        </w:rPr>
        <w:t>We are furnishing proxy materials to our stockholders over the Internet. This process expedites the delivery of proxy materials to our stockholders, lowers our costs and reduces the environmental impact of the Annual Meeting. Today we are sending to each of our stockholders a Notice of Internet Availability of Proxy Materials containing instructions on how to access our Proxy Statement for the Annual Meeting and our 2021 Annual Report to Stockholders, as well as how to vote via proxy either by telephone or over the Internet.</w:t>
      </w:r>
    </w:p>
    <w:p>
      <w:pPr>
        <w:spacing w:after="0" w:line="15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4C4C4C"/>
        </w:rPr>
        <w:t>It is important that you vote your shares of Class A and Class B common stock virtually or by proxy, regardless of the number of shares you own. You will find the instructions for voting on your Notice of Internet Availability of Proxy Materials or proxy card. We appreciate your prompt attention.</w:t>
      </w:r>
    </w:p>
    <w:p>
      <w:pPr>
        <w:spacing w:after="0" w:line="128"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4C4C4C"/>
        </w:rPr>
        <w:t>The board invites you to participate in the Annual Meeting so that management can listen to your suggestions, answer your questions, and discuss business developments and trends with you. Thank you for your support, and we look forward to joining you at the Annual Meeting.</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Sincerely,</w:t>
      </w: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David H. Wang</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4C4C4C"/>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161925</wp:posOffset>
            </wp:positionV>
            <wp:extent cx="1268730" cy="788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68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540"/>
        <w:spacing w:after="0"/>
        <w:rPr>
          <w:sz w:val="20"/>
          <w:szCs w:val="20"/>
          <w:color w:val="auto"/>
        </w:rPr>
      </w:pPr>
      <w:r>
        <w:rPr>
          <w:rFonts w:ascii="Arial" w:cs="Arial" w:eastAsia="Arial" w:hAnsi="Arial"/>
          <w:sz w:val="21"/>
          <w:szCs w:val="21"/>
          <w:b w:val="1"/>
          <w:bCs w:val="1"/>
          <w:i w:val="1"/>
          <w:iCs w:val="1"/>
          <w:color w:val="4C4C4C"/>
        </w:rPr>
        <w:t>NOTICE OF</w:t>
      </w:r>
    </w:p>
    <w:p>
      <w:pPr>
        <w:spacing w:after="0" w:line="22" w:lineRule="exact"/>
        <w:rPr>
          <w:sz w:val="20"/>
          <w:szCs w:val="20"/>
          <w:color w:val="auto"/>
        </w:rPr>
      </w:pPr>
    </w:p>
    <w:p>
      <w:pPr>
        <w:ind w:left="300"/>
        <w:spacing w:after="0"/>
        <w:tabs>
          <w:tab w:leader="none" w:pos="3980" w:val="left"/>
        </w:tabs>
        <w:rPr>
          <w:sz w:val="20"/>
          <w:szCs w:val="20"/>
          <w:color w:val="auto"/>
        </w:rPr>
      </w:pPr>
      <w:r>
        <w:rPr>
          <w:rFonts w:ascii="Arial" w:cs="Arial" w:eastAsia="Arial" w:hAnsi="Arial"/>
          <w:sz w:val="17"/>
          <w:szCs w:val="17"/>
          <w:color w:val="4C4C4C"/>
        </w:rPr>
        <w:t> </w:t>
      </w:r>
      <w:r>
        <w:rPr>
          <w:sz w:val="20"/>
          <w:szCs w:val="20"/>
          <w:color w:val="auto"/>
        </w:rPr>
        <w:tab/>
      </w:r>
      <w:r>
        <w:rPr>
          <w:rFonts w:ascii="Arial" w:cs="Arial" w:eastAsia="Arial" w:hAnsi="Arial"/>
          <w:sz w:val="21"/>
          <w:szCs w:val="21"/>
          <w:b w:val="1"/>
          <w:bCs w:val="1"/>
          <w:i w:val="1"/>
          <w:iCs w:val="1"/>
          <w:color w:val="4C4C4C"/>
        </w:rPr>
        <w:t>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193675</wp:posOffset>
            </wp:positionV>
            <wp:extent cx="5349240" cy="1028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102870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694D0"/>
        </w:rPr>
        <w:t>To Stockholders of ACM Research, Inc.:</w:t>
      </w:r>
    </w:p>
    <w:p>
      <w:pPr>
        <w:spacing w:after="0" w:line="86" w:lineRule="exact"/>
        <w:rPr>
          <w:sz w:val="20"/>
          <w:szCs w:val="20"/>
          <w:color w:val="auto"/>
        </w:rPr>
      </w:pPr>
    </w:p>
    <w:p>
      <w:pPr>
        <w:jc w:val="both"/>
        <w:ind w:left="300" w:right="20"/>
        <w:spacing w:after="0" w:line="253" w:lineRule="auto"/>
        <w:rPr>
          <w:sz w:val="20"/>
          <w:szCs w:val="20"/>
          <w:color w:val="auto"/>
        </w:rPr>
      </w:pPr>
      <w:r>
        <w:rPr>
          <w:rFonts w:ascii="Arial" w:cs="Arial" w:eastAsia="Arial" w:hAnsi="Arial"/>
          <w:sz w:val="16"/>
          <w:szCs w:val="16"/>
          <w:color w:val="4C4C4C"/>
        </w:rPr>
        <w:t>The board of directors is soliciting proxies for use at the ACM Research, Inc. 2022 Annual Meeting of Stockholders, or the Annual Meeting. You are receiving the enclosed Proxy Statement because you were a holder of Class A or Class B common stock as of 5 p.m., Eastern time, on the record date of May 3, 2022 and therefore are entitled to vote at the Annual Meeting.</w:t>
      </w:r>
    </w:p>
    <w:p>
      <w:pPr>
        <w:spacing w:after="0" w:line="33" w:lineRule="exact"/>
        <w:rPr>
          <w:sz w:val="20"/>
          <w:szCs w:val="20"/>
          <w:color w:val="auto"/>
        </w:rPr>
      </w:pPr>
    </w:p>
    <w:p>
      <w:pPr>
        <w:jc w:val="both"/>
        <w:ind w:left="300"/>
        <w:spacing w:after="0" w:line="250" w:lineRule="auto"/>
        <w:rPr>
          <w:sz w:val="20"/>
          <w:szCs w:val="20"/>
          <w:color w:val="auto"/>
        </w:rPr>
      </w:pPr>
      <w:r>
        <w:rPr>
          <w:rFonts w:ascii="Arial" w:cs="Arial" w:eastAsia="Arial" w:hAnsi="Arial"/>
          <w:sz w:val="16"/>
          <w:szCs w:val="16"/>
          <w:color w:val="4C4C4C"/>
        </w:rPr>
        <w:t xml:space="preserve">You may participate in the Annual Meeting, including casting votes and submitting questions, by accessing a live webcast at </w:t>
      </w:r>
      <w:r>
        <w:rPr>
          <w:rFonts w:ascii="Arial" w:cs="Arial" w:eastAsia="Arial" w:hAnsi="Arial"/>
          <w:sz w:val="16"/>
          <w:szCs w:val="16"/>
          <w:i w:val="1"/>
          <w:iCs w:val="1"/>
          <w:color w:val="4C4C4C"/>
        </w:rPr>
        <w:t>virtualshareholdermeeting.com/ACMR2022</w:t>
      </w:r>
      <w:r>
        <w:rPr>
          <w:rFonts w:ascii="Arial" w:cs="Arial" w:eastAsia="Arial" w:hAnsi="Arial"/>
          <w:sz w:val="16"/>
          <w:szCs w:val="16"/>
          <w:color w:val="4C4C4C"/>
        </w:rPr>
        <w:t xml:space="preserve"> and then using the 16-digit control number provided on the Notice of Internet Availability of Proxy Materials or proxy card being delivered to the stockholder. Online check-in to the Annual Meeting will begin at 6:45 a.m., Pacific time, and stockholders are encouraged to allow time to log in to the meeting webcast and test their computer audio system. There will be no physical location for the Annual Meeting.</w:t>
      </w:r>
    </w:p>
    <w:p>
      <w:pPr>
        <w:spacing w:after="0" w:line="41" w:lineRule="exact"/>
        <w:rPr>
          <w:sz w:val="20"/>
          <w:szCs w:val="20"/>
          <w:color w:val="auto"/>
        </w:rPr>
      </w:pPr>
    </w:p>
    <w:p>
      <w:pPr>
        <w:jc w:val="both"/>
        <w:ind w:left="300" w:right="20"/>
        <w:spacing w:after="0" w:line="286" w:lineRule="auto"/>
        <w:rPr>
          <w:sz w:val="20"/>
          <w:szCs w:val="20"/>
          <w:color w:val="auto"/>
        </w:rPr>
      </w:pPr>
      <w:r>
        <w:rPr>
          <w:rFonts w:ascii="Arial" w:cs="Arial" w:eastAsia="Arial" w:hAnsi="Arial"/>
          <w:sz w:val="16"/>
          <w:szCs w:val="16"/>
          <w:color w:val="4C4C4C"/>
        </w:rPr>
        <w:t>The Annual Meeting will be held to consider and vote upon the following proposal:</w:t>
      </w:r>
    </w:p>
    <w:p>
      <w:pPr>
        <w:spacing w:after="0" w:line="88" w:lineRule="exact"/>
        <w:rPr>
          <w:sz w:val="20"/>
          <w:szCs w:val="20"/>
          <w:color w:val="auto"/>
        </w:rPr>
      </w:pPr>
    </w:p>
    <w:p>
      <w:pPr>
        <w:ind w:left="300"/>
        <w:spacing w:after="0"/>
        <w:tabs>
          <w:tab w:leader="none" w:pos="1300" w:val="left"/>
        </w:tabs>
        <w:rPr>
          <w:sz w:val="20"/>
          <w:szCs w:val="20"/>
          <w:color w:val="auto"/>
        </w:rPr>
      </w:pPr>
      <w:r>
        <w:rPr>
          <w:rFonts w:ascii="Arial" w:cs="Arial" w:eastAsia="Arial" w:hAnsi="Arial"/>
          <w:sz w:val="16"/>
          <w:szCs w:val="16"/>
          <w:b w:val="1"/>
          <w:bCs w:val="1"/>
          <w:color w:val="546483"/>
        </w:rPr>
        <w:t>Proposal 1.</w:t>
        <w:tab/>
        <w:t>Election of five directors</w:t>
      </w:r>
    </w:p>
    <w:p>
      <w:pPr>
        <w:spacing w:after="0" w:line="113" w:lineRule="exact"/>
        <w:rPr>
          <w:sz w:val="20"/>
          <w:szCs w:val="20"/>
          <w:color w:val="auto"/>
        </w:rPr>
      </w:pPr>
    </w:p>
    <w:p>
      <w:pPr>
        <w:ind w:left="300"/>
        <w:spacing w:after="0"/>
        <w:tabs>
          <w:tab w:leader="none" w:pos="1300" w:val="left"/>
          <w:tab w:leader="none" w:pos="2560" w:val="left"/>
          <w:tab w:leader="none" w:pos="3080" w:val="left"/>
          <w:tab w:leader="none" w:pos="4440" w:val="left"/>
        </w:tabs>
        <w:rPr>
          <w:sz w:val="20"/>
          <w:szCs w:val="20"/>
          <w:color w:val="auto"/>
        </w:rPr>
      </w:pPr>
      <w:r>
        <w:rPr>
          <w:rFonts w:ascii="Arial" w:cs="Arial" w:eastAsia="Arial" w:hAnsi="Arial"/>
          <w:sz w:val="16"/>
          <w:szCs w:val="16"/>
          <w:b w:val="1"/>
          <w:bCs w:val="1"/>
          <w:color w:val="546483"/>
        </w:rPr>
        <w:t>Proposal 2.</w:t>
        <w:tab/>
        <w:t>Ratification</w:t>
      </w:r>
      <w:r>
        <w:rPr>
          <w:sz w:val="20"/>
          <w:szCs w:val="20"/>
          <w:color w:val="auto"/>
        </w:rPr>
        <w:tab/>
      </w:r>
      <w:r>
        <w:rPr>
          <w:rFonts w:ascii="Arial" w:cs="Arial" w:eastAsia="Arial" w:hAnsi="Arial"/>
          <w:sz w:val="16"/>
          <w:szCs w:val="16"/>
          <w:b w:val="1"/>
          <w:bCs w:val="1"/>
          <w:color w:val="546483"/>
        </w:rPr>
        <w:t>of</w:t>
      </w:r>
      <w:r>
        <w:rPr>
          <w:sz w:val="20"/>
          <w:szCs w:val="20"/>
          <w:color w:val="auto"/>
        </w:rPr>
        <w:tab/>
      </w:r>
      <w:r>
        <w:rPr>
          <w:rFonts w:ascii="Arial" w:cs="Arial" w:eastAsia="Arial" w:hAnsi="Arial"/>
          <w:sz w:val="16"/>
          <w:szCs w:val="16"/>
          <w:b w:val="1"/>
          <w:bCs w:val="1"/>
          <w:color w:val="546483"/>
        </w:rPr>
        <w:t>appointment</w:t>
      </w:r>
      <w:r>
        <w:rPr>
          <w:sz w:val="20"/>
          <w:szCs w:val="20"/>
          <w:color w:val="auto"/>
        </w:rPr>
        <w:tab/>
      </w:r>
      <w:r>
        <w:rPr>
          <w:rFonts w:ascii="Arial" w:cs="Arial" w:eastAsia="Arial" w:hAnsi="Arial"/>
          <w:sz w:val="16"/>
          <w:szCs w:val="16"/>
          <w:b w:val="1"/>
          <w:bCs w:val="1"/>
          <w:color w:val="546483"/>
        </w:rPr>
        <w:t>of</w:t>
      </w:r>
    </w:p>
    <w:p>
      <w:pPr>
        <w:spacing w:after="0" w:line="21" w:lineRule="exact"/>
        <w:rPr>
          <w:sz w:val="20"/>
          <w:szCs w:val="20"/>
          <w:color w:val="auto"/>
        </w:rPr>
      </w:pPr>
    </w:p>
    <w:p>
      <w:pPr>
        <w:jc w:val="center"/>
        <w:ind w:left="240"/>
        <w:spacing w:after="0"/>
        <w:rPr>
          <w:sz w:val="20"/>
          <w:szCs w:val="20"/>
          <w:color w:val="auto"/>
        </w:rPr>
      </w:pPr>
      <w:r>
        <w:rPr>
          <w:rFonts w:ascii="Arial" w:cs="Arial" w:eastAsia="Arial" w:hAnsi="Arial"/>
          <w:sz w:val="16"/>
          <w:szCs w:val="16"/>
          <w:b w:val="1"/>
          <w:bCs w:val="1"/>
          <w:color w:val="546483"/>
        </w:rPr>
        <w:t>independent auditor for 2022</w:t>
      </w:r>
    </w:p>
    <w:p>
      <w:pPr>
        <w:spacing w:after="0" w:line="111" w:lineRule="exact"/>
        <w:rPr>
          <w:sz w:val="20"/>
          <w:szCs w:val="20"/>
          <w:color w:val="auto"/>
        </w:rPr>
      </w:pPr>
    </w:p>
    <w:p>
      <w:pPr>
        <w:jc w:val="both"/>
        <w:ind w:left="300"/>
        <w:spacing w:after="0" w:line="256" w:lineRule="auto"/>
        <w:rPr>
          <w:sz w:val="20"/>
          <w:szCs w:val="20"/>
          <w:color w:val="auto"/>
        </w:rPr>
      </w:pPr>
      <w:r>
        <w:rPr>
          <w:rFonts w:ascii="Arial" w:cs="Arial" w:eastAsia="Arial" w:hAnsi="Arial"/>
          <w:sz w:val="16"/>
          <w:szCs w:val="16"/>
          <w:color w:val="4C4C4C"/>
        </w:rPr>
        <w:t>In addition, any other business properly presented may be acted upon at the Annual Meeting. Each share of Class A common stock is entitled to one vote, and each share of Class B common stock is entitled to twenty votes for each proposal.</w:t>
      </w:r>
    </w:p>
    <w:p>
      <w:pPr>
        <w:spacing w:after="0" w:line="45" w:lineRule="exact"/>
        <w:rPr>
          <w:sz w:val="20"/>
          <w:szCs w:val="20"/>
          <w:color w:val="auto"/>
        </w:rPr>
      </w:pPr>
    </w:p>
    <w:p>
      <w:pPr>
        <w:jc w:val="both"/>
        <w:ind w:left="300"/>
        <w:spacing w:after="0" w:line="254" w:lineRule="auto"/>
        <w:rPr>
          <w:sz w:val="20"/>
          <w:szCs w:val="20"/>
          <w:color w:val="auto"/>
        </w:rPr>
      </w:pPr>
      <w:r>
        <w:rPr>
          <w:rFonts w:ascii="Arial" w:cs="Arial" w:eastAsia="Arial" w:hAnsi="Arial"/>
          <w:sz w:val="16"/>
          <w:szCs w:val="16"/>
          <w:color w:val="4C4C4C"/>
        </w:rPr>
        <w:t>In accordance with Securities and Exchange Commission rules, we are providing stockholders with access to proxy materials on the Internet, instead of mailing printed copies. We are mailing to stockholders, commencing on or about May 20, 2022, a Notice of Internet Availability of Proxy Materials to provide:</w:t>
      </w:r>
    </w:p>
    <w:p>
      <w:pPr>
        <w:spacing w:after="0" w:line="33" w:lineRule="exact"/>
        <w:rPr>
          <w:sz w:val="20"/>
          <w:szCs w:val="20"/>
          <w:color w:val="auto"/>
        </w:rPr>
      </w:pPr>
    </w:p>
    <w:p>
      <w:pPr>
        <w:jc w:val="both"/>
        <w:ind w:left="460" w:right="20" w:hanging="168"/>
        <w:spacing w:after="0" w:line="266" w:lineRule="auto"/>
        <w:tabs>
          <w:tab w:leader="none" w:pos="460" w:val="left"/>
        </w:tabs>
        <w:numPr>
          <w:ilvl w:val="0"/>
          <w:numId w:val="3"/>
        </w:numPr>
        <w:rPr>
          <w:rFonts w:ascii="Arial" w:cs="Arial" w:eastAsia="Arial" w:hAnsi="Arial"/>
          <w:sz w:val="16"/>
          <w:szCs w:val="16"/>
          <w:color w:val="4C4C4C"/>
        </w:rPr>
      </w:pPr>
      <w:r>
        <w:rPr>
          <w:rFonts w:ascii="Arial" w:cs="Arial" w:eastAsia="Arial" w:hAnsi="Arial"/>
          <w:sz w:val="16"/>
          <w:szCs w:val="16"/>
          <w:color w:val="4C4C4C"/>
        </w:rPr>
        <w:t>directions for accessing and reviewing the proxy materials on the Internet and submitting a proxy over the Internet or by telephone;</w:t>
      </w:r>
    </w:p>
    <w:p>
      <w:pPr>
        <w:spacing w:after="0" w:line="22" w:lineRule="exact"/>
        <w:rPr>
          <w:rFonts w:ascii="Arial" w:cs="Arial" w:eastAsia="Arial" w:hAnsi="Arial"/>
          <w:sz w:val="16"/>
          <w:szCs w:val="16"/>
          <w:color w:val="4C4C4C"/>
        </w:rPr>
      </w:pPr>
    </w:p>
    <w:p>
      <w:pPr>
        <w:ind w:left="460" w:right="20" w:hanging="168"/>
        <w:spacing w:after="0" w:line="286" w:lineRule="auto"/>
        <w:tabs>
          <w:tab w:leader="none" w:pos="460" w:val="left"/>
        </w:tabs>
        <w:numPr>
          <w:ilvl w:val="0"/>
          <w:numId w:val="3"/>
        </w:numPr>
        <w:rPr>
          <w:rFonts w:ascii="Arial" w:cs="Arial" w:eastAsia="Arial" w:hAnsi="Arial"/>
          <w:sz w:val="16"/>
          <w:szCs w:val="16"/>
          <w:color w:val="4C4C4C"/>
        </w:rPr>
      </w:pPr>
      <w:r>
        <w:rPr>
          <w:rFonts w:ascii="Arial" w:cs="Arial" w:eastAsia="Arial" w:hAnsi="Arial"/>
          <w:sz w:val="16"/>
          <w:szCs w:val="16"/>
          <w:color w:val="4C4C4C"/>
        </w:rPr>
        <w:t>instructions for requesting copies of proxy materials in printed form or by email at no charge; and</w:t>
      </w:r>
    </w:p>
    <w:p>
      <w:pPr>
        <w:spacing w:after="0" w:line="20" w:lineRule="exact"/>
        <w:rPr>
          <w:rFonts w:ascii="Arial" w:cs="Arial" w:eastAsia="Arial" w:hAnsi="Arial"/>
          <w:sz w:val="16"/>
          <w:szCs w:val="16"/>
          <w:color w:val="4C4C4C"/>
        </w:rPr>
      </w:pPr>
    </w:p>
    <w:p>
      <w:pPr>
        <w:ind w:left="460" w:right="20" w:hanging="168"/>
        <w:spacing w:after="0" w:line="286" w:lineRule="auto"/>
        <w:tabs>
          <w:tab w:leader="none" w:pos="460" w:val="left"/>
        </w:tabs>
        <w:numPr>
          <w:ilvl w:val="0"/>
          <w:numId w:val="3"/>
        </w:numPr>
        <w:rPr>
          <w:rFonts w:ascii="Arial" w:cs="Arial" w:eastAsia="Arial" w:hAnsi="Arial"/>
          <w:sz w:val="16"/>
          <w:szCs w:val="16"/>
          <w:color w:val="4C4C4C"/>
        </w:rPr>
      </w:pPr>
      <w:r>
        <w:rPr>
          <w:rFonts w:ascii="Arial" w:cs="Arial" w:eastAsia="Arial" w:hAnsi="Arial"/>
          <w:sz w:val="16"/>
          <w:szCs w:val="16"/>
          <w:color w:val="4C4C4C"/>
        </w:rPr>
        <w:t>a control number for use in submitting proxies and accessing the Annual Meeting webcast.</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By Order of the Board,</w:t>
      </w:r>
    </w:p>
    <w:p>
      <w:pPr>
        <w:spacing w:after="0" w:line="200" w:lineRule="exact"/>
        <w:rPr>
          <w:sz w:val="20"/>
          <w:szCs w:val="20"/>
          <w:color w:val="auto"/>
        </w:rPr>
      </w:pP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260" w:type="dxa"/>
            <w:vAlign w:val="bottom"/>
          </w:tcPr>
          <w:p>
            <w:pPr>
              <w:spacing w:after="0"/>
              <w:rPr>
                <w:sz w:val="20"/>
                <w:szCs w:val="20"/>
                <w:color w:val="auto"/>
              </w:rPr>
            </w:pPr>
            <w:r>
              <w:rPr>
                <w:rFonts w:ascii="Arial" w:cs="Arial" w:eastAsia="Arial" w:hAnsi="Arial"/>
                <w:sz w:val="18"/>
                <w:szCs w:val="18"/>
                <w:color w:val="4C4C4C"/>
              </w:rPr>
              <w:t>Mark McKechnie</w:t>
            </w:r>
          </w:p>
        </w:tc>
        <w:tc>
          <w:tcPr>
            <w:tcW w:w="2060" w:type="dxa"/>
            <w:vAlign w:val="bottom"/>
          </w:tcPr>
          <w:p>
            <w:pPr>
              <w:spacing w:after="0"/>
              <w:rPr>
                <w:sz w:val="18"/>
                <w:szCs w:val="18"/>
                <w:color w:val="auto"/>
              </w:rPr>
            </w:pPr>
          </w:p>
        </w:tc>
      </w:tr>
      <w:tr>
        <w:trPr>
          <w:trHeight w:val="239"/>
        </w:trPr>
        <w:tc>
          <w:tcPr>
            <w:tcW w:w="2260" w:type="dxa"/>
            <w:vAlign w:val="bottom"/>
          </w:tcPr>
          <w:p>
            <w:pPr>
              <w:spacing w:after="0"/>
              <w:rPr>
                <w:sz w:val="20"/>
                <w:szCs w:val="20"/>
                <w:color w:val="auto"/>
              </w:rPr>
            </w:pPr>
            <w:r>
              <w:rPr>
                <w:rFonts w:ascii="Arial" w:cs="Arial" w:eastAsia="Arial" w:hAnsi="Arial"/>
                <w:sz w:val="18"/>
                <w:szCs w:val="18"/>
                <w:color w:val="4C4C4C"/>
              </w:rPr>
              <w:t>Secretary</w:t>
            </w:r>
          </w:p>
        </w:tc>
        <w:tc>
          <w:tcPr>
            <w:tcW w:w="2060" w:type="dxa"/>
            <w:vAlign w:val="bottom"/>
          </w:tcPr>
          <w:p>
            <w:pPr>
              <w:ind w:left="960"/>
              <w:spacing w:after="0"/>
              <w:rPr>
                <w:sz w:val="20"/>
                <w:szCs w:val="20"/>
                <w:color w:val="auto"/>
              </w:rPr>
            </w:pPr>
            <w:r>
              <w:rPr>
                <w:rFonts w:ascii="Arial" w:cs="Arial" w:eastAsia="Arial" w:hAnsi="Arial"/>
                <w:sz w:val="18"/>
                <w:szCs w:val="18"/>
                <w:color w:val="4C4C4C"/>
                <w:w w:val="98"/>
              </w:rPr>
              <w:t>May 20, 2022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546483"/>
        </w:rPr>
        <w:t>When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546483"/>
        </w:rPr>
        <w:t>7 a.m., Pacific time, on June 30, 2022</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546483"/>
        </w:rPr>
        <w:t>Where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546483"/>
        </w:rPr>
        <w:t>Webcast only, access at:</w:t>
      </w:r>
    </w:p>
    <w:p>
      <w:pPr>
        <w:ind w:left="220" w:hanging="177"/>
        <w:spacing w:after="0"/>
        <w:tabs>
          <w:tab w:leader="none" w:pos="220" w:val="left"/>
        </w:tabs>
        <w:numPr>
          <w:ilvl w:val="0"/>
          <w:numId w:val="4"/>
        </w:numPr>
        <w:rPr>
          <w:rFonts w:ascii="Arial" w:cs="Arial" w:eastAsia="Arial" w:hAnsi="Arial"/>
          <w:sz w:val="17"/>
          <w:szCs w:val="17"/>
          <w:color w:val="546483"/>
        </w:rPr>
      </w:pPr>
      <w:r>
        <w:rPr>
          <w:rFonts w:ascii="Arial" w:cs="Arial" w:eastAsia="Arial" w:hAnsi="Arial"/>
          <w:sz w:val="17"/>
          <w:szCs w:val="17"/>
          <w:i w:val="1"/>
          <w:iCs w:val="1"/>
          <w:color w:val="546483"/>
        </w:rPr>
        <w:t>virtualshareholdermeeting.com/ACMR2022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56515</wp:posOffset>
            </wp:positionV>
            <wp:extent cx="2468880" cy="127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68880" cy="1276985"/>
                    </a:xfrm>
                    <a:prstGeom prst="rect">
                      <a:avLst/>
                    </a:prstGeom>
                    <a:noFill/>
                  </pic:spPr>
                </pic:pic>
              </a:graphicData>
            </a:graphic>
          </wp:anchor>
        </w:drawing>
      </w:r>
    </w:p>
    <w:p>
      <w:pPr>
        <w:spacing w:after="0" w:line="163" w:lineRule="exact"/>
        <w:rPr>
          <w:sz w:val="20"/>
          <w:szCs w:val="20"/>
          <w:color w:val="auto"/>
        </w:rPr>
      </w:pPr>
    </w:p>
    <w:p>
      <w:pPr>
        <w:jc w:val="both"/>
        <w:ind w:left="40" w:right="419"/>
        <w:spacing w:after="0" w:line="263" w:lineRule="auto"/>
        <w:rPr>
          <w:sz w:val="20"/>
          <w:szCs w:val="20"/>
          <w:color w:val="auto"/>
        </w:rPr>
      </w:pPr>
      <w:r>
        <w:rPr>
          <w:rFonts w:ascii="Arial" w:cs="Arial" w:eastAsia="Arial" w:hAnsi="Arial"/>
          <w:sz w:val="16"/>
          <w:szCs w:val="16"/>
          <w:b w:val="1"/>
          <w:bCs w:val="1"/>
          <w:color w:val="FFFFFF"/>
        </w:rPr>
        <w:t>IMPORTANT NOTICE REGARDING THE AVAILABILITY OF PROXY MATERIALS FOR THE ANNUAL MEETING OF STOCKHOLDERS TO BE HELD ON JUNE 30, 2022:</w:t>
      </w:r>
    </w:p>
    <w:p>
      <w:pPr>
        <w:spacing w:after="0" w:line="85" w:lineRule="exact"/>
        <w:rPr>
          <w:sz w:val="20"/>
          <w:szCs w:val="20"/>
          <w:color w:val="auto"/>
        </w:rPr>
      </w:pPr>
    </w:p>
    <w:p>
      <w:pPr>
        <w:jc w:val="both"/>
        <w:ind w:left="40" w:right="419"/>
        <w:spacing w:after="0" w:line="259" w:lineRule="auto"/>
        <w:rPr>
          <w:sz w:val="20"/>
          <w:szCs w:val="20"/>
          <w:color w:val="auto"/>
        </w:rPr>
      </w:pPr>
      <w:r>
        <w:rPr>
          <w:rFonts w:ascii="Arial" w:cs="Arial" w:eastAsia="Arial" w:hAnsi="Arial"/>
          <w:sz w:val="16"/>
          <w:szCs w:val="16"/>
          <w:b w:val="1"/>
          <w:bCs w:val="1"/>
          <w:color w:val="FFFFFF"/>
        </w:rPr>
        <w:t>The Notice of 2022 Annual Meeting of Stockholders, the Proxy Statement, the 2021 Annual Report to Stockholders and instructions for voting via the Internet can be accessed at 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21590</wp:posOffset>
            </wp:positionV>
            <wp:extent cx="2468880" cy="4808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68880" cy="48088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How to Vote in Advance</w:t>
      </w:r>
    </w:p>
    <w:p>
      <w:pPr>
        <w:spacing w:after="0" w:line="7" w:lineRule="exact"/>
        <w:rPr>
          <w:sz w:val="20"/>
          <w:szCs w:val="20"/>
          <w:color w:val="auto"/>
        </w:rPr>
      </w:pPr>
    </w:p>
    <w:p>
      <w:pPr>
        <w:ind w:right="399"/>
        <w:spacing w:after="0" w:line="220" w:lineRule="auto"/>
        <w:rPr>
          <w:sz w:val="20"/>
          <w:szCs w:val="20"/>
          <w:color w:val="auto"/>
        </w:rPr>
      </w:pPr>
      <w:r>
        <w:rPr>
          <w:rFonts w:ascii="Arial" w:cs="Arial" w:eastAsia="Arial" w:hAnsi="Arial"/>
          <w:sz w:val="16"/>
          <w:szCs w:val="16"/>
          <w:color w:val="FFFFFF"/>
        </w:rPr>
        <w:t>Your vote is important. Please vote as soon as possible by one of the methods shown below. Your</w:t>
      </w:r>
    </w:p>
    <w:p>
      <w:pPr>
        <w:jc w:val="center"/>
        <w:ind w:right="379"/>
        <w:spacing w:after="0" w:line="229" w:lineRule="auto"/>
        <w:rPr>
          <w:sz w:val="20"/>
          <w:szCs w:val="20"/>
          <w:color w:val="auto"/>
        </w:rPr>
      </w:pPr>
      <w:r>
        <w:rPr>
          <w:rFonts w:ascii="Arial" w:cs="Arial" w:eastAsia="Arial" w:hAnsi="Arial"/>
          <w:sz w:val="16"/>
          <w:szCs w:val="16"/>
          <w:color w:val="FFFFFF"/>
        </w:rPr>
        <w:t>Notice of Internet Availability of Proxy Materials,</w:t>
      </w:r>
    </w:p>
    <w:p>
      <w:pPr>
        <w:ind w:right="399"/>
        <w:spacing w:after="0" w:line="235" w:lineRule="auto"/>
        <w:rPr>
          <w:sz w:val="20"/>
          <w:szCs w:val="20"/>
          <w:color w:val="auto"/>
        </w:rPr>
      </w:pPr>
      <w:r>
        <w:rPr>
          <w:rFonts w:ascii="Arial" w:cs="Arial" w:eastAsia="Arial" w:hAnsi="Arial"/>
          <w:sz w:val="16"/>
          <w:szCs w:val="16"/>
          <w:color w:val="FFFFFF"/>
        </w:rPr>
        <w:t>proxy card or voting instruction form should be readily available.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FFFFFF"/>
        </w:rPr>
        <w:t>Via Internet (Any Web-Enabled Device)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FFFFFF"/>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FFFFFF"/>
        </w:rPr>
        <w:t>By Telephone (U.S. or Canada only)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FFFFFF"/>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FFFFFF"/>
        </w:rPr>
        <w:t>By Mail (Pursuant to Printed Materials)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FFFFFF"/>
        </w:rPr>
        <w:t> </w:t>
      </w:r>
    </w:p>
    <w:p>
      <w:pPr>
        <w:spacing w:after="0"/>
        <w:rPr>
          <w:sz w:val="20"/>
          <w:szCs w:val="20"/>
          <w:color w:val="auto"/>
        </w:rPr>
      </w:pPr>
      <w:r>
        <w:rPr>
          <w:rFonts w:ascii="Arial" w:cs="Arial" w:eastAsia="Arial" w:hAnsi="Arial"/>
          <w:sz w:val="16"/>
          <w:szCs w:val="16"/>
          <w:color w:val="FFFFFF"/>
        </w:rPr>
        <w:t>We will maintain a list of stockholders of record as</w:t>
      </w:r>
    </w:p>
    <w:p>
      <w:pPr>
        <w:jc w:val="both"/>
        <w:ind w:right="399"/>
        <w:spacing w:after="0" w:line="220" w:lineRule="auto"/>
        <w:rPr>
          <w:sz w:val="20"/>
          <w:szCs w:val="20"/>
          <w:color w:val="auto"/>
        </w:rPr>
      </w:pPr>
      <w:r>
        <w:rPr>
          <w:rFonts w:ascii="Arial" w:cs="Arial" w:eastAsia="Arial" w:hAnsi="Arial"/>
          <w:sz w:val="16"/>
          <w:szCs w:val="16"/>
          <w:color w:val="FFFFFF"/>
        </w:rPr>
        <w:t>of the record date at our corporate headquarters located at 42307 Osgood Road, Suite I, Fremont,</w:t>
      </w:r>
    </w:p>
    <w:p>
      <w:pPr>
        <w:spacing w:after="0" w:line="229" w:lineRule="auto"/>
        <w:rPr>
          <w:sz w:val="20"/>
          <w:szCs w:val="20"/>
          <w:color w:val="auto"/>
        </w:rPr>
      </w:pPr>
      <w:r>
        <w:rPr>
          <w:rFonts w:ascii="Arial" w:cs="Arial" w:eastAsia="Arial" w:hAnsi="Arial"/>
          <w:sz w:val="16"/>
          <w:szCs w:val="16"/>
          <w:color w:val="FFFFFF"/>
        </w:rPr>
        <w:t>California 94539 for a period of ten days prior to,</w:t>
      </w:r>
    </w:p>
    <w:p>
      <w:pPr>
        <w:ind w:right="399"/>
        <w:spacing w:after="0" w:line="220" w:lineRule="auto"/>
        <w:rPr>
          <w:sz w:val="20"/>
          <w:szCs w:val="20"/>
          <w:color w:val="auto"/>
        </w:rPr>
      </w:pPr>
      <w:r>
        <w:rPr>
          <w:rFonts w:ascii="Arial" w:cs="Arial" w:eastAsia="Arial" w:hAnsi="Arial"/>
          <w:sz w:val="16"/>
          <w:szCs w:val="16"/>
          <w:color w:val="FFFFFF"/>
        </w:rPr>
        <w:t>and ending at the close of, the Annual Meeting. In order for us to make the list available to you</w:t>
      </w:r>
    </w:p>
    <w:p>
      <w:pPr>
        <w:spacing w:after="0" w:line="229" w:lineRule="auto"/>
        <w:rPr>
          <w:sz w:val="20"/>
          <w:szCs w:val="20"/>
          <w:color w:val="auto"/>
        </w:rPr>
      </w:pPr>
      <w:r>
        <w:rPr>
          <w:rFonts w:ascii="Arial" w:cs="Arial" w:eastAsia="Arial" w:hAnsi="Arial"/>
          <w:sz w:val="16"/>
          <w:szCs w:val="16"/>
          <w:color w:val="FFFFFF"/>
        </w:rPr>
        <w:t>quickly and safety, we recommend that you notify</w:t>
      </w:r>
    </w:p>
    <w:p>
      <w:pPr>
        <w:ind w:right="379"/>
        <w:spacing w:after="0" w:line="220" w:lineRule="auto"/>
        <w:rPr>
          <w:sz w:val="20"/>
          <w:szCs w:val="20"/>
          <w:color w:val="auto"/>
        </w:rPr>
      </w:pPr>
      <w:r>
        <w:rPr>
          <w:rFonts w:ascii="Arial" w:cs="Arial" w:eastAsia="Arial" w:hAnsi="Arial"/>
          <w:sz w:val="16"/>
          <w:szCs w:val="16"/>
          <w:color w:val="FFFFFF"/>
        </w:rPr>
        <w:t xml:space="preserve">us by emailing </w:t>
      </w:r>
      <w:r>
        <w:rPr>
          <w:rFonts w:ascii="Arial" w:cs="Arial" w:eastAsia="Arial" w:hAnsi="Arial"/>
          <w:sz w:val="16"/>
          <w:szCs w:val="16"/>
          <w:i w:val="1"/>
          <w:iCs w:val="1"/>
          <w:color w:val="FFFFFF"/>
        </w:rPr>
        <w:t>investor.relations@acmrcsh.com</w:t>
      </w:r>
      <w:r>
        <w:rPr>
          <w:rFonts w:ascii="Arial" w:cs="Arial" w:eastAsia="Arial" w:hAnsi="Arial"/>
          <w:sz w:val="16"/>
          <w:szCs w:val="16"/>
          <w:color w:val="FFFFFF"/>
        </w:rPr>
        <w:t xml:space="preserve"> one business day in advance of the day on which</w:t>
      </w:r>
    </w:p>
    <w:p>
      <w:pPr>
        <w:ind w:right="379"/>
        <w:spacing w:after="0" w:line="220" w:lineRule="auto"/>
        <w:rPr>
          <w:sz w:val="20"/>
          <w:szCs w:val="20"/>
          <w:color w:val="auto"/>
        </w:rPr>
      </w:pPr>
      <w:r>
        <w:rPr>
          <w:rFonts w:ascii="Arial" w:cs="Arial" w:eastAsia="Arial" w:hAnsi="Arial"/>
          <w:sz w:val="16"/>
          <w:szCs w:val="16"/>
          <w:color w:val="FFFFFF"/>
        </w:rPr>
        <w:t>you intend to review the list. Beginning fifteen minutes prior to, and ending at the close of, the</w:t>
      </w:r>
    </w:p>
    <w:p>
      <w:pPr>
        <w:jc w:val="center"/>
        <w:ind w:right="379"/>
        <w:spacing w:after="0" w:line="229" w:lineRule="auto"/>
        <w:rPr>
          <w:sz w:val="20"/>
          <w:szCs w:val="20"/>
          <w:color w:val="auto"/>
        </w:rPr>
      </w:pPr>
      <w:r>
        <w:rPr>
          <w:rFonts w:ascii="Arial" w:cs="Arial" w:eastAsia="Arial" w:hAnsi="Arial"/>
          <w:sz w:val="16"/>
          <w:szCs w:val="16"/>
          <w:color w:val="FFFFFF"/>
        </w:rPr>
        <w:t>Annual Meeting, the list of our stockholders of</w:t>
      </w:r>
    </w:p>
    <w:p>
      <w:pPr>
        <w:ind w:right="379"/>
        <w:spacing w:after="0" w:line="220" w:lineRule="auto"/>
        <w:rPr>
          <w:sz w:val="20"/>
          <w:szCs w:val="20"/>
          <w:color w:val="auto"/>
        </w:rPr>
      </w:pPr>
      <w:r>
        <w:rPr>
          <w:rFonts w:ascii="Arial" w:cs="Arial" w:eastAsia="Arial" w:hAnsi="Arial"/>
          <w:sz w:val="16"/>
          <w:szCs w:val="16"/>
          <w:color w:val="FFFFFF"/>
        </w:rPr>
        <w:t>record will be available for viewing by stockholders for any purpose germane to the meeting at</w:t>
      </w:r>
    </w:p>
    <w:p>
      <w:pPr>
        <w:spacing w:after="0" w:line="1" w:lineRule="exact"/>
        <w:rPr>
          <w:sz w:val="20"/>
          <w:szCs w:val="20"/>
          <w:color w:val="auto"/>
        </w:rPr>
      </w:pPr>
    </w:p>
    <w:p>
      <w:pPr>
        <w:sectPr>
          <w:pgSz w:w="11900" w:h="16838" w:orient="portrait"/>
          <w:cols w:equalWidth="0" w:num="2">
            <w:col w:w="4620" w:space="340"/>
            <w:col w:w="4059"/>
          </w:cols>
          <w:pgMar w:left="1440" w:top="263" w:right="1440" w:bottom="1440" w:gutter="0" w:footer="0" w:header="0"/>
          <w:type w:val="continuous"/>
        </w:sectPr>
      </w:pPr>
    </w:p>
    <w:p>
      <w:pPr>
        <w:ind w:left="4960"/>
        <w:spacing w:after="0"/>
        <w:rPr>
          <w:sz w:val="20"/>
          <w:szCs w:val="20"/>
          <w:color w:val="auto"/>
        </w:rPr>
      </w:pPr>
      <w:r>
        <w:rPr>
          <w:rFonts w:ascii="Arial" w:cs="Arial" w:eastAsia="Arial" w:hAnsi="Arial"/>
          <w:sz w:val="16"/>
          <w:szCs w:val="16"/>
          <w:i w:val="1"/>
          <w:iCs w:val="1"/>
          <w:color w:val="FFFFFF"/>
        </w:rPr>
        <w:t>virtualshareholdermeeting.com/ACMR2022.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161925</wp:posOffset>
            </wp:positionV>
            <wp:extent cx="1268730" cy="788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68730" cy="78867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4C4C4C"/>
        </w:rPr>
        <w:t>42307 Osgood Rd, Suite I</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b w:val="1"/>
          <w:bCs w:val="1"/>
          <w:color w:val="4C4C4C"/>
        </w:rPr>
        <w:t>Fremont, California 94539</w:t>
      </w:r>
    </w:p>
    <w:p>
      <w:pPr>
        <w:spacing w:after="0" w:line="200" w:lineRule="exact"/>
        <w:rPr>
          <w:sz w:val="20"/>
          <w:szCs w:val="20"/>
          <w:color w:val="auto"/>
        </w:rPr>
      </w:pPr>
    </w:p>
    <w:p>
      <w:pPr>
        <w:sectPr>
          <w:pgSz w:w="11900" w:h="16838" w:orient="portrait"/>
          <w:cols w:equalWidth="0" w:num="2">
            <w:col w:w="5360" w:space="720"/>
            <w:col w:w="2939"/>
          </w:cols>
          <w:pgMar w:left="14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Proxy Statement dated May 20, 2022</w:t>
      </w:r>
    </w:p>
    <w:p>
      <w:pPr>
        <w:spacing w:after="0" w:line="36"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D3F64"/>
        </w:rPr>
        <w:t> </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2022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22"/>
          <w:szCs w:val="22"/>
          <w:color w:val="4C4C4C"/>
        </w:rPr>
        <w:t>ACM Research, Inc., a Delaware corporation, is furnishing this Proxy Statement and related proxy materials in connection with the solicitation by its board of directors of proxies to be voted at its 2022 Annual Meeting of Stockholders and any adjournments. ACM Research, Inc. is providing these materials to the holders of record of its Class A common stock, $0.0001 par value per share, and Class B common stock, $0.0001 par value per share, as of 5 p.m., Eastern time, on the record date of May 3, 2022 and is first mailing the materials on or about May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80" w:right="1099"/>
        <w:spacing w:after="0" w:line="272" w:lineRule="auto"/>
        <w:rPr>
          <w:sz w:val="20"/>
          <w:szCs w:val="20"/>
          <w:color w:val="auto"/>
        </w:rPr>
      </w:pPr>
      <w:r>
        <w:rPr>
          <w:rFonts w:ascii="Arial" w:cs="Arial" w:eastAsia="Arial" w:hAnsi="Arial"/>
          <w:sz w:val="22"/>
          <w:szCs w:val="22"/>
          <w:b w:val="1"/>
          <w:bCs w:val="1"/>
          <w:color w:val="546483"/>
        </w:rPr>
        <w:t>The Annual Meeting is scheduled to be held exclusively by webcast as follows:</w:t>
      </w:r>
    </w:p>
    <w:p>
      <w:pPr>
        <w:sectPr>
          <w:pgSz w:w="11900" w:h="16838" w:orient="portrait"/>
          <w:cols w:equalWidth="0" w:num="1">
            <w:col w:w="9019"/>
          </w:cols>
          <w:pgMar w:left="1440" w:top="263" w:right="1440" w:bottom="1440" w:gutter="0" w:footer="0" w:header="0"/>
          <w:type w:val="continuous"/>
        </w:sectPr>
      </w:pPr>
    </w:p>
    <w:p>
      <w:pPr>
        <w:spacing w:after="0" w:line="183"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546483"/>
        </w:rPr>
        <w:t>Date</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546483"/>
        </w:rPr>
        <w:t>Time</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546483"/>
        </w:rPr>
        <w:t>Meeting Webcast Address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4694D0"/>
        </w:rPr>
        <w:t>Thursday, June 30, 2022</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4694D0"/>
        </w:rPr>
        <w:t>7 a.m., Pacific time</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4694D0"/>
        </w:rPr>
        <w:t>virtualshareholdermeeting.com/ACMR2022</w:t>
      </w:r>
    </w:p>
    <w:p>
      <w:pPr>
        <w:spacing w:after="0" w:line="200" w:lineRule="exact"/>
        <w:rPr>
          <w:sz w:val="20"/>
          <w:szCs w:val="20"/>
          <w:color w:val="auto"/>
        </w:rPr>
      </w:pPr>
    </w:p>
    <w:p>
      <w:pPr>
        <w:sectPr>
          <w:pgSz w:w="11900" w:h="16838" w:orient="portrait"/>
          <w:cols w:equalWidth="0" w:num="2">
            <w:col w:w="3360" w:space="560"/>
            <w:col w:w="5099"/>
          </w:cols>
          <w:pgMar w:left="14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C4C4C"/>
        </w:rPr>
        <w:t>Your vote is important.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color w:val="4C4C4C"/>
        </w:rPr>
        <w:t>Please see the detailed information that follows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 w:name="page6"/>
    <w:bookmarkEnd w:id="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0D3F64"/>
        </w:rPr>
        <w:t>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60" w:type="dxa"/>
            <w:vAlign w:val="bottom"/>
            <w:gridSpan w:val="7"/>
          </w:tcPr>
          <w:p>
            <w:pPr>
              <w:jc w:val="center"/>
              <w:ind w:right="1300"/>
              <w:spacing w:after="0"/>
              <w:rPr>
                <w:sz w:val="20"/>
                <w:szCs w:val="20"/>
                <w:color w:val="auto"/>
              </w:rPr>
            </w:pPr>
            <w:r>
              <w:rPr>
                <w:rFonts w:ascii="Arial" w:cs="Arial" w:eastAsia="Arial" w:hAnsi="Arial"/>
                <w:sz w:val="14"/>
                <w:szCs w:val="14"/>
                <w:b w:val="1"/>
                <w:bCs w:val="1"/>
                <w:color w:val="4C4C4C"/>
              </w:rPr>
              <w:t>Page</w:t>
            </w:r>
          </w:p>
        </w:tc>
      </w:tr>
      <w:tr>
        <w:trPr>
          <w:trHeight w:val="43"/>
        </w:trPr>
        <w:tc>
          <w:tcPr>
            <w:tcW w:w="1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37"/>
        </w:trPr>
        <w:tc>
          <w:tcPr>
            <w:tcW w:w="1300" w:type="dxa"/>
            <w:vAlign w:val="bottom"/>
          </w:tcPr>
          <w:p>
            <w:pPr>
              <w:spacing w:after="0"/>
              <w:rPr>
                <w:sz w:val="20"/>
                <w:szCs w:val="20"/>
                <w:color w:val="auto"/>
              </w:rPr>
            </w:pPr>
          </w:p>
        </w:tc>
        <w:tc>
          <w:tcPr>
            <w:tcW w:w="1660" w:type="dxa"/>
            <w:vAlign w:val="bottom"/>
            <w:gridSpan w:val="6"/>
          </w:tcPr>
          <w:p>
            <w:pPr>
              <w:spacing w:after="0"/>
              <w:rPr>
                <w:sz w:val="20"/>
                <w:szCs w:val="20"/>
                <w:color w:val="auto"/>
              </w:rPr>
            </w:pPr>
            <w:r>
              <w:rPr>
                <w:rFonts w:ascii="Arial" w:cs="Arial" w:eastAsia="Arial" w:hAnsi="Arial"/>
                <w:sz w:val="18"/>
                <w:szCs w:val="18"/>
                <w:color w:val="0000EE"/>
                <w:w w:val="94"/>
              </w:rPr>
              <w:t>2022 Proxy Summary</w:t>
            </w:r>
          </w:p>
        </w:tc>
        <w:tc>
          <w:tcPr>
            <w:tcW w:w="6400" w:type="dxa"/>
            <w:vAlign w:val="bottom"/>
            <w:gridSpan w:val="29"/>
          </w:tcPr>
          <w:p>
            <w:pPr>
              <w:spacing w:after="0"/>
              <w:rPr>
                <w:sz w:val="20"/>
                <w:szCs w:val="20"/>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color w:val="0000EE"/>
              </w:rPr>
              <w:t>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8060" w:type="dxa"/>
            <w:vAlign w:val="bottom"/>
            <w:gridSpan w:val="35"/>
          </w:tcPr>
          <w:p>
            <w:pPr>
              <w:spacing w:after="0"/>
              <w:rPr>
                <w:sz w:val="20"/>
                <w:szCs w:val="20"/>
                <w:color w:val="auto"/>
              </w:rPr>
            </w:pPr>
            <w:r>
              <w:rPr>
                <w:rFonts w:ascii="Arial" w:cs="Arial" w:eastAsia="Arial" w:hAnsi="Arial"/>
                <w:sz w:val="18"/>
                <w:szCs w:val="18"/>
                <w:color w:val="0000EE"/>
              </w:rPr>
              <w:t>Questions and Answers About the Annual Meeting</w:t>
            </w:r>
          </w:p>
        </w:tc>
        <w:tc>
          <w:tcPr>
            <w:tcW w:w="260" w:type="dxa"/>
            <w:vAlign w:val="bottom"/>
            <w:gridSpan w:val="4"/>
          </w:tcPr>
          <w:p>
            <w:pPr>
              <w:jc w:val="right"/>
              <w:spacing w:after="0"/>
              <w:rPr>
                <w:sz w:val="20"/>
                <w:szCs w:val="20"/>
                <w:color w:val="auto"/>
              </w:rPr>
            </w:pPr>
            <w:r>
              <w:rPr>
                <w:rFonts w:ascii="Arial" w:cs="Arial" w:eastAsia="Arial" w:hAnsi="Arial"/>
                <w:sz w:val="18"/>
                <w:szCs w:val="18"/>
                <w:color w:val="0000EE"/>
              </w:rPr>
              <w:t>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3820" w:type="dxa"/>
            <w:vAlign w:val="bottom"/>
            <w:gridSpan w:val="24"/>
          </w:tcPr>
          <w:p>
            <w:pPr>
              <w:spacing w:after="0"/>
              <w:rPr>
                <w:sz w:val="20"/>
                <w:szCs w:val="20"/>
                <w:color w:val="auto"/>
              </w:rPr>
            </w:pPr>
            <w:r>
              <w:rPr>
                <w:rFonts w:ascii="Arial" w:cs="Arial" w:eastAsia="Arial" w:hAnsi="Arial"/>
                <w:sz w:val="18"/>
                <w:szCs w:val="18"/>
                <w:color w:val="0000EE"/>
              </w:rPr>
              <w:t>Vote Required for Election or Approval</w:t>
            </w:r>
          </w:p>
        </w:tc>
        <w:tc>
          <w:tcPr>
            <w:tcW w:w="4240" w:type="dxa"/>
            <w:vAlign w:val="bottom"/>
            <w:gridSpan w:val="11"/>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10</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1740" w:type="dxa"/>
            <w:vAlign w:val="bottom"/>
            <w:gridSpan w:val="8"/>
          </w:tcPr>
          <w:p>
            <w:pPr>
              <w:spacing w:after="0"/>
              <w:rPr>
                <w:sz w:val="20"/>
                <w:szCs w:val="20"/>
                <w:color w:val="auto"/>
              </w:rPr>
            </w:pPr>
            <w:r>
              <w:rPr>
                <w:rFonts w:ascii="Arial" w:cs="Arial" w:eastAsia="Arial" w:hAnsi="Arial"/>
                <w:sz w:val="18"/>
                <w:szCs w:val="18"/>
                <w:color w:val="0000EE"/>
                <w:w w:val="92"/>
              </w:rPr>
              <w:t>Corporate Governance</w:t>
            </w:r>
          </w:p>
        </w:tc>
        <w:tc>
          <w:tcPr>
            <w:tcW w:w="1160" w:type="dxa"/>
            <w:vAlign w:val="bottom"/>
            <w:gridSpan w:val="9"/>
          </w:tcPr>
          <w:p>
            <w:pPr>
              <w:spacing w:after="0"/>
              <w:rPr>
                <w:sz w:val="24"/>
                <w:szCs w:val="24"/>
                <w:color w:val="auto"/>
              </w:rPr>
            </w:pPr>
          </w:p>
        </w:tc>
        <w:tc>
          <w:tcPr>
            <w:tcW w:w="5160" w:type="dxa"/>
            <w:vAlign w:val="bottom"/>
            <w:gridSpan w:val="18"/>
          </w:tcPr>
          <w:p>
            <w:pPr>
              <w:spacing w:after="0"/>
              <w:rPr>
                <w:sz w:val="24"/>
                <w:szCs w:val="24"/>
                <w:color w:val="auto"/>
              </w:rPr>
            </w:pPr>
          </w:p>
        </w:tc>
        <w:tc>
          <w:tcPr>
            <w:tcW w:w="260" w:type="dxa"/>
            <w:vAlign w:val="bottom"/>
            <w:gridSpan w:val="4"/>
          </w:tcPr>
          <w:p>
            <w:pPr>
              <w:jc w:val="center"/>
              <w:spacing w:after="0"/>
              <w:rPr>
                <w:sz w:val="20"/>
                <w:szCs w:val="20"/>
                <w:color w:val="auto"/>
              </w:rPr>
            </w:pPr>
            <w:r>
              <w:rPr>
                <w:rFonts w:ascii="Arial" w:cs="Arial" w:eastAsia="Arial" w:hAnsi="Arial"/>
                <w:sz w:val="18"/>
                <w:szCs w:val="18"/>
                <w:color w:val="0000EE"/>
                <w:w w:val="89"/>
              </w:rPr>
              <w:t>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00" w:type="dxa"/>
            <w:vAlign w:val="bottom"/>
            <w:gridSpan w:val="34"/>
          </w:tcPr>
          <w:p>
            <w:pPr>
              <w:spacing w:after="0"/>
              <w:rPr>
                <w:sz w:val="20"/>
                <w:szCs w:val="20"/>
                <w:color w:val="auto"/>
              </w:rPr>
            </w:pPr>
            <w:r>
              <w:rPr>
                <w:rFonts w:ascii="Arial" w:cs="Arial" w:eastAsia="Arial" w:hAnsi="Arial"/>
                <w:sz w:val="18"/>
                <w:szCs w:val="18"/>
                <w:color w:val="0000EE"/>
              </w:rPr>
              <w:t>Board of Directors Overview</w:t>
            </w:r>
          </w:p>
        </w:tc>
        <w:tc>
          <w:tcPr>
            <w:tcW w:w="260" w:type="dxa"/>
            <w:vAlign w:val="bottom"/>
            <w:gridSpan w:val="4"/>
          </w:tcPr>
          <w:p>
            <w:pPr>
              <w:jc w:val="center"/>
              <w:spacing w:after="0"/>
              <w:rPr>
                <w:sz w:val="20"/>
                <w:szCs w:val="20"/>
                <w:color w:val="auto"/>
              </w:rPr>
            </w:pPr>
            <w:r>
              <w:rPr>
                <w:rFonts w:ascii="Arial" w:cs="Arial" w:eastAsia="Arial" w:hAnsi="Arial"/>
                <w:sz w:val="18"/>
                <w:szCs w:val="18"/>
                <w:color w:val="0000EE"/>
                <w:w w:val="89"/>
              </w:rPr>
              <w:t>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gridSpan w:val="13"/>
          </w:tcPr>
          <w:p>
            <w:pPr>
              <w:spacing w:after="0"/>
              <w:rPr>
                <w:sz w:val="20"/>
                <w:szCs w:val="20"/>
                <w:color w:val="auto"/>
              </w:rPr>
            </w:pPr>
            <w:r>
              <w:rPr>
                <w:rFonts w:ascii="Arial" w:cs="Arial" w:eastAsia="Arial" w:hAnsi="Arial"/>
                <w:sz w:val="18"/>
                <w:szCs w:val="18"/>
                <w:color w:val="0000EE"/>
              </w:rPr>
              <w:t>Independence of Directors</w:t>
            </w:r>
          </w:p>
        </w:tc>
        <w:tc>
          <w:tcPr>
            <w:tcW w:w="5460" w:type="dxa"/>
            <w:vAlign w:val="bottom"/>
            <w:gridSpan w:val="21"/>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12</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00" w:type="dxa"/>
            <w:vAlign w:val="bottom"/>
            <w:gridSpan w:val="34"/>
          </w:tcPr>
          <w:p>
            <w:pPr>
              <w:spacing w:after="0"/>
              <w:rPr>
                <w:sz w:val="20"/>
                <w:szCs w:val="20"/>
                <w:color w:val="auto"/>
              </w:rPr>
            </w:pPr>
            <w:r>
              <w:rPr>
                <w:rFonts w:ascii="Arial" w:cs="Arial" w:eastAsia="Arial" w:hAnsi="Arial"/>
                <w:sz w:val="18"/>
                <w:szCs w:val="18"/>
                <w:color w:val="0000EE"/>
              </w:rPr>
              <w:t>Code of Business Conduct</w:t>
            </w: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13</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00" w:type="dxa"/>
            <w:vAlign w:val="bottom"/>
            <w:gridSpan w:val="34"/>
          </w:tcPr>
          <w:p>
            <w:pPr>
              <w:spacing w:after="0"/>
              <w:rPr>
                <w:sz w:val="20"/>
                <w:szCs w:val="20"/>
                <w:color w:val="auto"/>
              </w:rPr>
            </w:pPr>
            <w:r>
              <w:rPr>
                <w:rFonts w:ascii="Arial" w:cs="Arial" w:eastAsia="Arial" w:hAnsi="Arial"/>
                <w:sz w:val="18"/>
                <w:szCs w:val="18"/>
                <w:color w:val="0000EE"/>
              </w:rPr>
              <w:t>Employee, Officer and Director Hedging</w:t>
            </w: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13</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10"/>
          </w:tcPr>
          <w:p>
            <w:pPr>
              <w:spacing w:after="0"/>
              <w:rPr>
                <w:sz w:val="20"/>
                <w:szCs w:val="20"/>
                <w:color w:val="auto"/>
              </w:rPr>
            </w:pPr>
            <w:r>
              <w:rPr>
                <w:rFonts w:ascii="Arial" w:cs="Arial" w:eastAsia="Arial" w:hAnsi="Arial"/>
                <w:sz w:val="18"/>
                <w:szCs w:val="18"/>
                <w:color w:val="0000EE"/>
                <w:w w:val="98"/>
              </w:rPr>
              <w:t>Board Oversight of Risk</w:t>
            </w:r>
          </w:p>
        </w:tc>
        <w:tc>
          <w:tcPr>
            <w:tcW w:w="1260" w:type="dxa"/>
            <w:vAlign w:val="bottom"/>
            <w:gridSpan w:val="10"/>
          </w:tcPr>
          <w:p>
            <w:pPr>
              <w:spacing w:after="0"/>
              <w:rPr>
                <w:sz w:val="24"/>
                <w:szCs w:val="24"/>
                <w:color w:val="auto"/>
              </w:rPr>
            </w:pPr>
          </w:p>
        </w:tc>
        <w:tc>
          <w:tcPr>
            <w:tcW w:w="4540" w:type="dxa"/>
            <w:vAlign w:val="bottom"/>
            <w:gridSpan w:val="14"/>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13</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12"/>
          </w:tcPr>
          <w:p>
            <w:pPr>
              <w:spacing w:after="0"/>
              <w:rPr>
                <w:sz w:val="20"/>
                <w:szCs w:val="20"/>
                <w:color w:val="auto"/>
              </w:rPr>
            </w:pPr>
            <w:r>
              <w:rPr>
                <w:rFonts w:ascii="Arial" w:cs="Arial" w:eastAsia="Arial" w:hAnsi="Arial"/>
                <w:sz w:val="18"/>
                <w:szCs w:val="18"/>
                <w:color w:val="0000EE"/>
                <w:w w:val="96"/>
              </w:rPr>
              <w:t>Board Leadership Structure</w:t>
            </w:r>
          </w:p>
        </w:tc>
        <w:tc>
          <w:tcPr>
            <w:tcW w:w="5540" w:type="dxa"/>
            <w:vAlign w:val="bottom"/>
            <w:gridSpan w:val="22"/>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14</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12"/>
          </w:tcPr>
          <w:p>
            <w:pPr>
              <w:spacing w:after="0"/>
              <w:rPr>
                <w:sz w:val="20"/>
                <w:szCs w:val="20"/>
                <w:color w:val="auto"/>
              </w:rPr>
            </w:pPr>
            <w:r>
              <w:rPr>
                <w:rFonts w:ascii="Arial" w:cs="Arial" w:eastAsia="Arial" w:hAnsi="Arial"/>
                <w:sz w:val="18"/>
                <w:szCs w:val="18"/>
                <w:color w:val="0000EE"/>
              </w:rPr>
              <w:t>Audit Committee</w:t>
            </w:r>
          </w:p>
        </w:tc>
        <w:tc>
          <w:tcPr>
            <w:tcW w:w="5540" w:type="dxa"/>
            <w:vAlign w:val="bottom"/>
            <w:gridSpan w:val="22"/>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14</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00" w:type="dxa"/>
            <w:vAlign w:val="bottom"/>
            <w:gridSpan w:val="34"/>
          </w:tcPr>
          <w:p>
            <w:pPr>
              <w:spacing w:after="0"/>
              <w:rPr>
                <w:sz w:val="20"/>
                <w:szCs w:val="20"/>
                <w:color w:val="auto"/>
              </w:rPr>
            </w:pPr>
            <w:r>
              <w:rPr>
                <w:rFonts w:ascii="Arial" w:cs="Arial" w:eastAsia="Arial" w:hAnsi="Arial"/>
                <w:sz w:val="18"/>
                <w:szCs w:val="18"/>
                <w:color w:val="0000EE"/>
              </w:rPr>
              <w:t>Nominating and Governance Committee</w:t>
            </w: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15</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11"/>
          </w:tcPr>
          <w:p>
            <w:pPr>
              <w:spacing w:after="0"/>
              <w:rPr>
                <w:sz w:val="20"/>
                <w:szCs w:val="20"/>
                <w:color w:val="auto"/>
              </w:rPr>
            </w:pPr>
            <w:r>
              <w:rPr>
                <w:rFonts w:ascii="Arial" w:cs="Arial" w:eastAsia="Arial" w:hAnsi="Arial"/>
                <w:sz w:val="18"/>
                <w:szCs w:val="18"/>
                <w:color w:val="0000EE"/>
                <w:w w:val="97"/>
              </w:rPr>
              <w:t>Compensation Committee</w:t>
            </w:r>
          </w:p>
        </w:tc>
        <w:tc>
          <w:tcPr>
            <w:tcW w:w="1140" w:type="dxa"/>
            <w:vAlign w:val="bottom"/>
            <w:gridSpan w:val="10"/>
          </w:tcPr>
          <w:p>
            <w:pPr>
              <w:spacing w:after="0"/>
              <w:rPr>
                <w:sz w:val="24"/>
                <w:szCs w:val="24"/>
                <w:color w:val="auto"/>
              </w:rPr>
            </w:pPr>
          </w:p>
        </w:tc>
        <w:tc>
          <w:tcPr>
            <w:tcW w:w="4500" w:type="dxa"/>
            <w:vAlign w:val="bottom"/>
            <w:gridSpan w:val="13"/>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16</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80" w:type="dxa"/>
            <w:vAlign w:val="bottom"/>
            <w:gridSpan w:val="31"/>
          </w:tcPr>
          <w:p>
            <w:pPr>
              <w:spacing w:after="0"/>
              <w:rPr>
                <w:sz w:val="20"/>
                <w:szCs w:val="20"/>
                <w:color w:val="auto"/>
              </w:rPr>
            </w:pPr>
            <w:r>
              <w:rPr>
                <w:rFonts w:ascii="Arial" w:cs="Arial" w:eastAsia="Arial" w:hAnsi="Arial"/>
                <w:sz w:val="18"/>
                <w:szCs w:val="18"/>
                <w:color w:val="0000EE"/>
                <w:w w:val="99"/>
              </w:rPr>
              <w:t>Compensation Committee Interlocks and Insider Participation</w:t>
            </w:r>
          </w:p>
        </w:tc>
        <w:tc>
          <w:tcPr>
            <w:tcW w:w="2820" w:type="dxa"/>
            <w:vAlign w:val="bottom"/>
            <w:gridSpan w:val="3"/>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16</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4220" w:type="dxa"/>
            <w:vAlign w:val="bottom"/>
            <w:gridSpan w:val="26"/>
          </w:tcPr>
          <w:p>
            <w:pPr>
              <w:spacing w:after="0"/>
              <w:rPr>
                <w:sz w:val="20"/>
                <w:szCs w:val="20"/>
                <w:color w:val="auto"/>
              </w:rPr>
            </w:pPr>
            <w:r>
              <w:rPr>
                <w:rFonts w:ascii="Arial" w:cs="Arial" w:eastAsia="Arial" w:hAnsi="Arial"/>
                <w:sz w:val="18"/>
                <w:szCs w:val="18"/>
                <w:color w:val="0000EE"/>
                <w:w w:val="94"/>
              </w:rPr>
              <w:t>Certain Relationships and Related-Person Transactions</w:t>
            </w:r>
          </w:p>
        </w:tc>
        <w:tc>
          <w:tcPr>
            <w:tcW w:w="3840" w:type="dxa"/>
            <w:vAlign w:val="bottom"/>
            <w:gridSpan w:val="9"/>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17</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4220" w:type="dxa"/>
            <w:vAlign w:val="bottom"/>
            <w:gridSpan w:val="26"/>
          </w:tcPr>
          <w:p>
            <w:pPr>
              <w:spacing w:after="0"/>
              <w:rPr>
                <w:sz w:val="20"/>
                <w:szCs w:val="20"/>
                <w:color w:val="auto"/>
              </w:rPr>
            </w:pPr>
            <w:r>
              <w:rPr>
                <w:rFonts w:ascii="Arial" w:cs="Arial" w:eastAsia="Arial" w:hAnsi="Arial"/>
                <w:sz w:val="18"/>
                <w:szCs w:val="18"/>
                <w:color w:val="0000EE"/>
              </w:rPr>
              <w:t>Director Compensation</w:t>
            </w:r>
          </w:p>
        </w:tc>
        <w:tc>
          <w:tcPr>
            <w:tcW w:w="3840" w:type="dxa"/>
            <w:vAlign w:val="bottom"/>
            <w:gridSpan w:val="9"/>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19</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8060" w:type="dxa"/>
            <w:vAlign w:val="bottom"/>
            <w:gridSpan w:val="35"/>
          </w:tcPr>
          <w:p>
            <w:pPr>
              <w:spacing w:after="0"/>
              <w:rPr>
                <w:sz w:val="20"/>
                <w:szCs w:val="20"/>
                <w:color w:val="auto"/>
              </w:rPr>
            </w:pPr>
            <w:r>
              <w:rPr>
                <w:rFonts w:ascii="Arial" w:cs="Arial" w:eastAsia="Arial" w:hAnsi="Arial"/>
                <w:sz w:val="18"/>
                <w:szCs w:val="18"/>
                <w:color w:val="0000EE"/>
              </w:rPr>
              <w:t>Proposal 1. Election of Directors</w:t>
            </w: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21</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9"/>
          </w:tcPr>
          <w:p>
            <w:pPr>
              <w:spacing w:after="0"/>
              <w:rPr>
                <w:sz w:val="20"/>
                <w:szCs w:val="20"/>
                <w:color w:val="auto"/>
              </w:rPr>
            </w:pPr>
            <w:r>
              <w:rPr>
                <w:rFonts w:ascii="Arial" w:cs="Arial" w:eastAsia="Arial" w:hAnsi="Arial"/>
                <w:sz w:val="18"/>
                <w:szCs w:val="18"/>
                <w:color w:val="0000EE"/>
                <w:w w:val="98"/>
              </w:rPr>
              <w:t>Director Qualifications</w:t>
            </w:r>
          </w:p>
        </w:tc>
        <w:tc>
          <w:tcPr>
            <w:tcW w:w="300" w:type="dxa"/>
            <w:vAlign w:val="bottom"/>
            <w:gridSpan w:val="2"/>
          </w:tcPr>
          <w:p>
            <w:pPr>
              <w:spacing w:after="0"/>
              <w:rPr>
                <w:sz w:val="24"/>
                <w:szCs w:val="24"/>
                <w:color w:val="auto"/>
              </w:rPr>
            </w:pPr>
          </w:p>
        </w:tc>
        <w:tc>
          <w:tcPr>
            <w:tcW w:w="5640" w:type="dxa"/>
            <w:vAlign w:val="bottom"/>
            <w:gridSpan w:val="23"/>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21</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00" w:type="dxa"/>
            <w:vAlign w:val="bottom"/>
            <w:gridSpan w:val="34"/>
          </w:tcPr>
          <w:p>
            <w:pPr>
              <w:spacing w:after="0"/>
              <w:rPr>
                <w:sz w:val="20"/>
                <w:szCs w:val="20"/>
                <w:color w:val="auto"/>
              </w:rPr>
            </w:pPr>
            <w:r>
              <w:rPr>
                <w:rFonts w:ascii="Arial" w:cs="Arial" w:eastAsia="Arial" w:hAnsi="Arial"/>
                <w:sz w:val="18"/>
                <w:szCs w:val="18"/>
                <w:color w:val="0000EE"/>
              </w:rPr>
              <w:t>Identifying and Evaluating Nominees for Directors</w:t>
            </w: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21</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00" w:type="dxa"/>
            <w:vAlign w:val="bottom"/>
            <w:gridSpan w:val="34"/>
          </w:tcPr>
          <w:p>
            <w:pPr>
              <w:spacing w:after="0"/>
              <w:rPr>
                <w:sz w:val="20"/>
                <w:szCs w:val="20"/>
                <w:color w:val="auto"/>
              </w:rPr>
            </w:pPr>
            <w:r>
              <w:rPr>
                <w:rFonts w:ascii="Arial" w:cs="Arial" w:eastAsia="Arial" w:hAnsi="Arial"/>
                <w:sz w:val="18"/>
                <w:szCs w:val="18"/>
                <w:color w:val="0000EE"/>
              </w:rPr>
              <w:t>Information Concerning Nominees for Election as Directors</w:t>
            </w: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22</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8060" w:type="dxa"/>
            <w:vAlign w:val="bottom"/>
            <w:gridSpan w:val="35"/>
          </w:tcPr>
          <w:p>
            <w:pPr>
              <w:spacing w:after="0"/>
              <w:rPr>
                <w:sz w:val="20"/>
                <w:szCs w:val="20"/>
                <w:color w:val="auto"/>
              </w:rPr>
            </w:pPr>
            <w:r>
              <w:rPr>
                <w:rFonts w:ascii="Arial" w:cs="Arial" w:eastAsia="Arial" w:hAnsi="Arial"/>
                <w:sz w:val="18"/>
                <w:szCs w:val="18"/>
                <w:color w:val="0000EE"/>
              </w:rPr>
              <w:t>Beneficial Ownership of Common Stock</w:t>
            </w: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25</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000" w:type="dxa"/>
            <w:vAlign w:val="bottom"/>
            <w:gridSpan w:val="18"/>
          </w:tcPr>
          <w:p>
            <w:pPr>
              <w:spacing w:after="0"/>
              <w:rPr>
                <w:sz w:val="20"/>
                <w:szCs w:val="20"/>
                <w:color w:val="auto"/>
              </w:rPr>
            </w:pPr>
            <w:r>
              <w:rPr>
                <w:rFonts w:ascii="Arial" w:cs="Arial" w:eastAsia="Arial" w:hAnsi="Arial"/>
                <w:sz w:val="18"/>
                <w:szCs w:val="18"/>
                <w:color w:val="0000EE"/>
              </w:rPr>
              <w:t>Delinquent Section 16(a) Reports</w:t>
            </w:r>
          </w:p>
        </w:tc>
        <w:tc>
          <w:tcPr>
            <w:tcW w:w="5060" w:type="dxa"/>
            <w:vAlign w:val="bottom"/>
            <w:gridSpan w:val="17"/>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26</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2520" w:type="dxa"/>
            <w:vAlign w:val="bottom"/>
            <w:gridSpan w:val="13"/>
          </w:tcPr>
          <w:p>
            <w:pPr>
              <w:spacing w:after="0"/>
              <w:rPr>
                <w:sz w:val="20"/>
                <w:szCs w:val="20"/>
                <w:color w:val="auto"/>
              </w:rPr>
            </w:pPr>
            <w:r>
              <w:rPr>
                <w:rFonts w:ascii="Arial" w:cs="Arial" w:eastAsia="Arial" w:hAnsi="Arial"/>
                <w:sz w:val="18"/>
                <w:szCs w:val="18"/>
                <w:color w:val="0000EE"/>
              </w:rPr>
              <w:t>Executive Officers</w:t>
            </w:r>
          </w:p>
        </w:tc>
        <w:tc>
          <w:tcPr>
            <w:tcW w:w="5540" w:type="dxa"/>
            <w:vAlign w:val="bottom"/>
            <w:gridSpan w:val="22"/>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27</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1900" w:type="dxa"/>
            <w:vAlign w:val="bottom"/>
            <w:gridSpan w:val="9"/>
          </w:tcPr>
          <w:p>
            <w:pPr>
              <w:spacing w:after="0"/>
              <w:rPr>
                <w:sz w:val="20"/>
                <w:szCs w:val="20"/>
                <w:color w:val="auto"/>
              </w:rPr>
            </w:pPr>
            <w:r>
              <w:rPr>
                <w:rFonts w:ascii="Arial" w:cs="Arial" w:eastAsia="Arial" w:hAnsi="Arial"/>
                <w:sz w:val="18"/>
                <w:szCs w:val="18"/>
                <w:color w:val="0000EE"/>
                <w:w w:val="94"/>
              </w:rPr>
              <w:t>Executive Compensation</w:t>
            </w:r>
          </w:p>
        </w:tc>
        <w:tc>
          <w:tcPr>
            <w:tcW w:w="6160" w:type="dxa"/>
            <w:vAlign w:val="bottom"/>
            <w:gridSpan w:val="26"/>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28</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gridSpan w:val="15"/>
          </w:tcPr>
          <w:p>
            <w:pPr>
              <w:spacing w:after="0"/>
              <w:rPr>
                <w:sz w:val="20"/>
                <w:szCs w:val="20"/>
                <w:color w:val="auto"/>
              </w:rPr>
            </w:pPr>
            <w:r>
              <w:rPr>
                <w:rFonts w:ascii="Arial" w:cs="Arial" w:eastAsia="Arial" w:hAnsi="Arial"/>
                <w:sz w:val="18"/>
                <w:szCs w:val="18"/>
                <w:color w:val="0000EE"/>
                <w:w w:val="95"/>
              </w:rPr>
              <w:t>Summary Compensation Table</w:t>
            </w:r>
          </w:p>
        </w:tc>
        <w:tc>
          <w:tcPr>
            <w:tcW w:w="5280" w:type="dxa"/>
            <w:vAlign w:val="bottom"/>
            <w:gridSpan w:val="19"/>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28</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10"/>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20" w:type="dxa"/>
            <w:vAlign w:val="bottom"/>
            <w:gridSpan w:val="30"/>
          </w:tcPr>
          <w:p>
            <w:pPr>
              <w:spacing w:after="0"/>
              <w:rPr>
                <w:sz w:val="20"/>
                <w:szCs w:val="20"/>
                <w:color w:val="auto"/>
              </w:rPr>
            </w:pPr>
            <w:r>
              <w:rPr>
                <w:rFonts w:ascii="Arial" w:cs="Arial" w:eastAsia="Arial" w:hAnsi="Arial"/>
                <w:sz w:val="18"/>
                <w:szCs w:val="18"/>
                <w:color w:val="0000EE"/>
                <w:w w:val="98"/>
              </w:rPr>
              <w:t>Narrative Explanation of the Summary Compensation Table</w:t>
            </w:r>
          </w:p>
        </w:tc>
        <w:tc>
          <w:tcPr>
            <w:tcW w:w="2980" w:type="dxa"/>
            <w:vAlign w:val="bottom"/>
            <w:gridSpan w:val="4"/>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29</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10"/>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60" w:type="dxa"/>
            <w:vAlign w:val="bottom"/>
            <w:gridSpan w:val="14"/>
          </w:tcPr>
          <w:p>
            <w:pPr>
              <w:spacing w:after="0"/>
              <w:rPr>
                <w:sz w:val="20"/>
                <w:szCs w:val="20"/>
                <w:color w:val="auto"/>
              </w:rPr>
            </w:pPr>
            <w:r>
              <w:rPr>
                <w:rFonts w:ascii="Arial" w:cs="Arial" w:eastAsia="Arial" w:hAnsi="Arial"/>
                <w:sz w:val="18"/>
                <w:szCs w:val="18"/>
                <w:color w:val="0000EE"/>
                <w:w w:val="98"/>
              </w:rPr>
              <w:t>Grants of Plan-Based Awards</w:t>
            </w:r>
          </w:p>
        </w:tc>
        <w:tc>
          <w:tcPr>
            <w:tcW w:w="2360" w:type="dxa"/>
            <w:vAlign w:val="bottom"/>
            <w:gridSpan w:val="16"/>
          </w:tcPr>
          <w:p>
            <w:pPr>
              <w:spacing w:after="0"/>
              <w:rPr>
                <w:sz w:val="24"/>
                <w:szCs w:val="24"/>
                <w:color w:val="auto"/>
              </w:rPr>
            </w:pPr>
          </w:p>
        </w:tc>
        <w:tc>
          <w:tcPr>
            <w:tcW w:w="2980" w:type="dxa"/>
            <w:vAlign w:val="bottom"/>
            <w:gridSpan w:val="4"/>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30</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00" w:type="dxa"/>
            <w:vAlign w:val="bottom"/>
            <w:gridSpan w:val="34"/>
          </w:tcPr>
          <w:p>
            <w:pPr>
              <w:spacing w:after="0"/>
              <w:rPr>
                <w:sz w:val="20"/>
                <w:szCs w:val="20"/>
                <w:color w:val="auto"/>
              </w:rPr>
            </w:pPr>
            <w:r>
              <w:rPr>
                <w:rFonts w:ascii="Arial" w:cs="Arial" w:eastAsia="Arial" w:hAnsi="Arial"/>
                <w:sz w:val="18"/>
                <w:szCs w:val="18"/>
                <w:color w:val="0000EE"/>
              </w:rPr>
              <w:t>Outstanding Equity Awards at December 31, 2021</w:t>
            </w: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30</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11"/>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80" w:type="dxa"/>
            <w:vAlign w:val="bottom"/>
            <w:gridSpan w:val="24"/>
          </w:tcPr>
          <w:p>
            <w:pPr>
              <w:spacing w:after="0"/>
              <w:rPr>
                <w:sz w:val="20"/>
                <w:szCs w:val="20"/>
                <w:color w:val="auto"/>
              </w:rPr>
            </w:pPr>
            <w:r>
              <w:rPr>
                <w:rFonts w:ascii="Arial" w:cs="Arial" w:eastAsia="Arial" w:hAnsi="Arial"/>
                <w:sz w:val="18"/>
                <w:szCs w:val="18"/>
                <w:color w:val="0000EE"/>
                <w:w w:val="98"/>
              </w:rPr>
              <w:t>2021 Equity Award Exercises and Stock Vested</w:t>
            </w:r>
          </w:p>
        </w:tc>
        <w:tc>
          <w:tcPr>
            <w:tcW w:w="200" w:type="dxa"/>
            <w:vAlign w:val="bottom"/>
            <w:gridSpan w:val="3"/>
          </w:tcPr>
          <w:p>
            <w:pPr>
              <w:spacing w:after="0"/>
              <w:rPr>
                <w:sz w:val="24"/>
                <w:szCs w:val="24"/>
                <w:color w:val="auto"/>
              </w:rPr>
            </w:pPr>
          </w:p>
        </w:tc>
        <w:tc>
          <w:tcPr>
            <w:tcW w:w="3720" w:type="dxa"/>
            <w:vAlign w:val="bottom"/>
            <w:gridSpan w:val="7"/>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31</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11"/>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20" w:type="dxa"/>
            <w:vAlign w:val="bottom"/>
            <w:gridSpan w:val="30"/>
          </w:tcPr>
          <w:p>
            <w:pPr>
              <w:spacing w:after="0"/>
              <w:rPr>
                <w:sz w:val="20"/>
                <w:szCs w:val="20"/>
                <w:color w:val="auto"/>
              </w:rPr>
            </w:pPr>
            <w:r>
              <w:rPr>
                <w:rFonts w:ascii="Arial" w:cs="Arial" w:eastAsia="Arial" w:hAnsi="Arial"/>
                <w:sz w:val="18"/>
                <w:szCs w:val="18"/>
                <w:color w:val="0000EE"/>
                <w:w w:val="98"/>
              </w:rPr>
              <w:t>Potential Payments Upon Termination or Change in Control</w:t>
            </w:r>
          </w:p>
        </w:tc>
        <w:tc>
          <w:tcPr>
            <w:tcW w:w="2980" w:type="dxa"/>
            <w:vAlign w:val="bottom"/>
            <w:gridSpan w:val="4"/>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32</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11"/>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20" w:type="dxa"/>
            <w:vAlign w:val="bottom"/>
            <w:gridSpan w:val="30"/>
          </w:tcPr>
          <w:p>
            <w:pPr>
              <w:spacing w:after="0"/>
              <w:rPr>
                <w:sz w:val="20"/>
                <w:szCs w:val="20"/>
                <w:color w:val="auto"/>
              </w:rPr>
            </w:pPr>
            <w:r>
              <w:rPr>
                <w:rFonts w:ascii="Arial" w:cs="Arial" w:eastAsia="Arial" w:hAnsi="Arial"/>
                <w:sz w:val="18"/>
                <w:szCs w:val="18"/>
                <w:color w:val="0000EE"/>
              </w:rPr>
              <w:t>Equity Compensation Plan Information</w:t>
            </w:r>
          </w:p>
        </w:tc>
        <w:tc>
          <w:tcPr>
            <w:tcW w:w="2980" w:type="dxa"/>
            <w:vAlign w:val="bottom"/>
            <w:gridSpan w:val="4"/>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32</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11"/>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8"/>
                <w:szCs w:val="18"/>
                <w:color w:val="0000EE"/>
                <w:w w:val="98"/>
              </w:rPr>
              <w:t>CEO Pay Ratio</w:t>
            </w:r>
          </w:p>
        </w:tc>
        <w:tc>
          <w:tcPr>
            <w:tcW w:w="1840" w:type="dxa"/>
            <w:vAlign w:val="bottom"/>
            <w:gridSpan w:val="15"/>
          </w:tcPr>
          <w:p>
            <w:pPr>
              <w:spacing w:after="0"/>
              <w:rPr>
                <w:sz w:val="24"/>
                <w:szCs w:val="24"/>
                <w:color w:val="auto"/>
              </w:rPr>
            </w:pPr>
          </w:p>
        </w:tc>
        <w:tc>
          <w:tcPr>
            <w:tcW w:w="4640" w:type="dxa"/>
            <w:vAlign w:val="bottom"/>
            <w:gridSpan w:val="15"/>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33</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8060" w:type="dxa"/>
            <w:vAlign w:val="bottom"/>
            <w:gridSpan w:val="35"/>
          </w:tcPr>
          <w:p>
            <w:pPr>
              <w:spacing w:after="0"/>
              <w:rPr>
                <w:sz w:val="20"/>
                <w:szCs w:val="20"/>
                <w:color w:val="auto"/>
              </w:rPr>
            </w:pPr>
            <w:r>
              <w:rPr>
                <w:rFonts w:ascii="Arial" w:cs="Arial" w:eastAsia="Arial" w:hAnsi="Arial"/>
                <w:sz w:val="18"/>
                <w:szCs w:val="18"/>
                <w:color w:val="0000EE"/>
              </w:rPr>
              <w:t>Compensation Discussion and Analysis</w:t>
            </w: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34</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20" w:type="dxa"/>
            <w:vAlign w:val="bottom"/>
            <w:gridSpan w:val="1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5400" w:type="dxa"/>
            <w:vAlign w:val="bottom"/>
            <w:gridSpan w:val="33"/>
          </w:tcPr>
          <w:p>
            <w:pPr>
              <w:spacing w:after="0"/>
              <w:rPr>
                <w:sz w:val="20"/>
                <w:szCs w:val="20"/>
                <w:color w:val="auto"/>
              </w:rPr>
            </w:pPr>
            <w:r>
              <w:rPr>
                <w:rFonts w:ascii="Arial" w:cs="Arial" w:eastAsia="Arial" w:hAnsi="Arial"/>
                <w:sz w:val="18"/>
                <w:szCs w:val="18"/>
                <w:color w:val="0000EE"/>
                <w:w w:val="94"/>
              </w:rPr>
              <w:t>Proposal 2. Ratification of Appointment of Independent Auditor for 2022</w:t>
            </w:r>
          </w:p>
        </w:tc>
        <w:tc>
          <w:tcPr>
            <w:tcW w:w="2660" w:type="dxa"/>
            <w:vAlign w:val="bottom"/>
            <w:gridSpan w:val="2"/>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40</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20" w:type="dxa"/>
            <w:vAlign w:val="bottom"/>
            <w:gridSpan w:val="1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640" w:type="dxa"/>
            <w:vAlign w:val="bottom"/>
            <w:tcBorders>
              <w:left w:val="single" w:sz="8" w:color="0000EE"/>
            </w:tcBorders>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5400" w:type="dxa"/>
            <w:vAlign w:val="bottom"/>
            <w:gridSpan w:val="33"/>
          </w:tcPr>
          <w:p>
            <w:pPr>
              <w:spacing w:after="0"/>
              <w:rPr>
                <w:sz w:val="20"/>
                <w:szCs w:val="20"/>
                <w:color w:val="auto"/>
              </w:rPr>
            </w:pPr>
            <w:r>
              <w:rPr>
                <w:rFonts w:ascii="Arial" w:cs="Arial" w:eastAsia="Arial" w:hAnsi="Arial"/>
                <w:sz w:val="18"/>
                <w:szCs w:val="18"/>
                <w:color w:val="0000EE"/>
              </w:rPr>
              <w:t>Accounting Matters</w:t>
            </w:r>
          </w:p>
        </w:tc>
        <w:tc>
          <w:tcPr>
            <w:tcW w:w="2660" w:type="dxa"/>
            <w:vAlign w:val="bottom"/>
            <w:gridSpan w:val="2"/>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41</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20" w:type="dxa"/>
            <w:vAlign w:val="bottom"/>
            <w:gridSpan w:val="1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00" w:type="dxa"/>
            <w:vAlign w:val="bottom"/>
            <w:gridSpan w:val="34"/>
          </w:tcPr>
          <w:p>
            <w:pPr>
              <w:spacing w:after="0"/>
              <w:rPr>
                <w:sz w:val="20"/>
                <w:szCs w:val="20"/>
                <w:color w:val="auto"/>
              </w:rPr>
            </w:pPr>
            <w:r>
              <w:rPr>
                <w:rFonts w:ascii="Arial" w:cs="Arial" w:eastAsia="Arial" w:hAnsi="Arial"/>
                <w:sz w:val="18"/>
                <w:szCs w:val="18"/>
                <w:color w:val="0000EE"/>
              </w:rPr>
              <w:t>Principal Independent Auditor Fees</w:t>
            </w: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41</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40" w:type="dxa"/>
            <w:vAlign w:val="bottom"/>
            <w:gridSpan w:val="14"/>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0" w:type="dxa"/>
            <w:vAlign w:val="bottom"/>
            <w:gridSpan w:val="28"/>
          </w:tcPr>
          <w:p>
            <w:pPr>
              <w:spacing w:after="0"/>
              <w:rPr>
                <w:sz w:val="20"/>
                <w:szCs w:val="20"/>
                <w:color w:val="auto"/>
              </w:rPr>
            </w:pPr>
            <w:r>
              <w:rPr>
                <w:rFonts w:ascii="Arial" w:cs="Arial" w:eastAsia="Arial" w:hAnsi="Arial"/>
                <w:sz w:val="18"/>
                <w:szCs w:val="18"/>
                <w:color w:val="0000EE"/>
                <w:w w:val="98"/>
              </w:rPr>
              <w:t>Audit Committee Pre-Approval Policies and Procedures</w:t>
            </w:r>
          </w:p>
        </w:tc>
        <w:tc>
          <w:tcPr>
            <w:tcW w:w="3300" w:type="dxa"/>
            <w:vAlign w:val="bottom"/>
            <w:gridSpan w:val="6"/>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41</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40" w:type="dxa"/>
            <w:vAlign w:val="bottom"/>
            <w:gridSpan w:val="14"/>
            <w:shd w:val="clear" w:color="auto" w:fill="0000EE"/>
          </w:tcPr>
          <w:p>
            <w:pPr>
              <w:spacing w:after="0" w:line="20" w:lineRule="exact"/>
              <w:rPr>
                <w:sz w:val="1"/>
                <w:szCs w:val="1"/>
                <w:color w:val="auto"/>
              </w:rPr>
            </w:pPr>
          </w:p>
        </w:tc>
        <w:tc>
          <w:tcPr>
            <w:tcW w:w="840" w:type="dxa"/>
            <w:vAlign w:val="bottom"/>
            <w:tcBorders>
              <w:left w:val="single" w:sz="8" w:color="0000EE"/>
            </w:tcBorders>
            <w:gridSpan w:val="7"/>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880" w:type="dxa"/>
            <w:vAlign w:val="bottom"/>
            <w:tcBorders>
              <w:left w:val="single" w:sz="8" w:color="0000EE"/>
            </w:tcBorders>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gridSpan w:val="15"/>
          </w:tcPr>
          <w:p>
            <w:pPr>
              <w:spacing w:after="0"/>
              <w:rPr>
                <w:sz w:val="20"/>
                <w:szCs w:val="20"/>
                <w:color w:val="auto"/>
              </w:rPr>
            </w:pPr>
            <w:r>
              <w:rPr>
                <w:rFonts w:ascii="Arial" w:cs="Arial" w:eastAsia="Arial" w:hAnsi="Arial"/>
                <w:sz w:val="18"/>
                <w:szCs w:val="18"/>
                <w:color w:val="0000EE"/>
                <w:w w:val="98"/>
              </w:rPr>
              <w:t>Report of the Audit Committee</w:t>
            </w:r>
          </w:p>
        </w:tc>
        <w:tc>
          <w:tcPr>
            <w:tcW w:w="1980" w:type="dxa"/>
            <w:vAlign w:val="bottom"/>
            <w:gridSpan w:val="13"/>
          </w:tcPr>
          <w:p>
            <w:pPr>
              <w:spacing w:after="0"/>
              <w:rPr>
                <w:sz w:val="24"/>
                <w:szCs w:val="24"/>
                <w:color w:val="auto"/>
              </w:rPr>
            </w:pPr>
          </w:p>
        </w:tc>
        <w:tc>
          <w:tcPr>
            <w:tcW w:w="3300" w:type="dxa"/>
            <w:vAlign w:val="bottom"/>
            <w:gridSpan w:val="6"/>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41</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40" w:type="dxa"/>
            <w:vAlign w:val="bottom"/>
            <w:gridSpan w:val="14"/>
            <w:shd w:val="clear" w:color="auto" w:fill="0000EE"/>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8060" w:type="dxa"/>
            <w:vAlign w:val="bottom"/>
            <w:gridSpan w:val="35"/>
          </w:tcPr>
          <w:p>
            <w:pPr>
              <w:spacing w:after="0"/>
              <w:rPr>
                <w:sz w:val="20"/>
                <w:szCs w:val="20"/>
                <w:color w:val="auto"/>
              </w:rPr>
            </w:pPr>
            <w:r>
              <w:rPr>
                <w:rFonts w:ascii="Arial" w:cs="Arial" w:eastAsia="Arial" w:hAnsi="Arial"/>
                <w:sz w:val="18"/>
                <w:szCs w:val="18"/>
                <w:color w:val="0000EE"/>
              </w:rPr>
              <w:t>Stockholder Proposals for 2023 Annual Meeting</w:t>
            </w: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43</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580" w:type="dxa"/>
            <w:vAlign w:val="bottom"/>
            <w:gridSpan w:val="21"/>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8060" w:type="dxa"/>
            <w:vAlign w:val="bottom"/>
            <w:gridSpan w:val="35"/>
          </w:tcPr>
          <w:p>
            <w:pPr>
              <w:spacing w:after="0"/>
              <w:rPr>
                <w:sz w:val="20"/>
                <w:szCs w:val="20"/>
                <w:color w:val="auto"/>
              </w:rPr>
            </w:pPr>
            <w:r>
              <w:rPr>
                <w:rFonts w:ascii="Arial" w:cs="Arial" w:eastAsia="Arial" w:hAnsi="Arial"/>
                <w:sz w:val="18"/>
                <w:szCs w:val="18"/>
                <w:color w:val="0000EE"/>
              </w:rPr>
              <w:t>Delivery of Documents to Security Holders Sharing an Address</w:t>
            </w: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43</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720" w:type="dxa"/>
            <w:vAlign w:val="bottom"/>
            <w:gridSpan w:val="27"/>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4760" w:type="dxa"/>
            <w:vAlign w:val="bottom"/>
            <w:gridSpan w:val="29"/>
          </w:tcPr>
          <w:p>
            <w:pPr>
              <w:spacing w:after="0"/>
              <w:rPr>
                <w:sz w:val="20"/>
                <w:szCs w:val="20"/>
                <w:color w:val="auto"/>
              </w:rPr>
            </w:pPr>
            <w:r>
              <w:rPr>
                <w:rFonts w:ascii="Arial" w:cs="Arial" w:eastAsia="Arial" w:hAnsi="Arial"/>
                <w:sz w:val="18"/>
                <w:szCs w:val="18"/>
                <w:color w:val="0000EE"/>
              </w:rPr>
              <w:t>Other Matters</w:t>
            </w:r>
          </w:p>
        </w:tc>
        <w:tc>
          <w:tcPr>
            <w:tcW w:w="3300" w:type="dxa"/>
            <w:vAlign w:val="bottom"/>
            <w:gridSpan w:val="6"/>
          </w:tcPr>
          <w:p>
            <w:pPr>
              <w:spacing w:after="0"/>
              <w:rPr>
                <w:sz w:val="24"/>
                <w:szCs w:val="24"/>
                <w:color w:val="auto"/>
              </w:rPr>
            </w:pP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0000EE"/>
              </w:rPr>
              <w:t>43</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600" w:type="dxa"/>
            <w:vAlign w:val="bottom"/>
            <w:gridSpan w:val="3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8060" w:type="dxa"/>
            <w:vAlign w:val="bottom"/>
            <w:gridSpan w:val="35"/>
          </w:tcPr>
          <w:p>
            <w:pPr>
              <w:spacing w:after="0"/>
              <w:rPr>
                <w:sz w:val="20"/>
                <w:szCs w:val="20"/>
                <w:color w:val="auto"/>
              </w:rPr>
            </w:pPr>
            <w:r>
              <w:rPr>
                <w:rFonts w:ascii="Arial" w:cs="Arial" w:eastAsia="Arial" w:hAnsi="Arial"/>
                <w:sz w:val="18"/>
                <w:szCs w:val="18"/>
                <w:i w:val="1"/>
                <w:iCs w:val="1"/>
                <w:color w:val="0000EE"/>
              </w:rPr>
              <w:t xml:space="preserve">Appendix A. </w:t>
            </w:r>
            <w:r>
              <w:rPr>
                <w:rFonts w:ascii="Arial" w:cs="Arial" w:eastAsia="Arial" w:hAnsi="Arial"/>
                <w:sz w:val="18"/>
                <w:szCs w:val="18"/>
                <w:color w:val="0000EE"/>
              </w:rPr>
              <w:t>Rules of Conduct and Procedure for 2022 Annual Meeting</w:t>
            </w:r>
          </w:p>
        </w:tc>
        <w:tc>
          <w:tcPr>
            <w:tcW w:w="1660" w:type="dxa"/>
            <w:vAlign w:val="bottom"/>
            <w:gridSpan w:val="7"/>
          </w:tcPr>
          <w:p>
            <w:pPr>
              <w:jc w:val="center"/>
              <w:ind w:right="1340"/>
              <w:spacing w:after="0"/>
              <w:rPr>
                <w:sz w:val="20"/>
                <w:szCs w:val="20"/>
                <w:color w:val="auto"/>
              </w:rPr>
            </w:pPr>
            <w:r>
              <w:rPr>
                <w:rFonts w:ascii="Arial" w:cs="Arial" w:eastAsia="Arial" w:hAnsi="Arial"/>
                <w:sz w:val="18"/>
                <w:szCs w:val="18"/>
                <w:color w:val="0000EE"/>
                <w:w w:val="99"/>
              </w:rPr>
              <w:t>A-1</w:t>
            </w:r>
          </w:p>
        </w:tc>
      </w:tr>
      <w:tr>
        <w:trPr>
          <w:trHeight w:val="243"/>
        </w:trPr>
        <w:tc>
          <w:tcPr>
            <w:tcW w:w="1300" w:type="dxa"/>
            <w:vAlign w:val="bottom"/>
            <w:tcBorders>
              <w:bottom w:val="single" w:sz="8" w:color="auto"/>
            </w:tcBorders>
          </w:tcPr>
          <w:p>
            <w:pPr>
              <w:spacing w:after="0"/>
              <w:rPr>
                <w:sz w:val="21"/>
                <w:szCs w:val="21"/>
                <w:color w:val="auto"/>
              </w:rPr>
            </w:pPr>
          </w:p>
        </w:tc>
        <w:tc>
          <w:tcPr>
            <w:tcW w:w="360" w:type="dxa"/>
            <w:vAlign w:val="bottom"/>
            <w:tcBorders>
              <w:top w:val="single" w:sz="8" w:color="0000EE"/>
              <w:bottom w:val="single" w:sz="8" w:color="auto"/>
            </w:tcBorders>
          </w:tcPr>
          <w:p>
            <w:pPr>
              <w:spacing w:after="0"/>
              <w:rPr>
                <w:sz w:val="21"/>
                <w:szCs w:val="21"/>
                <w:color w:val="auto"/>
              </w:rPr>
            </w:pPr>
          </w:p>
        </w:tc>
        <w:tc>
          <w:tcPr>
            <w:tcW w:w="680" w:type="dxa"/>
            <w:vAlign w:val="bottom"/>
            <w:tcBorders>
              <w:top w:val="single" w:sz="8" w:color="0000EE"/>
              <w:bottom w:val="single" w:sz="8" w:color="auto"/>
            </w:tcBorders>
          </w:tcPr>
          <w:p>
            <w:pPr>
              <w:spacing w:after="0"/>
              <w:rPr>
                <w:sz w:val="21"/>
                <w:szCs w:val="21"/>
                <w:color w:val="auto"/>
              </w:rPr>
            </w:pPr>
          </w:p>
        </w:tc>
        <w:tc>
          <w:tcPr>
            <w:tcW w:w="32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12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220" w:type="dxa"/>
            <w:vAlign w:val="bottom"/>
            <w:tcBorders>
              <w:top w:val="single" w:sz="8" w:color="0000EE"/>
              <w:bottom w:val="single" w:sz="8" w:color="auto"/>
            </w:tcBorders>
          </w:tcPr>
          <w:p>
            <w:pPr>
              <w:spacing w:after="0"/>
              <w:rPr>
                <w:sz w:val="21"/>
                <w:szCs w:val="21"/>
                <w:color w:val="auto"/>
              </w:rPr>
            </w:pPr>
          </w:p>
        </w:tc>
        <w:tc>
          <w:tcPr>
            <w:tcW w:w="140" w:type="dxa"/>
            <w:vAlign w:val="bottom"/>
            <w:tcBorders>
              <w:top w:val="single" w:sz="8" w:color="0000EE"/>
              <w:bottom w:val="single" w:sz="8" w:color="auto"/>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12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12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26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200" w:type="dxa"/>
            <w:vAlign w:val="bottom"/>
            <w:tcBorders>
              <w:top w:val="single" w:sz="8" w:color="0000EE"/>
              <w:bottom w:val="single" w:sz="8" w:color="auto"/>
            </w:tcBorders>
          </w:tcPr>
          <w:p>
            <w:pPr>
              <w:spacing w:after="0"/>
              <w:rPr>
                <w:sz w:val="21"/>
                <w:szCs w:val="21"/>
                <w:color w:val="auto"/>
              </w:rPr>
            </w:pPr>
          </w:p>
        </w:tc>
        <w:tc>
          <w:tcPr>
            <w:tcW w:w="32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420" w:type="dxa"/>
            <w:vAlign w:val="bottom"/>
            <w:tcBorders>
              <w:top w:val="single" w:sz="8" w:color="0000EE"/>
              <w:bottom w:val="single" w:sz="8" w:color="auto"/>
            </w:tcBorders>
          </w:tcPr>
          <w:p>
            <w:pPr>
              <w:spacing w:after="0"/>
              <w:rPr>
                <w:sz w:val="21"/>
                <w:szCs w:val="21"/>
                <w:color w:val="auto"/>
              </w:rPr>
            </w:pPr>
          </w:p>
        </w:tc>
        <w:tc>
          <w:tcPr>
            <w:tcW w:w="28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240" w:type="dxa"/>
            <w:vAlign w:val="bottom"/>
            <w:tcBorders>
              <w:top w:val="single" w:sz="8" w:color="0000EE"/>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263" w:right="439" w:bottom="1440" w:gutter="0" w:footer="0" w:header="0"/>
        </w:sectPr>
      </w:pPr>
    </w:p>
    <w:bookmarkStart w:id="6" w:name="page7"/>
    <w:bookmarkEnd w:id="6"/>
    <w:p>
      <w:pPr>
        <w:ind w:left="420"/>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510540</wp:posOffset>
            </wp:positionH>
            <wp:positionV relativeFrom="page">
              <wp:posOffset>116840</wp:posOffset>
            </wp:positionV>
            <wp:extent cx="6527800" cy="7282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27800" cy="7282180"/>
                    </a:xfrm>
                    <a:prstGeom prst="rect">
                      <a:avLst/>
                    </a:prstGeom>
                    <a:noFill/>
                  </pic:spPr>
                </pic:pic>
              </a:graphicData>
            </a:graphic>
          </wp:anchor>
        </w:drawing>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2022 Proxy Summary</w:t>
      </w:r>
    </w:p>
    <w:p>
      <w:pPr>
        <w:spacing w:after="0" w:line="341" w:lineRule="exact"/>
        <w:rPr>
          <w:sz w:val="20"/>
          <w:szCs w:val="20"/>
          <w:color w:val="auto"/>
        </w:rPr>
      </w:pPr>
    </w:p>
    <w:p>
      <w:pPr>
        <w:jc w:val="both"/>
        <w:ind w:left="1300" w:right="1300"/>
        <w:spacing w:after="0" w:line="246" w:lineRule="auto"/>
        <w:rPr>
          <w:sz w:val="20"/>
          <w:szCs w:val="20"/>
          <w:color w:val="auto"/>
        </w:rPr>
      </w:pPr>
      <w:r>
        <w:rPr>
          <w:rFonts w:ascii="Arial" w:cs="Arial" w:eastAsia="Arial" w:hAnsi="Arial"/>
          <w:sz w:val="18"/>
          <w:szCs w:val="18"/>
          <w:i w:val="1"/>
          <w:iCs w:val="1"/>
          <w:color w:val="4C4C4C"/>
        </w:rPr>
        <w:t>This summary highlights information contained elsewhere in this Proxy Statement. This summary does not contain all of the information that you should consider, and you should read the entire Proxy Statement carefully before voting. References in this Proxy Statement to “ACM,” “ACM Research” and to “we,” “us,” “our” and similar terms refer to ACM Research, Inc.</w:t>
      </w:r>
    </w:p>
    <w:p>
      <w:pPr>
        <w:spacing w:after="0" w:line="137" w:lineRule="exact"/>
        <w:rPr>
          <w:sz w:val="20"/>
          <w:szCs w:val="20"/>
          <w:color w:val="auto"/>
        </w:rPr>
      </w:pPr>
    </w:p>
    <w:p>
      <w:pPr>
        <w:jc w:val="both"/>
        <w:ind w:left="1300" w:right="1300"/>
        <w:spacing w:after="0" w:line="252" w:lineRule="auto"/>
        <w:rPr>
          <w:sz w:val="20"/>
          <w:szCs w:val="20"/>
          <w:color w:val="auto"/>
        </w:rPr>
      </w:pPr>
      <w:r>
        <w:rPr>
          <w:rFonts w:ascii="Arial" w:cs="Arial" w:eastAsia="Arial" w:hAnsi="Arial"/>
          <w:sz w:val="18"/>
          <w:szCs w:val="18"/>
          <w:i w:val="1"/>
          <w:iCs w:val="1"/>
          <w:color w:val="4C4C4C"/>
        </w:rPr>
        <w:t>Unless the context otherwise requires, all share information in this Proxy Statement including the number of shares outstanding on the record date, reflects a three-for-one stock split of Class A and Class B common stock effected in the form of stock dividends paid on March 24, 2022.</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0079C1"/>
        </w:rPr>
        <w:t>Annual Meeting of Stockholders</w:t>
      </w:r>
    </w:p>
    <w:p>
      <w:pPr>
        <w:sectPr>
          <w:pgSz w:w="11900" w:h="16838" w:orient="portrait"/>
          <w:cols w:equalWidth="0" w:num="1">
            <w:col w:w="11020"/>
          </w:cols>
          <w:pgMar w:left="440" w:top="371" w:right="439" w:bottom="1440" w:gutter="0" w:footer="0" w:header="0"/>
        </w:sectPr>
      </w:pP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7"/>
          <w:szCs w:val="17"/>
          <w:color w:val="4C4C4C"/>
        </w:rPr>
        <w:t>Time and 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4C4C4C"/>
        </w:rPr>
        <w:t>7 a.m., Pacific time, on June 30, 2022</w:t>
      </w:r>
    </w:p>
    <w:p>
      <w:pPr>
        <w:spacing w:after="0" w:line="169" w:lineRule="exact"/>
        <w:rPr>
          <w:sz w:val="20"/>
          <w:szCs w:val="20"/>
          <w:color w:val="auto"/>
        </w:rPr>
      </w:pPr>
    </w:p>
    <w:p>
      <w:pPr>
        <w:sectPr>
          <w:pgSz w:w="11900" w:h="16838" w:orient="portrait"/>
          <w:cols w:equalWidth="0" w:num="2">
            <w:col w:w="3280" w:space="720"/>
            <w:col w:w="7020"/>
          </w:cols>
          <w:pgMar w:left="440" w:top="371" w:right="439" w:bottom="1440" w:gutter="0" w:footer="0" w:header="0"/>
          <w:type w:val="continuous"/>
        </w:sectPr>
      </w:pPr>
    </w:p>
    <w:p>
      <w:pPr>
        <w:ind w:left="1300"/>
        <w:spacing w:after="0"/>
        <w:rPr>
          <w:sz w:val="20"/>
          <w:szCs w:val="20"/>
          <w:color w:val="auto"/>
        </w:rPr>
      </w:pPr>
      <w:r>
        <w:rPr>
          <w:rFonts w:ascii="Arial" w:cs="Arial" w:eastAsia="Arial" w:hAnsi="Arial"/>
          <w:sz w:val="17"/>
          <w:szCs w:val="17"/>
          <w:color w:val="4C4C4C"/>
        </w:rPr>
        <w:t>Meeting Webcast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4C4C4C"/>
        </w:rPr>
        <w:t>virtualshareholdermeeting.com/ACMR2022</w:t>
      </w:r>
    </w:p>
    <w:p>
      <w:pPr>
        <w:spacing w:after="0" w:line="167" w:lineRule="exact"/>
        <w:rPr>
          <w:sz w:val="20"/>
          <w:szCs w:val="20"/>
          <w:color w:val="auto"/>
        </w:rPr>
      </w:pPr>
    </w:p>
    <w:p>
      <w:pPr>
        <w:sectPr>
          <w:pgSz w:w="11900" w:h="16838" w:orient="portrait"/>
          <w:cols w:equalWidth="0" w:num="2">
            <w:col w:w="3300" w:space="700"/>
            <w:col w:w="7020"/>
          </w:cols>
          <w:pgMar w:left="440" w:top="371" w:right="439" w:bottom="1440" w:gutter="0" w:footer="0" w:header="0"/>
          <w:type w:val="continuous"/>
        </w:sectPr>
      </w:pPr>
    </w:p>
    <w:p>
      <w:pPr>
        <w:ind w:left="1300"/>
        <w:spacing w:after="0"/>
        <w:rPr>
          <w:sz w:val="20"/>
          <w:szCs w:val="20"/>
          <w:color w:val="auto"/>
        </w:rPr>
      </w:pPr>
      <w:r>
        <w:rPr>
          <w:rFonts w:ascii="Arial" w:cs="Arial" w:eastAsia="Arial" w:hAnsi="Arial"/>
          <w:sz w:val="17"/>
          <w:szCs w:val="17"/>
          <w:color w:val="4C4C4C"/>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C4C4C"/>
        </w:rPr>
        <w:t>5 p.m., Eastern time, on May 3, 2022</w:t>
      </w:r>
    </w:p>
    <w:p>
      <w:pPr>
        <w:spacing w:after="0" w:line="169" w:lineRule="exact"/>
        <w:rPr>
          <w:sz w:val="20"/>
          <w:szCs w:val="20"/>
          <w:color w:val="auto"/>
        </w:rPr>
      </w:pPr>
    </w:p>
    <w:p>
      <w:pPr>
        <w:sectPr>
          <w:pgSz w:w="11900" w:h="16838" w:orient="portrait"/>
          <w:cols w:equalWidth="0" w:num="2">
            <w:col w:w="3280" w:space="720"/>
            <w:col w:w="7020"/>
          </w:cols>
          <w:pgMar w:left="440" w:top="371" w:right="439" w:bottom="1440" w:gutter="0" w:footer="0" w:header="0"/>
          <w:type w:val="continuous"/>
        </w:sectPr>
      </w:pPr>
    </w:p>
    <w:p>
      <w:pPr>
        <w:ind w:left="1300"/>
        <w:spacing w:after="0"/>
        <w:rPr>
          <w:sz w:val="20"/>
          <w:szCs w:val="20"/>
          <w:color w:val="auto"/>
        </w:rPr>
      </w:pPr>
      <w:r>
        <w:rPr>
          <w:rFonts w:ascii="Arial" w:cs="Arial" w:eastAsia="Arial" w:hAnsi="Arial"/>
          <w:sz w:val="16"/>
          <w:szCs w:val="16"/>
          <w:color w:val="4C4C4C"/>
        </w:rPr>
        <w:t>Voting</w:t>
      </w:r>
    </w:p>
    <w:p>
      <w:pPr>
        <w:spacing w:after="0" w:line="20" w:lineRule="exact"/>
        <w:rPr>
          <w:sz w:val="20"/>
          <w:szCs w:val="20"/>
          <w:color w:val="auto"/>
        </w:rPr>
      </w:pPr>
      <w:r>
        <w:rPr>
          <w:sz w:val="20"/>
          <w:szCs w:val="20"/>
          <w:color w:val="auto"/>
        </w:rPr>
        <w:br w:type="column"/>
      </w:r>
    </w:p>
    <w:p>
      <w:pPr>
        <w:jc w:val="both"/>
        <w:ind w:right="1300"/>
        <w:spacing w:after="0" w:line="247" w:lineRule="auto"/>
        <w:rPr>
          <w:sz w:val="20"/>
          <w:szCs w:val="20"/>
          <w:color w:val="auto"/>
        </w:rPr>
      </w:pPr>
      <w:r>
        <w:rPr>
          <w:rFonts w:ascii="Arial" w:cs="Arial" w:eastAsia="Arial" w:hAnsi="Arial"/>
          <w:sz w:val="18"/>
          <w:szCs w:val="18"/>
          <w:color w:val="4C4C4C"/>
        </w:rPr>
        <w:t>Stockholders will be entitled to one vote for each outstanding share of Class A common stock they hold of record as of the record date and twenty votes for each outstanding share of Class B common stock they hold of record as of the record date.</w:t>
      </w:r>
    </w:p>
    <w:p>
      <w:pPr>
        <w:spacing w:after="0" w:line="120" w:lineRule="exact"/>
        <w:rPr>
          <w:sz w:val="20"/>
          <w:szCs w:val="20"/>
          <w:color w:val="auto"/>
        </w:rPr>
      </w:pPr>
    </w:p>
    <w:p>
      <w:pPr>
        <w:sectPr>
          <w:pgSz w:w="11900" w:h="16838" w:orient="portrait"/>
          <w:cols w:equalWidth="0" w:num="2">
            <w:col w:w="3280" w:space="720"/>
            <w:col w:w="7020"/>
          </w:cols>
          <w:pgMar w:left="440" w:top="371" w:right="439" w:bottom="1440" w:gutter="0" w:footer="0" w:header="0"/>
          <w:type w:val="continuous"/>
        </w:sectPr>
      </w:pPr>
    </w:p>
    <w:p>
      <w:pPr>
        <w:ind w:left="1300"/>
        <w:spacing w:after="0"/>
        <w:rPr>
          <w:sz w:val="20"/>
          <w:szCs w:val="20"/>
          <w:color w:val="auto"/>
        </w:rPr>
      </w:pPr>
      <w:r>
        <w:rPr>
          <w:rFonts w:ascii="Arial" w:cs="Arial" w:eastAsia="Arial" w:hAnsi="Arial"/>
          <w:sz w:val="16"/>
          <w:szCs w:val="16"/>
          <w:color w:val="4C4C4C"/>
        </w:rPr>
        <w:t>Total Votes Per Proposal</w:t>
      </w:r>
    </w:p>
    <w:p>
      <w:pPr>
        <w:spacing w:after="0" w:line="20" w:lineRule="exact"/>
        <w:rPr>
          <w:sz w:val="20"/>
          <w:szCs w:val="20"/>
          <w:color w:val="auto"/>
        </w:rPr>
      </w:pPr>
      <w:r>
        <w:rPr>
          <w:sz w:val="20"/>
          <w:szCs w:val="20"/>
          <w:color w:val="auto"/>
        </w:rPr>
        <w:br w:type="column"/>
      </w:r>
    </w:p>
    <w:p>
      <w:pPr>
        <w:jc w:val="both"/>
        <w:ind w:right="1320"/>
        <w:spacing w:after="0" w:line="253" w:lineRule="auto"/>
        <w:rPr>
          <w:sz w:val="20"/>
          <w:szCs w:val="20"/>
          <w:color w:val="auto"/>
        </w:rPr>
      </w:pPr>
      <w:r>
        <w:rPr>
          <w:rFonts w:ascii="Arial" w:cs="Arial" w:eastAsia="Arial" w:hAnsi="Arial"/>
          <w:sz w:val="18"/>
          <w:szCs w:val="18"/>
          <w:color w:val="4C4C4C"/>
        </w:rPr>
        <w:t>155,810,893 votes, based on 54,074,653 shares of Class A common stock and 5,086,812 shares of Class B common stock outstanding as of the record date.</w:t>
      </w:r>
    </w:p>
    <w:p>
      <w:pPr>
        <w:spacing w:after="0" w:line="200" w:lineRule="exact"/>
        <w:rPr>
          <w:sz w:val="20"/>
          <w:szCs w:val="20"/>
          <w:color w:val="auto"/>
        </w:rPr>
      </w:pPr>
    </w:p>
    <w:p>
      <w:pPr>
        <w:sectPr>
          <w:pgSz w:w="11900" w:h="16838" w:orient="portrait"/>
          <w:cols w:equalWidth="0" w:num="2">
            <w:col w:w="3280" w:space="720"/>
            <w:col w:w="7020"/>
          </w:cols>
          <w:pgMar w:left="440" w:top="371" w:right="439" w:bottom="1440" w:gutter="0" w:footer="0" w:header="0"/>
          <w:type w:val="continuous"/>
        </w:sectPr>
      </w:pPr>
    </w:p>
    <w:p>
      <w:pPr>
        <w:spacing w:after="0" w:line="1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0079C1"/>
        </w:rPr>
        <w:t>Annual Meeting Agenda</w:t>
      </w:r>
    </w:p>
    <w:p>
      <w:pPr>
        <w:spacing w:after="0" w:line="86" w:lineRule="exact"/>
        <w:rPr>
          <w:sz w:val="20"/>
          <w:szCs w:val="20"/>
          <w:color w:val="auto"/>
        </w:rPr>
      </w:pPr>
    </w:p>
    <w:tbl>
      <w:tblPr>
        <w:tblLayout w:type="fixed"/>
        <w:tblInd w:w="1300" w:type="dxa"/>
        <w:tblCellMar>
          <w:top w:w="0" w:type="dxa"/>
          <w:left w:w="0" w:type="dxa"/>
          <w:bottom w:w="0" w:type="dxa"/>
          <w:right w:w="0" w:type="dxa"/>
        </w:tblCellMar>
      </w:tblPr>
      <w:tr>
        <w:trPr>
          <w:trHeight w:val="292"/>
        </w:trPr>
        <w:tc>
          <w:tcPr>
            <w:tcW w:w="5760" w:type="dxa"/>
            <w:vAlign w:val="bottom"/>
            <w:shd w:val="clear" w:color="auto" w:fill="0D3F64"/>
          </w:tcPr>
          <w:p>
            <w:pPr>
              <w:spacing w:after="0"/>
              <w:rPr>
                <w:sz w:val="24"/>
                <w:szCs w:val="24"/>
                <w:color w:val="auto"/>
              </w:rPr>
            </w:pPr>
          </w:p>
        </w:tc>
        <w:tc>
          <w:tcPr>
            <w:tcW w:w="2660" w:type="dxa"/>
            <w:vAlign w:val="bottom"/>
            <w:shd w:val="clear" w:color="auto" w:fill="0D3F64"/>
          </w:tcPr>
          <w:p>
            <w:pPr>
              <w:jc w:val="center"/>
              <w:ind w:left="930"/>
              <w:spacing w:after="0"/>
              <w:rPr>
                <w:sz w:val="20"/>
                <w:szCs w:val="20"/>
                <w:color w:val="auto"/>
              </w:rPr>
            </w:pPr>
            <w:r>
              <w:rPr>
                <w:rFonts w:ascii="Arial" w:cs="Arial" w:eastAsia="Arial" w:hAnsi="Arial"/>
                <w:sz w:val="18"/>
                <w:szCs w:val="18"/>
                <w:b w:val="1"/>
                <w:bCs w:val="1"/>
                <w:color w:val="FFFFFF"/>
                <w:w w:val="99"/>
              </w:rPr>
              <w:t>Board</w:t>
            </w:r>
          </w:p>
        </w:tc>
      </w:tr>
      <w:tr>
        <w:trPr>
          <w:trHeight w:val="247"/>
        </w:trPr>
        <w:tc>
          <w:tcPr>
            <w:tcW w:w="5760" w:type="dxa"/>
            <w:vAlign w:val="bottom"/>
            <w:shd w:val="clear" w:color="auto" w:fill="0D3F64"/>
          </w:tcPr>
          <w:p>
            <w:pPr>
              <w:ind w:left="20"/>
              <w:spacing w:after="0"/>
              <w:rPr>
                <w:sz w:val="20"/>
                <w:szCs w:val="20"/>
                <w:color w:val="auto"/>
              </w:rPr>
            </w:pPr>
            <w:r>
              <w:rPr>
                <w:rFonts w:ascii="Arial" w:cs="Arial" w:eastAsia="Arial" w:hAnsi="Arial"/>
                <w:sz w:val="18"/>
                <w:szCs w:val="18"/>
                <w:b w:val="1"/>
                <w:bCs w:val="1"/>
                <w:color w:val="FFFFFF"/>
              </w:rPr>
              <w:t>Proposal</w:t>
            </w:r>
          </w:p>
        </w:tc>
        <w:tc>
          <w:tcPr>
            <w:tcW w:w="2660" w:type="dxa"/>
            <w:vAlign w:val="bottom"/>
            <w:shd w:val="clear" w:color="auto" w:fill="0D3F64"/>
          </w:tcPr>
          <w:p>
            <w:pPr>
              <w:jc w:val="center"/>
              <w:ind w:left="950"/>
              <w:spacing w:after="0"/>
              <w:rPr>
                <w:sz w:val="20"/>
                <w:szCs w:val="20"/>
                <w:color w:val="auto"/>
              </w:rPr>
            </w:pPr>
            <w:r>
              <w:rPr>
                <w:rFonts w:ascii="Arial" w:cs="Arial" w:eastAsia="Arial" w:hAnsi="Arial"/>
                <w:sz w:val="18"/>
                <w:szCs w:val="18"/>
                <w:b w:val="1"/>
                <w:bCs w:val="1"/>
                <w:color w:val="FFFFFF"/>
                <w:w w:val="99"/>
              </w:rPr>
              <w:t>Recommendation</w:t>
            </w:r>
          </w:p>
        </w:tc>
      </w:tr>
      <w:tr>
        <w:trPr>
          <w:trHeight w:val="83"/>
        </w:trPr>
        <w:tc>
          <w:tcPr>
            <w:tcW w:w="5760" w:type="dxa"/>
            <w:vAlign w:val="bottom"/>
            <w:shd w:val="clear" w:color="auto" w:fill="0D3F64"/>
          </w:tcPr>
          <w:p>
            <w:pPr>
              <w:spacing w:after="0"/>
              <w:rPr>
                <w:sz w:val="7"/>
                <w:szCs w:val="7"/>
                <w:color w:val="auto"/>
              </w:rPr>
            </w:pPr>
          </w:p>
        </w:tc>
        <w:tc>
          <w:tcPr>
            <w:tcW w:w="2660" w:type="dxa"/>
            <w:vAlign w:val="bottom"/>
            <w:shd w:val="clear" w:color="auto" w:fill="0D3F64"/>
          </w:tcPr>
          <w:p>
            <w:pPr>
              <w:spacing w:after="0"/>
              <w:rPr>
                <w:sz w:val="7"/>
                <w:szCs w:val="7"/>
                <w:color w:val="auto"/>
              </w:rPr>
            </w:pPr>
          </w:p>
        </w:tc>
      </w:tr>
      <w:tr>
        <w:trPr>
          <w:trHeight w:val="336"/>
        </w:trPr>
        <w:tc>
          <w:tcPr>
            <w:tcW w:w="5760" w:type="dxa"/>
            <w:vAlign w:val="bottom"/>
          </w:tcPr>
          <w:p>
            <w:pPr>
              <w:ind w:left="20"/>
              <w:spacing w:after="0"/>
              <w:rPr>
                <w:sz w:val="20"/>
                <w:szCs w:val="20"/>
                <w:color w:val="auto"/>
              </w:rPr>
            </w:pPr>
            <w:r>
              <w:rPr>
                <w:rFonts w:ascii="Arial" w:cs="Arial" w:eastAsia="Arial" w:hAnsi="Arial"/>
                <w:sz w:val="18"/>
                <w:szCs w:val="18"/>
                <w:color w:val="4C4C4C"/>
              </w:rPr>
              <w:t>Election of five directors</w:t>
            </w:r>
          </w:p>
        </w:tc>
        <w:tc>
          <w:tcPr>
            <w:tcW w:w="2660" w:type="dxa"/>
            <w:vAlign w:val="bottom"/>
          </w:tcPr>
          <w:p>
            <w:pPr>
              <w:jc w:val="center"/>
              <w:ind w:left="930"/>
              <w:spacing w:after="0"/>
              <w:rPr>
                <w:sz w:val="20"/>
                <w:szCs w:val="20"/>
                <w:color w:val="auto"/>
              </w:rPr>
            </w:pPr>
            <w:r>
              <w:rPr>
                <w:rFonts w:ascii="Arial" w:cs="Arial" w:eastAsia="Arial" w:hAnsi="Arial"/>
                <w:sz w:val="18"/>
                <w:szCs w:val="18"/>
                <w:b w:val="1"/>
                <w:bCs w:val="1"/>
                <w:color w:val="4C4C4C"/>
                <w:w w:val="99"/>
              </w:rPr>
              <w:t xml:space="preserve">FOR </w:t>
            </w:r>
            <w:r>
              <w:rPr>
                <w:rFonts w:ascii="Arial" w:cs="Arial" w:eastAsia="Arial" w:hAnsi="Arial"/>
                <w:sz w:val="18"/>
                <w:szCs w:val="18"/>
                <w:color w:val="4C4C4C"/>
                <w:w w:val="99"/>
              </w:rPr>
              <w:t>each nominee</w:t>
            </w:r>
          </w:p>
        </w:tc>
      </w:tr>
      <w:tr>
        <w:trPr>
          <w:trHeight w:val="83"/>
        </w:trPr>
        <w:tc>
          <w:tcPr>
            <w:tcW w:w="5760" w:type="dxa"/>
            <w:vAlign w:val="bottom"/>
          </w:tcPr>
          <w:p>
            <w:pPr>
              <w:spacing w:after="0"/>
              <w:rPr>
                <w:sz w:val="7"/>
                <w:szCs w:val="7"/>
                <w:color w:val="auto"/>
              </w:rPr>
            </w:pPr>
          </w:p>
        </w:tc>
        <w:tc>
          <w:tcPr>
            <w:tcW w:w="2660" w:type="dxa"/>
            <w:vAlign w:val="bottom"/>
          </w:tcPr>
          <w:p>
            <w:pPr>
              <w:spacing w:after="0"/>
              <w:rPr>
                <w:sz w:val="7"/>
                <w:szCs w:val="7"/>
                <w:color w:val="auto"/>
              </w:rPr>
            </w:pPr>
          </w:p>
        </w:tc>
      </w:tr>
      <w:tr>
        <w:trPr>
          <w:trHeight w:val="336"/>
        </w:trPr>
        <w:tc>
          <w:tcPr>
            <w:tcW w:w="5760" w:type="dxa"/>
            <w:vAlign w:val="bottom"/>
            <w:shd w:val="clear" w:color="auto" w:fill="BAE2F8"/>
          </w:tcPr>
          <w:p>
            <w:pPr>
              <w:ind w:left="20"/>
              <w:spacing w:after="0"/>
              <w:rPr>
                <w:sz w:val="20"/>
                <w:szCs w:val="20"/>
                <w:color w:val="auto"/>
              </w:rPr>
            </w:pPr>
            <w:r>
              <w:rPr>
                <w:rFonts w:ascii="Arial" w:cs="Arial" w:eastAsia="Arial" w:hAnsi="Arial"/>
                <w:sz w:val="18"/>
                <w:szCs w:val="18"/>
                <w:color w:val="4C4C4C"/>
              </w:rPr>
              <w:t>Ratification of appointment of independent auditor for 2022</w:t>
            </w:r>
          </w:p>
        </w:tc>
        <w:tc>
          <w:tcPr>
            <w:tcW w:w="2660" w:type="dxa"/>
            <w:vAlign w:val="bottom"/>
            <w:shd w:val="clear" w:color="auto" w:fill="BAE2F8"/>
          </w:tcPr>
          <w:p>
            <w:pPr>
              <w:ind w:left="1060"/>
              <w:spacing w:after="0"/>
              <w:rPr>
                <w:sz w:val="20"/>
                <w:szCs w:val="20"/>
                <w:color w:val="auto"/>
              </w:rPr>
            </w:pPr>
            <w:r>
              <w:rPr>
                <w:rFonts w:ascii="Arial" w:cs="Arial" w:eastAsia="Arial" w:hAnsi="Arial"/>
                <w:sz w:val="18"/>
                <w:szCs w:val="18"/>
                <w:b w:val="1"/>
                <w:bCs w:val="1"/>
                <w:color w:val="4C4C4C"/>
              </w:rPr>
              <w:t>FOR</w:t>
            </w:r>
          </w:p>
        </w:tc>
      </w:tr>
      <w:tr>
        <w:trPr>
          <w:trHeight w:val="29"/>
        </w:trPr>
        <w:tc>
          <w:tcPr>
            <w:tcW w:w="5760" w:type="dxa"/>
            <w:vAlign w:val="bottom"/>
            <w:shd w:val="clear" w:color="auto" w:fill="BAE2F8"/>
          </w:tcPr>
          <w:p>
            <w:pPr>
              <w:spacing w:after="0"/>
              <w:rPr>
                <w:sz w:val="2"/>
                <w:szCs w:val="2"/>
                <w:color w:val="auto"/>
              </w:rPr>
            </w:pPr>
          </w:p>
        </w:tc>
        <w:tc>
          <w:tcPr>
            <w:tcW w:w="2660" w:type="dxa"/>
            <w:vAlign w:val="bottom"/>
            <w:shd w:val="clear" w:color="auto" w:fill="BAE2F8"/>
          </w:tcPr>
          <w:p>
            <w:pPr>
              <w:spacing w:after="0"/>
              <w:rPr>
                <w:sz w:val="2"/>
                <w:szCs w:val="2"/>
                <w:color w:val="auto"/>
              </w:rPr>
            </w:pPr>
          </w:p>
        </w:tc>
      </w:tr>
    </w:tbl>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0079C1"/>
        </w:rPr>
        <w:t>How to Cast Your Vote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4C4C4C"/>
              </w:rPr>
              <w:t>You can vote by any of the following methods:</w:t>
            </w:r>
          </w:p>
        </w:tc>
        <w:tc>
          <w:tcPr>
            <w:tcW w:w="4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0"/>
        </w:trPr>
        <w:tc>
          <w:tcPr>
            <w:tcW w:w="1300" w:type="dxa"/>
            <w:vAlign w:val="bottom"/>
          </w:tcPr>
          <w:p>
            <w:pPr>
              <w:spacing w:after="0"/>
              <w:rPr>
                <w:sz w:val="4"/>
                <w:szCs w:val="4"/>
                <w:color w:val="auto"/>
              </w:rPr>
            </w:pPr>
          </w:p>
        </w:tc>
        <w:tc>
          <w:tcPr>
            <w:tcW w:w="4100" w:type="dxa"/>
            <w:vAlign w:val="bottom"/>
            <w:gridSpan w:val="2"/>
          </w:tcPr>
          <w:p>
            <w:pPr>
              <w:spacing w:after="0"/>
              <w:rPr>
                <w:sz w:val="4"/>
                <w:szCs w:val="4"/>
                <w:color w:val="auto"/>
              </w:rPr>
            </w:pPr>
          </w:p>
        </w:tc>
        <w:tc>
          <w:tcPr>
            <w:tcW w:w="5620" w:type="dxa"/>
            <w:vAlign w:val="bottom"/>
            <w:gridSpan w:val="2"/>
          </w:tcPr>
          <w:p>
            <w:pPr>
              <w:spacing w:after="0"/>
              <w:rPr>
                <w:sz w:val="4"/>
                <w:szCs w:val="4"/>
                <w:color w:val="auto"/>
              </w:rPr>
            </w:pPr>
          </w:p>
        </w:tc>
      </w:tr>
      <w:tr>
        <w:trPr>
          <w:trHeight w:val="336"/>
        </w:trPr>
        <w:tc>
          <w:tcPr>
            <w:tcW w:w="1300" w:type="dxa"/>
            <w:vAlign w:val="bottom"/>
          </w:tcPr>
          <w:p>
            <w:pPr>
              <w:spacing w:after="0"/>
              <w:rPr>
                <w:sz w:val="24"/>
                <w:szCs w:val="24"/>
                <w:color w:val="auto"/>
              </w:rPr>
            </w:pPr>
          </w:p>
        </w:tc>
        <w:tc>
          <w:tcPr>
            <w:tcW w:w="4100" w:type="dxa"/>
            <w:vAlign w:val="bottom"/>
            <w:gridSpan w:val="2"/>
            <w:shd w:val="clear" w:color="auto" w:fill="0D3F64"/>
          </w:tcPr>
          <w:p>
            <w:pPr>
              <w:ind w:left="20"/>
              <w:spacing w:after="0"/>
              <w:rPr>
                <w:sz w:val="20"/>
                <w:szCs w:val="20"/>
                <w:color w:val="auto"/>
              </w:rPr>
            </w:pPr>
            <w:r>
              <w:rPr>
                <w:rFonts w:ascii="Arial" w:cs="Arial" w:eastAsia="Arial" w:hAnsi="Arial"/>
                <w:sz w:val="18"/>
                <w:szCs w:val="18"/>
                <w:b w:val="1"/>
                <w:bCs w:val="1"/>
                <w:color w:val="FFFFFF"/>
              </w:rPr>
              <w:t>Until 11:59 p.m., Eastern time, on June 29, 2022</w:t>
            </w:r>
          </w:p>
        </w:tc>
        <w:tc>
          <w:tcPr>
            <w:tcW w:w="4320" w:type="dxa"/>
            <w:vAlign w:val="bottom"/>
            <w:shd w:val="clear" w:color="auto" w:fill="0D3F64"/>
          </w:tcPr>
          <w:p>
            <w:pPr>
              <w:ind w:left="500"/>
              <w:spacing w:after="0"/>
              <w:rPr>
                <w:sz w:val="20"/>
                <w:szCs w:val="20"/>
                <w:color w:val="auto"/>
              </w:rPr>
            </w:pPr>
            <w:r>
              <w:rPr>
                <w:rFonts w:ascii="Arial" w:cs="Arial" w:eastAsia="Arial" w:hAnsi="Arial"/>
                <w:sz w:val="18"/>
                <w:szCs w:val="18"/>
                <w:b w:val="1"/>
                <w:bCs w:val="1"/>
                <w:color w:val="FFFFFF"/>
              </w:rPr>
              <w:t>At the Annual Meeting on June 30, 2022</w:t>
            </w:r>
          </w:p>
        </w:tc>
        <w:tc>
          <w:tcPr>
            <w:tcW w:w="1300" w:type="dxa"/>
            <w:vAlign w:val="bottom"/>
          </w:tcPr>
          <w:p>
            <w:pPr>
              <w:spacing w:after="0"/>
              <w:rPr>
                <w:sz w:val="24"/>
                <w:szCs w:val="24"/>
                <w:color w:val="auto"/>
              </w:rPr>
            </w:pPr>
          </w:p>
        </w:tc>
      </w:tr>
      <w:tr>
        <w:trPr>
          <w:trHeight w:val="83"/>
        </w:trPr>
        <w:tc>
          <w:tcPr>
            <w:tcW w:w="1300" w:type="dxa"/>
            <w:vAlign w:val="bottom"/>
          </w:tcPr>
          <w:p>
            <w:pPr>
              <w:spacing w:after="0"/>
              <w:rPr>
                <w:sz w:val="7"/>
                <w:szCs w:val="7"/>
                <w:color w:val="auto"/>
              </w:rPr>
            </w:pPr>
          </w:p>
        </w:tc>
        <w:tc>
          <w:tcPr>
            <w:tcW w:w="180" w:type="dxa"/>
            <w:vAlign w:val="bottom"/>
            <w:shd w:val="clear" w:color="auto" w:fill="0D3F64"/>
          </w:tcPr>
          <w:p>
            <w:pPr>
              <w:spacing w:after="0"/>
              <w:rPr>
                <w:sz w:val="7"/>
                <w:szCs w:val="7"/>
                <w:color w:val="auto"/>
              </w:rPr>
            </w:pPr>
          </w:p>
        </w:tc>
        <w:tc>
          <w:tcPr>
            <w:tcW w:w="3920" w:type="dxa"/>
            <w:vAlign w:val="bottom"/>
            <w:shd w:val="clear" w:color="auto" w:fill="0D3F64"/>
          </w:tcPr>
          <w:p>
            <w:pPr>
              <w:spacing w:after="0"/>
              <w:rPr>
                <w:sz w:val="7"/>
                <w:szCs w:val="7"/>
                <w:color w:val="auto"/>
              </w:rPr>
            </w:pPr>
          </w:p>
        </w:tc>
        <w:tc>
          <w:tcPr>
            <w:tcW w:w="4320" w:type="dxa"/>
            <w:vAlign w:val="bottom"/>
            <w:shd w:val="clear" w:color="auto" w:fill="0D3F64"/>
          </w:tcPr>
          <w:p>
            <w:pPr>
              <w:spacing w:after="0"/>
              <w:rPr>
                <w:sz w:val="7"/>
                <w:szCs w:val="7"/>
                <w:color w:val="auto"/>
              </w:rPr>
            </w:pPr>
          </w:p>
        </w:tc>
        <w:tc>
          <w:tcPr>
            <w:tcW w:w="1300" w:type="dxa"/>
            <w:vAlign w:val="bottom"/>
          </w:tcPr>
          <w:p>
            <w:pPr>
              <w:spacing w:after="0"/>
              <w:rPr>
                <w:sz w:val="7"/>
                <w:szCs w:val="7"/>
                <w:color w:val="auto"/>
              </w:rPr>
            </w:pPr>
          </w:p>
        </w:tc>
      </w:tr>
      <w:tr>
        <w:trPr>
          <w:trHeight w:val="294"/>
        </w:trPr>
        <w:tc>
          <w:tcPr>
            <w:tcW w:w="13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4694D0"/>
              </w:rPr>
              <w:t>•</w:t>
            </w:r>
          </w:p>
        </w:tc>
        <w:tc>
          <w:tcPr>
            <w:tcW w:w="3920" w:type="dxa"/>
            <w:vAlign w:val="bottom"/>
          </w:tcPr>
          <w:p>
            <w:pPr>
              <w:ind w:left="80"/>
              <w:spacing w:after="0"/>
              <w:rPr>
                <w:sz w:val="20"/>
                <w:szCs w:val="20"/>
                <w:color w:val="auto"/>
              </w:rPr>
            </w:pPr>
            <w:r>
              <w:rPr>
                <w:rFonts w:ascii="Arial" w:cs="Arial" w:eastAsia="Arial" w:hAnsi="Arial"/>
                <w:sz w:val="18"/>
                <w:szCs w:val="18"/>
                <w:b w:val="1"/>
                <w:bCs w:val="1"/>
                <w:color w:val="4C4C4C"/>
              </w:rPr>
              <w:t xml:space="preserve">Internet:  </w:t>
            </w:r>
            <w:r>
              <w:rPr>
                <w:rFonts w:ascii="Arial" w:cs="Arial" w:eastAsia="Arial" w:hAnsi="Arial"/>
                <w:sz w:val="18"/>
                <w:szCs w:val="18"/>
                <w:color w:val="4C4C4C"/>
              </w:rPr>
              <w:t>From  any  web-enabled  device  at</w:t>
            </w:r>
          </w:p>
        </w:tc>
        <w:tc>
          <w:tcPr>
            <w:tcW w:w="5620" w:type="dxa"/>
            <w:vAlign w:val="bottom"/>
            <w:gridSpan w:val="2"/>
          </w:tcPr>
          <w:p>
            <w:pPr>
              <w:ind w:left="500"/>
              <w:spacing w:after="0"/>
              <w:rPr>
                <w:sz w:val="20"/>
                <w:szCs w:val="20"/>
                <w:color w:val="auto"/>
              </w:rPr>
            </w:pPr>
            <w:r>
              <w:rPr>
                <w:rFonts w:ascii="Arial" w:cs="Arial" w:eastAsia="Arial" w:hAnsi="Arial"/>
                <w:sz w:val="18"/>
                <w:szCs w:val="18"/>
                <w:color w:val="4694D0"/>
              </w:rPr>
              <w:t xml:space="preserve">•  </w:t>
            </w:r>
            <w:r>
              <w:rPr>
                <w:rFonts w:ascii="Arial" w:cs="Arial" w:eastAsia="Arial" w:hAnsi="Arial"/>
                <w:sz w:val="18"/>
                <w:szCs w:val="18"/>
                <w:b w:val="1"/>
                <w:bCs w:val="1"/>
                <w:color w:val="4C4C4C"/>
              </w:rPr>
              <w:t>Internet:</w:t>
            </w:r>
            <w:r>
              <w:rPr>
                <w:rFonts w:ascii="Arial" w:cs="Arial" w:eastAsia="Arial" w:hAnsi="Arial"/>
                <w:sz w:val="18"/>
                <w:szCs w:val="18"/>
                <w:color w:val="4694D0"/>
              </w:rPr>
              <w:t xml:space="preserve">  </w:t>
            </w:r>
            <w:r>
              <w:rPr>
                <w:rFonts w:ascii="Arial" w:cs="Arial" w:eastAsia="Arial" w:hAnsi="Arial"/>
                <w:sz w:val="18"/>
                <w:szCs w:val="18"/>
                <w:color w:val="4C4C4C"/>
              </w:rPr>
              <w:t>Joining  the  Annual  Meeting  at</w:t>
            </w:r>
          </w:p>
        </w:tc>
      </w:tr>
      <w:tr>
        <w:trPr>
          <w:trHeight w:val="237"/>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Arial" w:cs="Arial" w:eastAsia="Arial" w:hAnsi="Arial"/>
                <w:sz w:val="18"/>
                <w:szCs w:val="18"/>
                <w:i w:val="1"/>
                <w:iCs w:val="1"/>
                <w:color w:val="4C4C4C"/>
              </w:rPr>
              <w:t>proxyvote.com</w:t>
            </w:r>
          </w:p>
        </w:tc>
        <w:tc>
          <w:tcPr>
            <w:tcW w:w="5620" w:type="dxa"/>
            <w:vAlign w:val="bottom"/>
            <w:gridSpan w:val="2"/>
          </w:tcPr>
          <w:p>
            <w:pPr>
              <w:ind w:left="720"/>
              <w:spacing w:after="0"/>
              <w:rPr>
                <w:sz w:val="20"/>
                <w:szCs w:val="20"/>
                <w:color w:val="auto"/>
              </w:rPr>
            </w:pPr>
            <w:r>
              <w:rPr>
                <w:rFonts w:ascii="Arial" w:cs="Arial" w:eastAsia="Arial" w:hAnsi="Arial"/>
                <w:sz w:val="18"/>
                <w:szCs w:val="18"/>
                <w:i w:val="1"/>
                <w:iCs w:val="1"/>
                <w:color w:val="4C4C4C"/>
              </w:rPr>
              <w:t>virtualshareholdermeeting.com/ACMR2022</w:t>
            </w:r>
          </w:p>
        </w:tc>
      </w:tr>
      <w:tr>
        <w:trPr>
          <w:trHeight w:val="426"/>
        </w:trPr>
        <w:tc>
          <w:tcPr>
            <w:tcW w:w="13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4694D0"/>
              </w:rPr>
              <w:t>•</w:t>
            </w:r>
          </w:p>
        </w:tc>
        <w:tc>
          <w:tcPr>
            <w:tcW w:w="3920" w:type="dxa"/>
            <w:vAlign w:val="bottom"/>
          </w:tcPr>
          <w:p>
            <w:pPr>
              <w:ind w:left="80"/>
              <w:spacing w:after="0"/>
              <w:rPr>
                <w:sz w:val="20"/>
                <w:szCs w:val="20"/>
                <w:color w:val="auto"/>
              </w:rPr>
            </w:pPr>
            <w:r>
              <w:rPr>
                <w:rFonts w:ascii="Arial" w:cs="Arial" w:eastAsia="Arial" w:hAnsi="Arial"/>
                <w:sz w:val="18"/>
                <w:szCs w:val="18"/>
                <w:b w:val="1"/>
                <w:bCs w:val="1"/>
                <w:color w:val="4C4C4C"/>
              </w:rPr>
              <w:t xml:space="preserve">Telephone: </w:t>
            </w:r>
            <w:r>
              <w:rPr>
                <w:rFonts w:ascii="Arial" w:cs="Arial" w:eastAsia="Arial" w:hAnsi="Arial"/>
                <w:sz w:val="18"/>
                <w:szCs w:val="18"/>
                <w:color w:val="4C4C4C"/>
              </w:rPr>
              <w:t>+1.800.690.6903</w:t>
            </w:r>
          </w:p>
        </w:tc>
        <w:tc>
          <w:tcPr>
            <w:tcW w:w="4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8"/>
        </w:trPr>
        <w:tc>
          <w:tcPr>
            <w:tcW w:w="1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4694D0"/>
              </w:rPr>
              <w:t xml:space="preserve">•  </w:t>
            </w:r>
            <w:r>
              <w:rPr>
                <w:rFonts w:ascii="Arial" w:cs="Arial" w:eastAsia="Arial" w:hAnsi="Arial"/>
                <w:sz w:val="18"/>
                <w:szCs w:val="18"/>
                <w:color w:val="4C4C4C"/>
              </w:rPr>
              <w:t>Completed, signed and returned</w:t>
            </w:r>
            <w:r>
              <w:rPr>
                <w:rFonts w:ascii="Arial" w:cs="Arial" w:eastAsia="Arial" w:hAnsi="Arial"/>
                <w:sz w:val="18"/>
                <w:szCs w:val="18"/>
                <w:color w:val="4694D0"/>
              </w:rPr>
              <w:t xml:space="preserve"> </w:t>
            </w:r>
            <w:r>
              <w:rPr>
                <w:rFonts w:ascii="Arial" w:cs="Arial" w:eastAsia="Arial" w:hAnsi="Arial"/>
                <w:sz w:val="18"/>
                <w:szCs w:val="18"/>
                <w:b w:val="1"/>
                <w:bCs w:val="1"/>
                <w:color w:val="4C4C4C"/>
              </w:rPr>
              <w:t>proxy card</w:t>
            </w:r>
          </w:p>
        </w:tc>
        <w:tc>
          <w:tcPr>
            <w:tcW w:w="4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73"/>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320" w:type="dxa"/>
            <w:vAlign w:val="bottom"/>
          </w:tcPr>
          <w:p>
            <w:pPr>
              <w:jc w:val="right"/>
              <w:ind w:right="4070"/>
              <w:spacing w:after="0"/>
              <w:rPr>
                <w:sz w:val="20"/>
                <w:szCs w:val="20"/>
                <w:color w:val="auto"/>
              </w:rPr>
            </w:pPr>
            <w:r>
              <w:rPr>
                <w:rFonts w:ascii="Arial" w:cs="Arial" w:eastAsia="Arial" w:hAnsi="Arial"/>
                <w:sz w:val="18"/>
                <w:szCs w:val="18"/>
                <w:color w:val="auto"/>
              </w:rPr>
              <w:t>1</w:t>
            </w:r>
          </w:p>
        </w:tc>
        <w:tc>
          <w:tcPr>
            <w:tcW w:w="1300" w:type="dxa"/>
            <w:vAlign w:val="bottom"/>
          </w:tcPr>
          <w:p>
            <w:pPr>
              <w:spacing w:after="0"/>
              <w:rPr>
                <w:sz w:val="24"/>
                <w:szCs w:val="24"/>
                <w:color w:val="auto"/>
              </w:rPr>
            </w:pPr>
          </w:p>
        </w:tc>
      </w:tr>
      <w:tr>
        <w:trPr>
          <w:trHeight w:val="341"/>
        </w:trPr>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371"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510540</wp:posOffset>
            </wp:positionH>
            <wp:positionV relativeFrom="page">
              <wp:posOffset>116840</wp:posOffset>
            </wp:positionV>
            <wp:extent cx="6527800" cy="80791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27800" cy="8079105"/>
                    </a:xfrm>
                    <a:prstGeom prst="rect">
                      <a:avLst/>
                    </a:prstGeom>
                    <a:noFill/>
                  </pic:spPr>
                </pic:pic>
              </a:graphicData>
            </a:graphic>
          </wp:anchor>
        </w:drawing>
        <w:t>TABLE OF CONTENTS</w:t>
      </w:r>
    </w:p>
    <w:p>
      <w:pPr>
        <w:spacing w:after="0" w:line="186" w:lineRule="exact"/>
        <w:rPr>
          <w:sz w:val="20"/>
          <w:szCs w:val="20"/>
          <w:color w:val="auto"/>
        </w:rPr>
      </w:pPr>
    </w:p>
    <w:p>
      <w:pPr>
        <w:ind w:left="1580"/>
        <w:spacing w:after="0"/>
        <w:rPr>
          <w:sz w:val="20"/>
          <w:szCs w:val="20"/>
          <w:color w:val="auto"/>
        </w:rPr>
      </w:pPr>
      <w:r>
        <w:rPr>
          <w:rFonts w:ascii="Arial" w:cs="Arial" w:eastAsia="Arial" w:hAnsi="Arial"/>
          <w:sz w:val="22"/>
          <w:szCs w:val="22"/>
          <w:b w:val="1"/>
          <w:bCs w:val="1"/>
          <w:color w:val="0079C1"/>
        </w:rPr>
        <w:t>Election of Directors</w:t>
      </w:r>
    </w:p>
    <w:p>
      <w:pPr>
        <w:spacing w:after="0" w:line="324" w:lineRule="exact"/>
        <w:rPr>
          <w:sz w:val="20"/>
          <w:szCs w:val="20"/>
          <w:color w:val="auto"/>
        </w:rPr>
      </w:pPr>
    </w:p>
    <w:p>
      <w:pPr>
        <w:jc w:val="both"/>
        <w:ind w:left="880" w:right="299"/>
        <w:spacing w:after="0" w:line="244" w:lineRule="auto"/>
        <w:rPr>
          <w:sz w:val="20"/>
          <w:szCs w:val="20"/>
          <w:color w:val="auto"/>
        </w:rPr>
      </w:pPr>
      <w:r>
        <w:rPr>
          <w:rFonts w:ascii="Arial" w:cs="Arial" w:eastAsia="Arial" w:hAnsi="Arial"/>
          <w:sz w:val="18"/>
          <w:szCs w:val="18"/>
          <w:color w:val="4C4C4C"/>
        </w:rPr>
        <w:t>As our first proposal, we are asking stockholders to elect the following five director nominees, four of whom currently serve as members of the board of directors and one of whom, Xiao Xing, has been nominated for initial election at the Annual Meeting. Yinan Xiang, who currently is a director, has chosen not to stand for re-election. We are thankful to Ms. Xiang for her five years of board service. The following presents information as of April 7, 2022 with respect to each director nominee:</w:t>
      </w:r>
    </w:p>
    <w:p>
      <w:pPr>
        <w:spacing w:after="0" w:line="60" w:lineRule="exact"/>
        <w:rPr>
          <w:sz w:val="20"/>
          <w:szCs w:val="20"/>
          <w:color w:val="auto"/>
        </w:rPr>
      </w:pPr>
    </w:p>
    <w:tbl>
      <w:tblPr>
        <w:tblLayout w:type="fixed"/>
        <w:tblInd w:w="880" w:type="dxa"/>
        <w:tblCellMar>
          <w:top w:w="0" w:type="dxa"/>
          <w:left w:w="0" w:type="dxa"/>
          <w:bottom w:w="0" w:type="dxa"/>
          <w:right w:w="0" w:type="dxa"/>
        </w:tblCellMar>
      </w:tblPr>
      <w:tr>
        <w:trPr>
          <w:trHeight w:val="262"/>
        </w:trPr>
        <w:tc>
          <w:tcPr>
            <w:tcW w:w="1080" w:type="dxa"/>
            <w:vAlign w:val="bottom"/>
            <w:shd w:val="clear" w:color="auto" w:fill="0D3F64"/>
          </w:tcPr>
          <w:p>
            <w:pPr>
              <w:spacing w:after="0"/>
              <w:rPr>
                <w:sz w:val="22"/>
                <w:szCs w:val="22"/>
                <w:color w:val="auto"/>
              </w:rPr>
            </w:pPr>
          </w:p>
        </w:tc>
        <w:tc>
          <w:tcPr>
            <w:tcW w:w="360" w:type="dxa"/>
            <w:vAlign w:val="bottom"/>
            <w:shd w:val="clear" w:color="auto" w:fill="0D3F64"/>
          </w:tcPr>
          <w:p>
            <w:pPr>
              <w:spacing w:after="0"/>
              <w:rPr>
                <w:sz w:val="22"/>
                <w:szCs w:val="22"/>
                <w:color w:val="auto"/>
              </w:rPr>
            </w:pPr>
          </w:p>
        </w:tc>
        <w:tc>
          <w:tcPr>
            <w:tcW w:w="580" w:type="dxa"/>
            <w:vAlign w:val="bottom"/>
            <w:shd w:val="clear" w:color="auto" w:fill="0D3F64"/>
          </w:tcPr>
          <w:p>
            <w:pPr>
              <w:spacing w:after="0"/>
              <w:rPr>
                <w:sz w:val="22"/>
                <w:szCs w:val="22"/>
                <w:color w:val="auto"/>
              </w:rPr>
            </w:pPr>
          </w:p>
        </w:tc>
        <w:tc>
          <w:tcPr>
            <w:tcW w:w="1820" w:type="dxa"/>
            <w:vAlign w:val="bottom"/>
            <w:shd w:val="clear" w:color="auto" w:fill="0D3F64"/>
          </w:tcPr>
          <w:p>
            <w:pPr>
              <w:spacing w:after="0"/>
              <w:rPr>
                <w:sz w:val="22"/>
                <w:szCs w:val="22"/>
                <w:color w:val="auto"/>
              </w:rPr>
            </w:pPr>
          </w:p>
        </w:tc>
        <w:tc>
          <w:tcPr>
            <w:tcW w:w="160" w:type="dxa"/>
            <w:vAlign w:val="bottom"/>
            <w:shd w:val="clear" w:color="auto" w:fill="0D3F64"/>
          </w:tcPr>
          <w:p>
            <w:pPr>
              <w:spacing w:after="0"/>
              <w:rPr>
                <w:sz w:val="22"/>
                <w:szCs w:val="22"/>
                <w:color w:val="auto"/>
              </w:rPr>
            </w:pPr>
          </w:p>
        </w:tc>
        <w:tc>
          <w:tcPr>
            <w:tcW w:w="1080" w:type="dxa"/>
            <w:vAlign w:val="bottom"/>
            <w:shd w:val="clear" w:color="auto" w:fill="0D3F64"/>
          </w:tcPr>
          <w:p>
            <w:pPr>
              <w:spacing w:after="0"/>
              <w:rPr>
                <w:sz w:val="22"/>
                <w:szCs w:val="22"/>
                <w:color w:val="auto"/>
              </w:rPr>
            </w:pPr>
          </w:p>
        </w:tc>
        <w:tc>
          <w:tcPr>
            <w:tcW w:w="800" w:type="dxa"/>
            <w:vAlign w:val="bottom"/>
            <w:gridSpan w:val="2"/>
            <w:shd w:val="clear" w:color="auto" w:fill="0D3F64"/>
          </w:tcPr>
          <w:p>
            <w:pPr>
              <w:spacing w:after="0"/>
              <w:rPr>
                <w:sz w:val="20"/>
                <w:szCs w:val="20"/>
                <w:color w:val="auto"/>
              </w:rPr>
            </w:pPr>
            <w:r>
              <w:rPr>
                <w:rFonts w:ascii="Arial" w:cs="Arial" w:eastAsia="Arial" w:hAnsi="Arial"/>
                <w:sz w:val="13"/>
                <w:szCs w:val="13"/>
                <w:b w:val="1"/>
                <w:bCs w:val="1"/>
                <w:color w:val="FFFFFF"/>
              </w:rPr>
              <w:t>Independent</w:t>
            </w:r>
          </w:p>
        </w:tc>
        <w:tc>
          <w:tcPr>
            <w:tcW w:w="160" w:type="dxa"/>
            <w:vAlign w:val="bottom"/>
            <w:shd w:val="clear" w:color="auto" w:fill="0D3F64"/>
          </w:tcPr>
          <w:p>
            <w:pPr>
              <w:spacing w:after="0"/>
              <w:rPr>
                <w:sz w:val="22"/>
                <w:szCs w:val="22"/>
                <w:color w:val="auto"/>
              </w:rPr>
            </w:pPr>
          </w:p>
        </w:tc>
        <w:tc>
          <w:tcPr>
            <w:tcW w:w="1000" w:type="dxa"/>
            <w:vAlign w:val="bottom"/>
            <w:shd w:val="clear" w:color="auto" w:fill="0D3F64"/>
          </w:tcPr>
          <w:p>
            <w:pPr>
              <w:spacing w:after="0"/>
              <w:rPr>
                <w:sz w:val="22"/>
                <w:szCs w:val="22"/>
                <w:color w:val="auto"/>
              </w:rPr>
            </w:pPr>
          </w:p>
        </w:tc>
        <w:tc>
          <w:tcPr>
            <w:tcW w:w="1380" w:type="dxa"/>
            <w:vAlign w:val="bottom"/>
            <w:shd w:val="clear" w:color="auto" w:fill="0D3F64"/>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080" w:type="dxa"/>
            <w:vAlign w:val="bottom"/>
            <w:vMerge w:val="restart"/>
            <w:shd w:val="clear" w:color="auto" w:fill="0D3F64"/>
          </w:tcPr>
          <w:p>
            <w:pPr>
              <w:ind w:left="20"/>
              <w:spacing w:after="0"/>
              <w:rPr>
                <w:sz w:val="20"/>
                <w:szCs w:val="20"/>
                <w:color w:val="auto"/>
              </w:rPr>
            </w:pPr>
            <w:r>
              <w:rPr>
                <w:rFonts w:ascii="Arial" w:cs="Arial" w:eastAsia="Arial" w:hAnsi="Arial"/>
                <w:sz w:val="13"/>
                <w:szCs w:val="13"/>
                <w:b w:val="1"/>
                <w:bCs w:val="1"/>
                <w:color w:val="FFFFFF"/>
              </w:rPr>
              <w:t>Name</w:t>
            </w:r>
          </w:p>
        </w:tc>
        <w:tc>
          <w:tcPr>
            <w:tcW w:w="360" w:type="dxa"/>
            <w:vAlign w:val="bottom"/>
            <w:vMerge w:val="restart"/>
            <w:shd w:val="clear" w:color="auto" w:fill="0D3F64"/>
          </w:tcPr>
          <w:p>
            <w:pPr>
              <w:jc w:val="center"/>
              <w:spacing w:after="0"/>
              <w:rPr>
                <w:sz w:val="20"/>
                <w:szCs w:val="20"/>
                <w:color w:val="auto"/>
              </w:rPr>
            </w:pPr>
            <w:r>
              <w:rPr>
                <w:rFonts w:ascii="Arial" w:cs="Arial" w:eastAsia="Arial" w:hAnsi="Arial"/>
                <w:sz w:val="13"/>
                <w:szCs w:val="13"/>
                <w:b w:val="1"/>
                <w:bCs w:val="1"/>
                <w:color w:val="FFFFFF"/>
                <w:w w:val="97"/>
              </w:rPr>
              <w:t>Age</w:t>
            </w:r>
          </w:p>
        </w:tc>
        <w:tc>
          <w:tcPr>
            <w:tcW w:w="580" w:type="dxa"/>
            <w:vAlign w:val="bottom"/>
            <w:shd w:val="clear" w:color="auto" w:fill="0D3F64"/>
          </w:tcPr>
          <w:p>
            <w:pPr>
              <w:jc w:val="center"/>
              <w:spacing w:after="0"/>
              <w:rPr>
                <w:sz w:val="20"/>
                <w:szCs w:val="20"/>
                <w:color w:val="auto"/>
              </w:rPr>
            </w:pPr>
            <w:r>
              <w:rPr>
                <w:rFonts w:ascii="Arial" w:cs="Arial" w:eastAsia="Arial" w:hAnsi="Arial"/>
                <w:sz w:val="13"/>
                <w:szCs w:val="13"/>
                <w:b w:val="1"/>
                <w:bCs w:val="1"/>
                <w:color w:val="FFFFFF"/>
                <w:w w:val="96"/>
              </w:rPr>
              <w:t>Director</w:t>
            </w:r>
          </w:p>
        </w:tc>
        <w:tc>
          <w:tcPr>
            <w:tcW w:w="1820" w:type="dxa"/>
            <w:vAlign w:val="bottom"/>
            <w:vMerge w:val="restart"/>
            <w:shd w:val="clear" w:color="auto" w:fill="0D3F64"/>
          </w:tcPr>
          <w:p>
            <w:pPr>
              <w:ind w:left="580"/>
              <w:spacing w:after="0"/>
              <w:rPr>
                <w:sz w:val="20"/>
                <w:szCs w:val="20"/>
                <w:color w:val="auto"/>
              </w:rPr>
            </w:pPr>
            <w:r>
              <w:rPr>
                <w:rFonts w:ascii="Arial" w:cs="Arial" w:eastAsia="Arial" w:hAnsi="Arial"/>
                <w:sz w:val="13"/>
                <w:szCs w:val="13"/>
                <w:b w:val="1"/>
                <w:bCs w:val="1"/>
                <w:color w:val="FFFFFF"/>
              </w:rPr>
              <w:t>Occupation</w:t>
            </w:r>
          </w:p>
        </w:tc>
        <w:tc>
          <w:tcPr>
            <w:tcW w:w="160" w:type="dxa"/>
            <w:vAlign w:val="bottom"/>
            <w:shd w:val="clear" w:color="auto" w:fill="0D3F64"/>
          </w:tcPr>
          <w:p>
            <w:pPr>
              <w:spacing w:after="0"/>
              <w:rPr>
                <w:sz w:val="14"/>
                <w:szCs w:val="14"/>
                <w:color w:val="auto"/>
              </w:rPr>
            </w:pPr>
          </w:p>
        </w:tc>
        <w:tc>
          <w:tcPr>
            <w:tcW w:w="1080" w:type="dxa"/>
            <w:vAlign w:val="bottom"/>
            <w:shd w:val="clear" w:color="auto" w:fill="0D3F64"/>
          </w:tcPr>
          <w:p>
            <w:pPr>
              <w:ind w:left="80"/>
              <w:spacing w:after="0"/>
              <w:rPr>
                <w:sz w:val="20"/>
                <w:szCs w:val="20"/>
                <w:color w:val="auto"/>
              </w:rPr>
            </w:pPr>
            <w:r>
              <w:rPr>
                <w:rFonts w:ascii="Arial" w:cs="Arial" w:eastAsia="Arial" w:hAnsi="Arial"/>
                <w:sz w:val="13"/>
                <w:szCs w:val="13"/>
                <w:b w:val="1"/>
                <w:bCs w:val="1"/>
                <w:color w:val="FFFFFF"/>
              </w:rPr>
              <w:t>Experience/</w:t>
            </w:r>
          </w:p>
        </w:tc>
        <w:tc>
          <w:tcPr>
            <w:tcW w:w="440" w:type="dxa"/>
            <w:vAlign w:val="bottom"/>
            <w:vMerge w:val="restart"/>
            <w:shd w:val="clear" w:color="auto" w:fill="0D3F64"/>
          </w:tcPr>
          <w:p>
            <w:pPr>
              <w:jc w:val="center"/>
              <w:spacing w:after="0"/>
              <w:rPr>
                <w:sz w:val="20"/>
                <w:szCs w:val="20"/>
                <w:color w:val="auto"/>
              </w:rPr>
            </w:pPr>
            <w:r>
              <w:rPr>
                <w:rFonts w:ascii="Arial" w:cs="Arial" w:eastAsia="Arial" w:hAnsi="Arial"/>
                <w:sz w:val="13"/>
                <w:szCs w:val="13"/>
                <w:b w:val="1"/>
                <w:bCs w:val="1"/>
                <w:color w:val="FFFFFF"/>
                <w:w w:val="94"/>
              </w:rPr>
              <w:t>Yes</w:t>
            </w:r>
          </w:p>
        </w:tc>
        <w:tc>
          <w:tcPr>
            <w:tcW w:w="360" w:type="dxa"/>
            <w:vAlign w:val="bottom"/>
            <w:vMerge w:val="restart"/>
            <w:shd w:val="clear" w:color="auto" w:fill="0D3F64"/>
          </w:tcPr>
          <w:p>
            <w:pPr>
              <w:jc w:val="center"/>
              <w:spacing w:after="0"/>
              <w:rPr>
                <w:sz w:val="20"/>
                <w:szCs w:val="20"/>
                <w:color w:val="auto"/>
              </w:rPr>
            </w:pPr>
            <w:r>
              <w:rPr>
                <w:rFonts w:ascii="Arial" w:cs="Arial" w:eastAsia="Arial" w:hAnsi="Arial"/>
                <w:sz w:val="13"/>
                <w:szCs w:val="13"/>
                <w:b w:val="1"/>
                <w:bCs w:val="1"/>
                <w:color w:val="FFFFFF"/>
                <w:w w:val="92"/>
              </w:rPr>
              <w:t>No</w:t>
            </w:r>
          </w:p>
        </w:tc>
        <w:tc>
          <w:tcPr>
            <w:tcW w:w="160" w:type="dxa"/>
            <w:vAlign w:val="bottom"/>
            <w:shd w:val="clear" w:color="auto" w:fill="0D3F64"/>
          </w:tcPr>
          <w:p>
            <w:pPr>
              <w:spacing w:after="0"/>
              <w:rPr>
                <w:sz w:val="14"/>
                <w:szCs w:val="14"/>
                <w:color w:val="auto"/>
              </w:rPr>
            </w:pPr>
          </w:p>
        </w:tc>
        <w:tc>
          <w:tcPr>
            <w:tcW w:w="1000" w:type="dxa"/>
            <w:vAlign w:val="bottom"/>
            <w:shd w:val="clear" w:color="auto" w:fill="0D3F64"/>
          </w:tcPr>
          <w:p>
            <w:pPr>
              <w:ind w:left="80"/>
              <w:spacing w:after="0"/>
              <w:rPr>
                <w:sz w:val="20"/>
                <w:szCs w:val="20"/>
                <w:color w:val="auto"/>
              </w:rPr>
            </w:pPr>
            <w:r>
              <w:rPr>
                <w:rFonts w:ascii="Arial" w:cs="Arial" w:eastAsia="Arial" w:hAnsi="Arial"/>
                <w:sz w:val="13"/>
                <w:szCs w:val="13"/>
                <w:b w:val="1"/>
                <w:bCs w:val="1"/>
                <w:color w:val="FFFFFF"/>
              </w:rPr>
              <w:t>Committee</w:t>
            </w:r>
          </w:p>
        </w:tc>
        <w:tc>
          <w:tcPr>
            <w:tcW w:w="1380" w:type="dxa"/>
            <w:vAlign w:val="bottom"/>
            <w:vMerge w:val="restart"/>
            <w:shd w:val="clear" w:color="auto" w:fill="0D3F64"/>
          </w:tcPr>
          <w:p>
            <w:pPr>
              <w:ind w:left="300"/>
              <w:spacing w:after="0"/>
              <w:rPr>
                <w:sz w:val="20"/>
                <w:szCs w:val="20"/>
                <w:color w:val="auto"/>
              </w:rPr>
            </w:pPr>
            <w:r>
              <w:rPr>
                <w:rFonts w:ascii="Arial" w:cs="Arial" w:eastAsia="Arial" w:hAnsi="Arial"/>
                <w:sz w:val="13"/>
                <w:szCs w:val="13"/>
                <w:b w:val="1"/>
                <w:bCs w:val="1"/>
                <w:color w:val="FFFFFF"/>
              </w:rPr>
              <w:t>Other Boards</w:t>
            </w:r>
          </w:p>
        </w:tc>
        <w:tc>
          <w:tcPr>
            <w:tcW w:w="0" w:type="dxa"/>
            <w:vAlign w:val="bottom"/>
          </w:tcPr>
          <w:p>
            <w:pPr>
              <w:spacing w:after="0"/>
              <w:rPr>
                <w:sz w:val="1"/>
                <w:szCs w:val="1"/>
                <w:color w:val="auto"/>
              </w:rPr>
            </w:pPr>
          </w:p>
        </w:tc>
      </w:tr>
      <w:tr>
        <w:trPr>
          <w:trHeight w:val="172"/>
        </w:trPr>
        <w:tc>
          <w:tcPr>
            <w:tcW w:w="1080" w:type="dxa"/>
            <w:vAlign w:val="bottom"/>
            <w:vMerge w:val="continue"/>
            <w:shd w:val="clear" w:color="auto" w:fill="0D3F64"/>
          </w:tcPr>
          <w:p>
            <w:pPr>
              <w:spacing w:after="0"/>
              <w:rPr>
                <w:sz w:val="14"/>
                <w:szCs w:val="14"/>
                <w:color w:val="auto"/>
              </w:rPr>
            </w:pPr>
          </w:p>
        </w:tc>
        <w:tc>
          <w:tcPr>
            <w:tcW w:w="360" w:type="dxa"/>
            <w:vAlign w:val="bottom"/>
            <w:vMerge w:val="continue"/>
            <w:shd w:val="clear" w:color="auto" w:fill="0D3F64"/>
          </w:tcPr>
          <w:p>
            <w:pPr>
              <w:spacing w:after="0"/>
              <w:rPr>
                <w:sz w:val="14"/>
                <w:szCs w:val="14"/>
                <w:color w:val="auto"/>
              </w:rPr>
            </w:pPr>
          </w:p>
        </w:tc>
        <w:tc>
          <w:tcPr>
            <w:tcW w:w="580" w:type="dxa"/>
            <w:vAlign w:val="bottom"/>
            <w:shd w:val="clear" w:color="auto" w:fill="0D3F64"/>
          </w:tcPr>
          <w:p>
            <w:pPr>
              <w:jc w:val="center"/>
              <w:spacing w:after="0"/>
              <w:rPr>
                <w:sz w:val="20"/>
                <w:szCs w:val="20"/>
                <w:color w:val="auto"/>
              </w:rPr>
            </w:pPr>
            <w:r>
              <w:rPr>
                <w:rFonts w:ascii="Arial" w:cs="Arial" w:eastAsia="Arial" w:hAnsi="Arial"/>
                <w:sz w:val="13"/>
                <w:szCs w:val="13"/>
                <w:b w:val="1"/>
                <w:bCs w:val="1"/>
                <w:color w:val="FFFFFF"/>
                <w:w w:val="97"/>
              </w:rPr>
              <w:t>Since</w:t>
            </w:r>
          </w:p>
        </w:tc>
        <w:tc>
          <w:tcPr>
            <w:tcW w:w="1820" w:type="dxa"/>
            <w:vAlign w:val="bottom"/>
            <w:vMerge w:val="continue"/>
            <w:shd w:val="clear" w:color="auto" w:fill="0D3F64"/>
          </w:tcPr>
          <w:p>
            <w:pPr>
              <w:spacing w:after="0"/>
              <w:rPr>
                <w:sz w:val="14"/>
                <w:szCs w:val="14"/>
                <w:color w:val="auto"/>
              </w:rPr>
            </w:pPr>
          </w:p>
        </w:tc>
        <w:tc>
          <w:tcPr>
            <w:tcW w:w="160" w:type="dxa"/>
            <w:vAlign w:val="bottom"/>
            <w:shd w:val="clear" w:color="auto" w:fill="0D3F64"/>
          </w:tcPr>
          <w:p>
            <w:pPr>
              <w:spacing w:after="0"/>
              <w:rPr>
                <w:sz w:val="14"/>
                <w:szCs w:val="14"/>
                <w:color w:val="auto"/>
              </w:rPr>
            </w:pPr>
          </w:p>
        </w:tc>
        <w:tc>
          <w:tcPr>
            <w:tcW w:w="1080" w:type="dxa"/>
            <w:vAlign w:val="bottom"/>
            <w:shd w:val="clear" w:color="auto" w:fill="0D3F64"/>
          </w:tcPr>
          <w:p>
            <w:pPr>
              <w:ind w:left="20"/>
              <w:spacing w:after="0"/>
              <w:rPr>
                <w:sz w:val="20"/>
                <w:szCs w:val="20"/>
                <w:color w:val="auto"/>
              </w:rPr>
            </w:pPr>
            <w:r>
              <w:rPr>
                <w:rFonts w:ascii="Arial" w:cs="Arial" w:eastAsia="Arial" w:hAnsi="Arial"/>
                <w:sz w:val="13"/>
                <w:szCs w:val="13"/>
                <w:b w:val="1"/>
                <w:bCs w:val="1"/>
                <w:color w:val="FFFFFF"/>
              </w:rPr>
              <w:t>Qualifications</w:t>
            </w:r>
          </w:p>
        </w:tc>
        <w:tc>
          <w:tcPr>
            <w:tcW w:w="440" w:type="dxa"/>
            <w:vAlign w:val="bottom"/>
            <w:vMerge w:val="continue"/>
            <w:shd w:val="clear" w:color="auto" w:fill="0D3F64"/>
          </w:tcPr>
          <w:p>
            <w:pPr>
              <w:spacing w:after="0"/>
              <w:rPr>
                <w:sz w:val="14"/>
                <w:szCs w:val="14"/>
                <w:color w:val="auto"/>
              </w:rPr>
            </w:pPr>
          </w:p>
        </w:tc>
        <w:tc>
          <w:tcPr>
            <w:tcW w:w="360" w:type="dxa"/>
            <w:vAlign w:val="bottom"/>
            <w:vMerge w:val="continue"/>
            <w:shd w:val="clear" w:color="auto" w:fill="0D3F64"/>
          </w:tcPr>
          <w:p>
            <w:pPr>
              <w:spacing w:after="0"/>
              <w:rPr>
                <w:sz w:val="14"/>
                <w:szCs w:val="14"/>
                <w:color w:val="auto"/>
              </w:rPr>
            </w:pPr>
          </w:p>
        </w:tc>
        <w:tc>
          <w:tcPr>
            <w:tcW w:w="160" w:type="dxa"/>
            <w:vAlign w:val="bottom"/>
            <w:shd w:val="clear" w:color="auto" w:fill="0D3F64"/>
          </w:tcPr>
          <w:p>
            <w:pPr>
              <w:spacing w:after="0"/>
              <w:rPr>
                <w:sz w:val="14"/>
                <w:szCs w:val="14"/>
                <w:color w:val="auto"/>
              </w:rPr>
            </w:pPr>
          </w:p>
        </w:tc>
        <w:tc>
          <w:tcPr>
            <w:tcW w:w="1000" w:type="dxa"/>
            <w:vAlign w:val="bottom"/>
            <w:shd w:val="clear" w:color="auto" w:fill="0D3F64"/>
          </w:tcPr>
          <w:p>
            <w:pPr>
              <w:ind w:left="20"/>
              <w:spacing w:after="0"/>
              <w:rPr>
                <w:sz w:val="20"/>
                <w:szCs w:val="20"/>
                <w:color w:val="auto"/>
              </w:rPr>
            </w:pPr>
            <w:r>
              <w:rPr>
                <w:rFonts w:ascii="Arial" w:cs="Arial" w:eastAsia="Arial" w:hAnsi="Arial"/>
                <w:sz w:val="13"/>
                <w:szCs w:val="13"/>
                <w:b w:val="1"/>
                <w:bCs w:val="1"/>
                <w:color w:val="FFFFFF"/>
              </w:rPr>
              <w:t>Memberships</w:t>
            </w:r>
          </w:p>
        </w:tc>
        <w:tc>
          <w:tcPr>
            <w:tcW w:w="1380" w:type="dxa"/>
            <w:vAlign w:val="bottom"/>
            <w:vMerge w:val="continue"/>
            <w:shd w:val="clear" w:color="auto" w:fill="0D3F64"/>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080" w:type="dxa"/>
            <w:vAlign w:val="bottom"/>
            <w:shd w:val="clear" w:color="auto" w:fill="0D3F64"/>
          </w:tcPr>
          <w:p>
            <w:pPr>
              <w:spacing w:after="0"/>
              <w:rPr>
                <w:sz w:val="5"/>
                <w:szCs w:val="5"/>
                <w:color w:val="auto"/>
              </w:rPr>
            </w:pPr>
          </w:p>
        </w:tc>
        <w:tc>
          <w:tcPr>
            <w:tcW w:w="360" w:type="dxa"/>
            <w:vAlign w:val="bottom"/>
            <w:shd w:val="clear" w:color="auto" w:fill="0D3F64"/>
          </w:tcPr>
          <w:p>
            <w:pPr>
              <w:spacing w:after="0"/>
              <w:rPr>
                <w:sz w:val="5"/>
                <w:szCs w:val="5"/>
                <w:color w:val="auto"/>
              </w:rPr>
            </w:pPr>
          </w:p>
        </w:tc>
        <w:tc>
          <w:tcPr>
            <w:tcW w:w="580" w:type="dxa"/>
            <w:vAlign w:val="bottom"/>
            <w:shd w:val="clear" w:color="auto" w:fill="0D3F64"/>
          </w:tcPr>
          <w:p>
            <w:pPr>
              <w:spacing w:after="0"/>
              <w:rPr>
                <w:sz w:val="5"/>
                <w:szCs w:val="5"/>
                <w:color w:val="auto"/>
              </w:rPr>
            </w:pPr>
          </w:p>
        </w:tc>
        <w:tc>
          <w:tcPr>
            <w:tcW w:w="1820" w:type="dxa"/>
            <w:vAlign w:val="bottom"/>
            <w:shd w:val="clear" w:color="auto" w:fill="0D3F64"/>
          </w:tcPr>
          <w:p>
            <w:pPr>
              <w:spacing w:after="0"/>
              <w:rPr>
                <w:sz w:val="5"/>
                <w:szCs w:val="5"/>
                <w:color w:val="auto"/>
              </w:rPr>
            </w:pPr>
          </w:p>
        </w:tc>
        <w:tc>
          <w:tcPr>
            <w:tcW w:w="160" w:type="dxa"/>
            <w:vAlign w:val="bottom"/>
            <w:shd w:val="clear" w:color="auto" w:fill="0D3F64"/>
          </w:tcPr>
          <w:p>
            <w:pPr>
              <w:spacing w:after="0"/>
              <w:rPr>
                <w:sz w:val="5"/>
                <w:szCs w:val="5"/>
                <w:color w:val="auto"/>
              </w:rPr>
            </w:pPr>
          </w:p>
        </w:tc>
        <w:tc>
          <w:tcPr>
            <w:tcW w:w="1080" w:type="dxa"/>
            <w:vAlign w:val="bottom"/>
            <w:shd w:val="clear" w:color="auto" w:fill="0D3F64"/>
          </w:tcPr>
          <w:p>
            <w:pPr>
              <w:spacing w:after="0"/>
              <w:rPr>
                <w:sz w:val="5"/>
                <w:szCs w:val="5"/>
                <w:color w:val="auto"/>
              </w:rPr>
            </w:pPr>
          </w:p>
        </w:tc>
        <w:tc>
          <w:tcPr>
            <w:tcW w:w="440" w:type="dxa"/>
            <w:vAlign w:val="bottom"/>
            <w:shd w:val="clear" w:color="auto" w:fill="0D3F64"/>
          </w:tcPr>
          <w:p>
            <w:pPr>
              <w:spacing w:after="0"/>
              <w:rPr>
                <w:sz w:val="5"/>
                <w:szCs w:val="5"/>
                <w:color w:val="auto"/>
              </w:rPr>
            </w:pPr>
          </w:p>
        </w:tc>
        <w:tc>
          <w:tcPr>
            <w:tcW w:w="360" w:type="dxa"/>
            <w:vAlign w:val="bottom"/>
            <w:shd w:val="clear" w:color="auto" w:fill="0D3F64"/>
          </w:tcPr>
          <w:p>
            <w:pPr>
              <w:spacing w:after="0"/>
              <w:rPr>
                <w:sz w:val="5"/>
                <w:szCs w:val="5"/>
                <w:color w:val="auto"/>
              </w:rPr>
            </w:pPr>
          </w:p>
        </w:tc>
        <w:tc>
          <w:tcPr>
            <w:tcW w:w="160" w:type="dxa"/>
            <w:vAlign w:val="bottom"/>
            <w:shd w:val="clear" w:color="auto" w:fill="0D3F64"/>
          </w:tcPr>
          <w:p>
            <w:pPr>
              <w:spacing w:after="0"/>
              <w:rPr>
                <w:sz w:val="5"/>
                <w:szCs w:val="5"/>
                <w:color w:val="auto"/>
              </w:rPr>
            </w:pPr>
          </w:p>
        </w:tc>
        <w:tc>
          <w:tcPr>
            <w:tcW w:w="1000" w:type="dxa"/>
            <w:vAlign w:val="bottom"/>
            <w:shd w:val="clear" w:color="auto" w:fill="0D3F64"/>
          </w:tcPr>
          <w:p>
            <w:pPr>
              <w:spacing w:after="0"/>
              <w:rPr>
                <w:sz w:val="5"/>
                <w:szCs w:val="5"/>
                <w:color w:val="auto"/>
              </w:rPr>
            </w:pPr>
          </w:p>
        </w:tc>
        <w:tc>
          <w:tcPr>
            <w:tcW w:w="1380" w:type="dxa"/>
            <w:vAlign w:val="bottom"/>
            <w:shd w:val="clear" w:color="auto" w:fill="0D3F64"/>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080" w:type="dxa"/>
            <w:vAlign w:val="bottom"/>
          </w:tcPr>
          <w:p>
            <w:pPr>
              <w:ind w:left="20"/>
              <w:spacing w:after="0"/>
              <w:rPr>
                <w:sz w:val="20"/>
                <w:szCs w:val="20"/>
                <w:color w:val="auto"/>
              </w:rPr>
            </w:pPr>
            <w:r>
              <w:rPr>
                <w:rFonts w:ascii="Arial" w:cs="Arial" w:eastAsia="Arial" w:hAnsi="Arial"/>
                <w:sz w:val="13"/>
                <w:szCs w:val="13"/>
                <w:color w:val="4C4C4C"/>
              </w:rPr>
              <w:t>Haiping Dun</w:t>
            </w:r>
          </w:p>
        </w:tc>
        <w:tc>
          <w:tcPr>
            <w:tcW w:w="360" w:type="dxa"/>
            <w:vAlign w:val="bottom"/>
          </w:tcPr>
          <w:p>
            <w:pPr>
              <w:jc w:val="center"/>
              <w:spacing w:after="0"/>
              <w:rPr>
                <w:sz w:val="20"/>
                <w:szCs w:val="20"/>
                <w:color w:val="auto"/>
              </w:rPr>
            </w:pPr>
            <w:r>
              <w:rPr>
                <w:rFonts w:ascii="Arial" w:cs="Arial" w:eastAsia="Arial" w:hAnsi="Arial"/>
                <w:sz w:val="13"/>
                <w:szCs w:val="13"/>
                <w:color w:val="4C4C4C"/>
              </w:rPr>
              <w:t>72</w:t>
            </w:r>
          </w:p>
        </w:tc>
        <w:tc>
          <w:tcPr>
            <w:tcW w:w="580" w:type="dxa"/>
            <w:vAlign w:val="bottom"/>
          </w:tcPr>
          <w:p>
            <w:pPr>
              <w:jc w:val="center"/>
              <w:spacing w:after="0"/>
              <w:rPr>
                <w:sz w:val="20"/>
                <w:szCs w:val="20"/>
                <w:color w:val="auto"/>
              </w:rPr>
            </w:pPr>
            <w:r>
              <w:rPr>
                <w:rFonts w:ascii="Arial" w:cs="Arial" w:eastAsia="Arial" w:hAnsi="Arial"/>
                <w:sz w:val="13"/>
                <w:szCs w:val="13"/>
                <w:color w:val="4C4C4C"/>
              </w:rPr>
              <w:t>2003</w:t>
            </w:r>
          </w:p>
        </w:tc>
        <w:tc>
          <w:tcPr>
            <w:tcW w:w="1820" w:type="dxa"/>
            <w:vAlign w:val="bottom"/>
          </w:tcPr>
          <w:p>
            <w:pPr>
              <w:ind w:left="60"/>
              <w:spacing w:after="0"/>
              <w:rPr>
                <w:sz w:val="20"/>
                <w:szCs w:val="20"/>
                <w:color w:val="auto"/>
              </w:rPr>
            </w:pPr>
            <w:r>
              <w:rPr>
                <w:rFonts w:ascii="Arial" w:cs="Arial" w:eastAsia="Arial" w:hAnsi="Arial"/>
                <w:sz w:val="13"/>
                <w:szCs w:val="13"/>
                <w:color w:val="4C4C4C"/>
              </w:rPr>
              <w:t>Former Senior Director of</w:t>
            </w:r>
          </w:p>
        </w:tc>
        <w:tc>
          <w:tcPr>
            <w:tcW w:w="160" w:type="dxa"/>
            <w:vAlign w:val="bottom"/>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80" w:type="dxa"/>
            <w:vAlign w:val="bottom"/>
          </w:tcPr>
          <w:p>
            <w:pPr>
              <w:ind w:left="80"/>
              <w:spacing w:after="0"/>
              <w:rPr>
                <w:sz w:val="20"/>
                <w:szCs w:val="20"/>
                <w:color w:val="auto"/>
              </w:rPr>
            </w:pPr>
            <w:r>
              <w:rPr>
                <w:rFonts w:ascii="Arial" w:cs="Arial" w:eastAsia="Arial" w:hAnsi="Arial"/>
                <w:sz w:val="13"/>
                <w:szCs w:val="13"/>
                <w:color w:val="4C4C4C"/>
              </w:rPr>
              <w:t>Industry</w:t>
            </w:r>
          </w:p>
        </w:tc>
        <w:tc>
          <w:tcPr>
            <w:tcW w:w="4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shd w:val="clear" w:color="auto" w:fill="546483"/>
              </w:rPr>
              <w:t>✔</w:t>
            </w:r>
          </w:p>
        </w:tc>
        <w:tc>
          <w:tcPr>
            <w:tcW w:w="36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00" w:type="dxa"/>
            <w:vAlign w:val="bottom"/>
          </w:tcPr>
          <w:p>
            <w:pPr>
              <w:ind w:left="60"/>
              <w:spacing w:after="0"/>
              <w:rPr>
                <w:sz w:val="20"/>
                <w:szCs w:val="20"/>
                <w:color w:val="auto"/>
              </w:rPr>
            </w:pPr>
            <w:r>
              <w:rPr>
                <w:rFonts w:ascii="Arial" w:cs="Arial" w:eastAsia="Arial" w:hAnsi="Arial"/>
                <w:sz w:val="13"/>
                <w:szCs w:val="13"/>
                <w:color w:val="4C4C4C"/>
              </w:rPr>
              <w:t>Audit</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4C4C4C"/>
              </w:rPr>
              <w:t>Intel Corporation</w:t>
            </w:r>
          </w:p>
        </w:tc>
        <w:tc>
          <w:tcPr>
            <w:tcW w:w="160" w:type="dxa"/>
            <w:vAlign w:val="bottom"/>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80" w:type="dxa"/>
            <w:vAlign w:val="bottom"/>
          </w:tcPr>
          <w:p>
            <w:pPr>
              <w:ind w:left="80"/>
              <w:spacing w:after="0"/>
              <w:rPr>
                <w:sz w:val="20"/>
                <w:szCs w:val="20"/>
                <w:color w:val="auto"/>
              </w:rPr>
            </w:pPr>
            <w:r>
              <w:rPr>
                <w:rFonts w:ascii="Arial" w:cs="Arial" w:eastAsia="Arial" w:hAnsi="Arial"/>
                <w:sz w:val="13"/>
                <w:szCs w:val="13"/>
                <w:color w:val="4C4C4C"/>
              </w:rPr>
              <w:t>Global</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00" w:type="dxa"/>
            <w:vAlign w:val="bottom"/>
          </w:tcPr>
          <w:p>
            <w:pPr>
              <w:ind w:left="80"/>
              <w:spacing w:after="0"/>
              <w:rPr>
                <w:sz w:val="20"/>
                <w:szCs w:val="20"/>
                <w:color w:val="auto"/>
              </w:rPr>
            </w:pPr>
            <w:r>
              <w:rPr>
                <w:rFonts w:ascii="Arial" w:cs="Arial" w:eastAsia="Arial" w:hAnsi="Arial"/>
                <w:sz w:val="13"/>
                <w:szCs w:val="13"/>
                <w:color w:val="4C4C4C"/>
              </w:rPr>
              <w:t>Compensation</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4C4C4C"/>
              </w:rPr>
              <w:t>Former President of</w:t>
            </w:r>
          </w:p>
        </w:tc>
        <w:tc>
          <w:tcPr>
            <w:tcW w:w="160" w:type="dxa"/>
            <w:vAlign w:val="bottom"/>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80" w:type="dxa"/>
            <w:vAlign w:val="bottom"/>
          </w:tcPr>
          <w:p>
            <w:pPr>
              <w:ind w:left="80"/>
              <w:spacing w:after="0"/>
              <w:rPr>
                <w:sz w:val="20"/>
                <w:szCs w:val="20"/>
                <w:color w:val="auto"/>
              </w:rPr>
            </w:pPr>
            <w:r>
              <w:rPr>
                <w:rFonts w:ascii="Arial" w:cs="Arial" w:eastAsia="Arial" w:hAnsi="Arial"/>
                <w:sz w:val="13"/>
                <w:szCs w:val="13"/>
                <w:color w:val="4C4C4C"/>
              </w:rPr>
              <w:t>Leadership</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4C4C4C"/>
              </w:rPr>
              <w:t>Champion Microelectronic</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4C4C4C"/>
              </w:rPr>
              <w:t>Corp.</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080" w:type="dxa"/>
            <w:vAlign w:val="bottom"/>
            <w:shd w:val="clear" w:color="auto" w:fill="BAE2F8"/>
          </w:tcPr>
          <w:p>
            <w:pPr>
              <w:ind w:left="20"/>
              <w:spacing w:after="0"/>
              <w:rPr>
                <w:sz w:val="20"/>
                <w:szCs w:val="20"/>
                <w:color w:val="auto"/>
              </w:rPr>
            </w:pPr>
            <w:r>
              <w:rPr>
                <w:rFonts w:ascii="Arial" w:cs="Arial" w:eastAsia="Arial" w:hAnsi="Arial"/>
                <w:sz w:val="13"/>
                <w:szCs w:val="13"/>
                <w:color w:val="4C4C4C"/>
              </w:rPr>
              <w:t>Chenming C. Hu</w:t>
            </w:r>
          </w:p>
        </w:tc>
        <w:tc>
          <w:tcPr>
            <w:tcW w:w="360" w:type="dxa"/>
            <w:vAlign w:val="bottom"/>
            <w:shd w:val="clear" w:color="auto" w:fill="BAE2F8"/>
          </w:tcPr>
          <w:p>
            <w:pPr>
              <w:jc w:val="center"/>
              <w:spacing w:after="0"/>
              <w:rPr>
                <w:sz w:val="20"/>
                <w:szCs w:val="20"/>
                <w:color w:val="auto"/>
              </w:rPr>
            </w:pPr>
            <w:r>
              <w:rPr>
                <w:rFonts w:ascii="Arial" w:cs="Arial" w:eastAsia="Arial" w:hAnsi="Arial"/>
                <w:sz w:val="13"/>
                <w:szCs w:val="13"/>
                <w:color w:val="4C4C4C"/>
              </w:rPr>
              <w:t>74</w:t>
            </w:r>
          </w:p>
        </w:tc>
        <w:tc>
          <w:tcPr>
            <w:tcW w:w="580" w:type="dxa"/>
            <w:vAlign w:val="bottom"/>
            <w:shd w:val="clear" w:color="auto" w:fill="BAE2F8"/>
          </w:tcPr>
          <w:p>
            <w:pPr>
              <w:jc w:val="center"/>
              <w:spacing w:after="0"/>
              <w:rPr>
                <w:sz w:val="20"/>
                <w:szCs w:val="20"/>
                <w:color w:val="auto"/>
              </w:rPr>
            </w:pPr>
            <w:r>
              <w:rPr>
                <w:rFonts w:ascii="Arial" w:cs="Arial" w:eastAsia="Arial" w:hAnsi="Arial"/>
                <w:sz w:val="13"/>
                <w:szCs w:val="13"/>
                <w:color w:val="4C4C4C"/>
              </w:rPr>
              <w:t>2017</w:t>
            </w:r>
          </w:p>
        </w:tc>
        <w:tc>
          <w:tcPr>
            <w:tcW w:w="1820" w:type="dxa"/>
            <w:vAlign w:val="bottom"/>
            <w:shd w:val="clear" w:color="auto" w:fill="BAE2F8"/>
          </w:tcPr>
          <w:p>
            <w:pPr>
              <w:ind w:left="60"/>
              <w:spacing w:after="0"/>
              <w:rPr>
                <w:sz w:val="20"/>
                <w:szCs w:val="20"/>
                <w:color w:val="auto"/>
              </w:rPr>
            </w:pPr>
            <w:r>
              <w:rPr>
                <w:rFonts w:ascii="Arial" w:cs="Arial" w:eastAsia="Arial" w:hAnsi="Arial"/>
                <w:sz w:val="13"/>
                <w:szCs w:val="13"/>
                <w:color w:val="4C4C4C"/>
              </w:rPr>
              <w:t>Professor of Engineering</w:t>
            </w:r>
          </w:p>
        </w:tc>
        <w:tc>
          <w:tcPr>
            <w:tcW w:w="160" w:type="dxa"/>
            <w:vAlign w:val="bottom"/>
            <w:shd w:val="clear" w:color="auto" w:fill="BAE2F8"/>
          </w:tcPr>
          <w:p>
            <w:pPr>
              <w:ind w:left="60"/>
              <w:spacing w:after="0"/>
              <w:rPr>
                <w:sz w:val="20"/>
                <w:szCs w:val="20"/>
                <w:color w:val="auto"/>
              </w:rPr>
            </w:pPr>
            <w:r>
              <w:rPr>
                <w:rFonts w:ascii="Arial" w:cs="Arial" w:eastAsia="Arial" w:hAnsi="Arial"/>
                <w:sz w:val="13"/>
                <w:szCs w:val="13"/>
                <w:color w:val="4694D0"/>
                <w:w w:val="97"/>
              </w:rPr>
              <w:t>•</w:t>
            </w:r>
            <w:r>
              <w:rPr>
                <w:rFonts w:ascii="Arial" w:cs="Arial" w:eastAsia="Arial" w:hAnsi="Arial"/>
                <w:sz w:val="13"/>
                <w:szCs w:val="13"/>
                <w:color w:val="4C4C4C"/>
                <w:w w:val="97"/>
              </w:rPr>
              <w:t xml:space="preserve"> </w:t>
            </w:r>
          </w:p>
        </w:tc>
        <w:tc>
          <w:tcPr>
            <w:tcW w:w="1080" w:type="dxa"/>
            <w:vAlign w:val="bottom"/>
            <w:shd w:val="clear" w:color="auto" w:fill="BAE2F8"/>
          </w:tcPr>
          <w:p>
            <w:pPr>
              <w:ind w:left="80"/>
              <w:spacing w:after="0"/>
              <w:rPr>
                <w:sz w:val="20"/>
                <w:szCs w:val="20"/>
                <w:color w:val="auto"/>
              </w:rPr>
            </w:pPr>
            <w:r>
              <w:rPr>
                <w:rFonts w:ascii="Arial" w:cs="Arial" w:eastAsia="Arial" w:hAnsi="Arial"/>
                <w:sz w:val="13"/>
                <w:szCs w:val="13"/>
                <w:color w:val="4C4C4C"/>
              </w:rPr>
              <w:t>Innovation</w:t>
            </w:r>
          </w:p>
        </w:tc>
        <w:tc>
          <w:tcPr>
            <w:tcW w:w="440" w:type="dxa"/>
            <w:vAlign w:val="bottom"/>
            <w:shd w:val="clear" w:color="auto" w:fill="BAE2F8"/>
          </w:tcPr>
          <w:p>
            <w:pPr>
              <w:jc w:val="center"/>
              <w:spacing w:after="0" w:line="131" w:lineRule="exact"/>
              <w:rPr>
                <w:sz w:val="20"/>
                <w:szCs w:val="20"/>
                <w:color w:val="auto"/>
              </w:rPr>
            </w:pPr>
            <w:r>
              <w:rPr>
                <w:rFonts w:ascii="MS PGothic" w:cs="MS PGothic" w:eastAsia="MS PGothic" w:hAnsi="MS PGothic"/>
                <w:sz w:val="13"/>
                <w:szCs w:val="13"/>
                <w:color w:val="auto"/>
                <w:w w:val="91"/>
                <w:shd w:val="clear" w:color="auto" w:fill="4694D0"/>
              </w:rPr>
              <w:t>✔</w:t>
            </w:r>
          </w:p>
        </w:tc>
        <w:tc>
          <w:tcPr>
            <w:tcW w:w="360" w:type="dxa"/>
            <w:vAlign w:val="bottom"/>
            <w:shd w:val="clear" w:color="auto" w:fill="BAE2F8"/>
          </w:tcPr>
          <w:p>
            <w:pPr>
              <w:spacing w:after="0"/>
              <w:rPr>
                <w:sz w:val="21"/>
                <w:szCs w:val="21"/>
                <w:color w:val="auto"/>
              </w:rPr>
            </w:pPr>
          </w:p>
        </w:tc>
        <w:tc>
          <w:tcPr>
            <w:tcW w:w="160" w:type="dxa"/>
            <w:vAlign w:val="bottom"/>
            <w:shd w:val="clear" w:color="auto" w:fill="BAE2F8"/>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00" w:type="dxa"/>
            <w:vAlign w:val="bottom"/>
            <w:shd w:val="clear" w:color="auto" w:fill="BAE2F8"/>
          </w:tcPr>
          <w:p>
            <w:pPr>
              <w:ind w:left="80"/>
              <w:spacing w:after="0"/>
              <w:rPr>
                <w:sz w:val="20"/>
                <w:szCs w:val="20"/>
                <w:color w:val="auto"/>
              </w:rPr>
            </w:pPr>
            <w:r>
              <w:rPr>
                <w:rFonts w:ascii="Arial" w:cs="Arial" w:eastAsia="Arial" w:hAnsi="Arial"/>
                <w:sz w:val="13"/>
                <w:szCs w:val="13"/>
                <w:color w:val="4C4C4C"/>
              </w:rPr>
              <w:t>Nominating</w:t>
            </w:r>
          </w:p>
        </w:tc>
        <w:tc>
          <w:tcPr>
            <w:tcW w:w="1380" w:type="dxa"/>
            <w:vAlign w:val="bottom"/>
            <w:shd w:val="clear" w:color="auto" w:fill="BAE2F8"/>
          </w:tcPr>
          <w:p>
            <w:pPr>
              <w:ind w:left="60"/>
              <w:spacing w:after="0"/>
              <w:rPr>
                <w:sz w:val="20"/>
                <w:szCs w:val="20"/>
                <w:color w:val="auto"/>
              </w:rPr>
            </w:pPr>
            <w:r>
              <w:rPr>
                <w:rFonts w:ascii="Arial" w:cs="Arial" w:eastAsia="Arial" w:hAnsi="Arial"/>
                <w:sz w:val="13"/>
                <w:szCs w:val="13"/>
                <w:color w:val="546483"/>
              </w:rPr>
              <w:t>•</w:t>
            </w:r>
            <w:r>
              <w:rPr>
                <w:rFonts w:ascii="Arial" w:cs="Arial" w:eastAsia="Arial" w:hAnsi="Arial"/>
                <w:sz w:val="13"/>
                <w:szCs w:val="13"/>
                <w:color w:val="4C4C4C"/>
              </w:rPr>
              <w:t xml:space="preserve">  Ambarella, Inc.</w:t>
            </w:r>
          </w:p>
        </w:tc>
        <w:tc>
          <w:tcPr>
            <w:tcW w:w="0" w:type="dxa"/>
            <w:vAlign w:val="bottom"/>
          </w:tcPr>
          <w:p>
            <w:pPr>
              <w:spacing w:after="0"/>
              <w:rPr>
                <w:sz w:val="1"/>
                <w:szCs w:val="1"/>
                <w:color w:val="auto"/>
              </w:rPr>
            </w:pPr>
          </w:p>
        </w:tc>
      </w:tr>
      <w:tr>
        <w:trPr>
          <w:trHeight w:val="148"/>
        </w:trPr>
        <w:tc>
          <w:tcPr>
            <w:tcW w:w="1080" w:type="dxa"/>
            <w:vAlign w:val="bottom"/>
            <w:shd w:val="clear" w:color="auto" w:fill="BAE2F8"/>
          </w:tcPr>
          <w:p>
            <w:pPr>
              <w:spacing w:after="0"/>
              <w:rPr>
                <w:sz w:val="12"/>
                <w:szCs w:val="12"/>
                <w:color w:val="auto"/>
              </w:rPr>
            </w:pPr>
          </w:p>
        </w:tc>
        <w:tc>
          <w:tcPr>
            <w:tcW w:w="360" w:type="dxa"/>
            <w:vAlign w:val="bottom"/>
            <w:shd w:val="clear" w:color="auto" w:fill="BAE2F8"/>
          </w:tcPr>
          <w:p>
            <w:pPr>
              <w:spacing w:after="0"/>
              <w:rPr>
                <w:sz w:val="12"/>
                <w:szCs w:val="12"/>
                <w:color w:val="auto"/>
              </w:rPr>
            </w:pPr>
          </w:p>
        </w:tc>
        <w:tc>
          <w:tcPr>
            <w:tcW w:w="580" w:type="dxa"/>
            <w:vAlign w:val="bottom"/>
            <w:shd w:val="clear" w:color="auto" w:fill="BAE2F8"/>
          </w:tcPr>
          <w:p>
            <w:pPr>
              <w:spacing w:after="0"/>
              <w:rPr>
                <w:sz w:val="12"/>
                <w:szCs w:val="12"/>
                <w:color w:val="auto"/>
              </w:rPr>
            </w:pPr>
          </w:p>
        </w:tc>
        <w:tc>
          <w:tcPr>
            <w:tcW w:w="1820" w:type="dxa"/>
            <w:vAlign w:val="bottom"/>
            <w:shd w:val="clear" w:color="auto" w:fill="BAE2F8"/>
          </w:tcPr>
          <w:p>
            <w:pPr>
              <w:ind w:left="60"/>
              <w:spacing w:after="0"/>
              <w:rPr>
                <w:sz w:val="20"/>
                <w:szCs w:val="20"/>
                <w:color w:val="auto"/>
              </w:rPr>
            </w:pPr>
            <w:r>
              <w:rPr>
                <w:rFonts w:ascii="Arial" w:cs="Arial" w:eastAsia="Arial" w:hAnsi="Arial"/>
                <w:sz w:val="13"/>
                <w:szCs w:val="13"/>
                <w:color w:val="4C4C4C"/>
              </w:rPr>
              <w:t>and Computer Sciences,</w:t>
            </w:r>
          </w:p>
        </w:tc>
        <w:tc>
          <w:tcPr>
            <w:tcW w:w="160" w:type="dxa"/>
            <w:vAlign w:val="bottom"/>
            <w:shd w:val="clear" w:color="auto" w:fill="BAE2F8"/>
          </w:tcPr>
          <w:p>
            <w:pPr>
              <w:ind w:left="60"/>
              <w:spacing w:after="0"/>
              <w:rPr>
                <w:sz w:val="20"/>
                <w:szCs w:val="20"/>
                <w:color w:val="auto"/>
              </w:rPr>
            </w:pPr>
            <w:r>
              <w:rPr>
                <w:rFonts w:ascii="Arial" w:cs="Arial" w:eastAsia="Arial" w:hAnsi="Arial"/>
                <w:sz w:val="13"/>
                <w:szCs w:val="13"/>
                <w:color w:val="4694D0"/>
                <w:w w:val="97"/>
              </w:rPr>
              <w:t>•</w:t>
            </w:r>
            <w:r>
              <w:rPr>
                <w:rFonts w:ascii="Arial" w:cs="Arial" w:eastAsia="Arial" w:hAnsi="Arial"/>
                <w:sz w:val="13"/>
                <w:szCs w:val="13"/>
                <w:color w:val="4C4C4C"/>
                <w:w w:val="97"/>
              </w:rPr>
              <w:t xml:space="preserve"> </w:t>
            </w:r>
          </w:p>
        </w:tc>
        <w:tc>
          <w:tcPr>
            <w:tcW w:w="1080" w:type="dxa"/>
            <w:vAlign w:val="bottom"/>
            <w:shd w:val="clear" w:color="auto" w:fill="BAE2F8"/>
          </w:tcPr>
          <w:p>
            <w:pPr>
              <w:ind w:left="80"/>
              <w:spacing w:after="0"/>
              <w:rPr>
                <w:sz w:val="20"/>
                <w:szCs w:val="20"/>
                <w:color w:val="auto"/>
              </w:rPr>
            </w:pPr>
            <w:r>
              <w:rPr>
                <w:rFonts w:ascii="Arial" w:cs="Arial" w:eastAsia="Arial" w:hAnsi="Arial"/>
                <w:sz w:val="13"/>
                <w:szCs w:val="13"/>
                <w:color w:val="4C4C4C"/>
              </w:rPr>
              <w:t>Industry</w:t>
            </w:r>
          </w:p>
        </w:tc>
        <w:tc>
          <w:tcPr>
            <w:tcW w:w="440" w:type="dxa"/>
            <w:vAlign w:val="bottom"/>
            <w:shd w:val="clear" w:color="auto" w:fill="BAE2F8"/>
          </w:tcPr>
          <w:p>
            <w:pPr>
              <w:spacing w:after="0"/>
              <w:rPr>
                <w:sz w:val="12"/>
                <w:szCs w:val="12"/>
                <w:color w:val="auto"/>
              </w:rPr>
            </w:pPr>
          </w:p>
        </w:tc>
        <w:tc>
          <w:tcPr>
            <w:tcW w:w="360" w:type="dxa"/>
            <w:vAlign w:val="bottom"/>
            <w:shd w:val="clear" w:color="auto" w:fill="BAE2F8"/>
          </w:tcPr>
          <w:p>
            <w:pPr>
              <w:spacing w:after="0"/>
              <w:rPr>
                <w:sz w:val="12"/>
                <w:szCs w:val="12"/>
                <w:color w:val="auto"/>
              </w:rPr>
            </w:pPr>
          </w:p>
        </w:tc>
        <w:tc>
          <w:tcPr>
            <w:tcW w:w="160" w:type="dxa"/>
            <w:vAlign w:val="bottom"/>
            <w:shd w:val="clear" w:color="auto" w:fill="BAE2F8"/>
          </w:tcPr>
          <w:p>
            <w:pPr>
              <w:spacing w:after="0"/>
              <w:rPr>
                <w:sz w:val="12"/>
                <w:szCs w:val="12"/>
                <w:color w:val="auto"/>
              </w:rPr>
            </w:pPr>
          </w:p>
        </w:tc>
        <w:tc>
          <w:tcPr>
            <w:tcW w:w="1000" w:type="dxa"/>
            <w:vAlign w:val="bottom"/>
            <w:shd w:val="clear" w:color="auto" w:fill="BAE2F8"/>
          </w:tcPr>
          <w:p>
            <w:pPr>
              <w:ind w:left="80"/>
              <w:spacing w:after="0"/>
              <w:rPr>
                <w:sz w:val="20"/>
                <w:szCs w:val="20"/>
                <w:color w:val="auto"/>
              </w:rPr>
            </w:pPr>
            <w:r>
              <w:rPr>
                <w:rFonts w:ascii="Arial" w:cs="Arial" w:eastAsia="Arial" w:hAnsi="Arial"/>
                <w:sz w:val="13"/>
                <w:szCs w:val="13"/>
                <w:color w:val="4C4C4C"/>
              </w:rPr>
              <w:t>and</w:t>
            </w:r>
          </w:p>
        </w:tc>
        <w:tc>
          <w:tcPr>
            <w:tcW w:w="1380" w:type="dxa"/>
            <w:vAlign w:val="bottom"/>
            <w:shd w:val="clear" w:color="auto" w:fill="BAE2F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BAE2F8"/>
          </w:tcPr>
          <w:p>
            <w:pPr>
              <w:spacing w:after="0"/>
              <w:rPr>
                <w:sz w:val="12"/>
                <w:szCs w:val="12"/>
                <w:color w:val="auto"/>
              </w:rPr>
            </w:pPr>
          </w:p>
        </w:tc>
        <w:tc>
          <w:tcPr>
            <w:tcW w:w="360" w:type="dxa"/>
            <w:vAlign w:val="bottom"/>
            <w:shd w:val="clear" w:color="auto" w:fill="BAE2F8"/>
          </w:tcPr>
          <w:p>
            <w:pPr>
              <w:spacing w:after="0"/>
              <w:rPr>
                <w:sz w:val="12"/>
                <w:szCs w:val="12"/>
                <w:color w:val="auto"/>
              </w:rPr>
            </w:pPr>
          </w:p>
        </w:tc>
        <w:tc>
          <w:tcPr>
            <w:tcW w:w="580" w:type="dxa"/>
            <w:vAlign w:val="bottom"/>
            <w:shd w:val="clear" w:color="auto" w:fill="BAE2F8"/>
          </w:tcPr>
          <w:p>
            <w:pPr>
              <w:spacing w:after="0"/>
              <w:rPr>
                <w:sz w:val="12"/>
                <w:szCs w:val="12"/>
                <w:color w:val="auto"/>
              </w:rPr>
            </w:pPr>
          </w:p>
        </w:tc>
        <w:tc>
          <w:tcPr>
            <w:tcW w:w="1820" w:type="dxa"/>
            <w:vAlign w:val="bottom"/>
            <w:shd w:val="clear" w:color="auto" w:fill="BAE2F8"/>
          </w:tcPr>
          <w:p>
            <w:pPr>
              <w:ind w:left="60"/>
              <w:spacing w:after="0"/>
              <w:rPr>
                <w:sz w:val="20"/>
                <w:szCs w:val="20"/>
                <w:color w:val="auto"/>
              </w:rPr>
            </w:pPr>
            <w:r>
              <w:rPr>
                <w:rFonts w:ascii="Arial" w:cs="Arial" w:eastAsia="Arial" w:hAnsi="Arial"/>
                <w:sz w:val="13"/>
                <w:szCs w:val="13"/>
                <w:color w:val="4C4C4C"/>
              </w:rPr>
              <w:t>University of California,</w:t>
            </w:r>
          </w:p>
        </w:tc>
        <w:tc>
          <w:tcPr>
            <w:tcW w:w="160" w:type="dxa"/>
            <w:vAlign w:val="bottom"/>
            <w:shd w:val="clear" w:color="auto" w:fill="BAE2F8"/>
          </w:tcPr>
          <w:p>
            <w:pPr>
              <w:ind w:left="60"/>
              <w:spacing w:after="0"/>
              <w:rPr>
                <w:sz w:val="20"/>
                <w:szCs w:val="20"/>
                <w:color w:val="auto"/>
              </w:rPr>
            </w:pPr>
            <w:r>
              <w:rPr>
                <w:rFonts w:ascii="Arial" w:cs="Arial" w:eastAsia="Arial" w:hAnsi="Arial"/>
                <w:sz w:val="13"/>
                <w:szCs w:val="13"/>
                <w:color w:val="4694D0"/>
                <w:w w:val="97"/>
              </w:rPr>
              <w:t>•</w:t>
            </w:r>
            <w:r>
              <w:rPr>
                <w:rFonts w:ascii="Arial" w:cs="Arial" w:eastAsia="Arial" w:hAnsi="Arial"/>
                <w:sz w:val="13"/>
                <w:szCs w:val="13"/>
                <w:color w:val="4C4C4C"/>
                <w:w w:val="97"/>
              </w:rPr>
              <w:t xml:space="preserve"> </w:t>
            </w:r>
          </w:p>
        </w:tc>
        <w:tc>
          <w:tcPr>
            <w:tcW w:w="1080" w:type="dxa"/>
            <w:vAlign w:val="bottom"/>
            <w:shd w:val="clear" w:color="auto" w:fill="BAE2F8"/>
          </w:tcPr>
          <w:p>
            <w:pPr>
              <w:ind w:left="80"/>
              <w:spacing w:after="0"/>
              <w:rPr>
                <w:sz w:val="20"/>
                <w:szCs w:val="20"/>
                <w:color w:val="auto"/>
              </w:rPr>
            </w:pPr>
            <w:r>
              <w:rPr>
                <w:rFonts w:ascii="Arial" w:cs="Arial" w:eastAsia="Arial" w:hAnsi="Arial"/>
                <w:sz w:val="13"/>
                <w:szCs w:val="13"/>
                <w:color w:val="4C4C4C"/>
              </w:rPr>
              <w:t>Education</w:t>
            </w:r>
          </w:p>
        </w:tc>
        <w:tc>
          <w:tcPr>
            <w:tcW w:w="440" w:type="dxa"/>
            <w:vAlign w:val="bottom"/>
            <w:shd w:val="clear" w:color="auto" w:fill="BAE2F8"/>
          </w:tcPr>
          <w:p>
            <w:pPr>
              <w:spacing w:after="0"/>
              <w:rPr>
                <w:sz w:val="12"/>
                <w:szCs w:val="12"/>
                <w:color w:val="auto"/>
              </w:rPr>
            </w:pPr>
          </w:p>
        </w:tc>
        <w:tc>
          <w:tcPr>
            <w:tcW w:w="360" w:type="dxa"/>
            <w:vAlign w:val="bottom"/>
            <w:shd w:val="clear" w:color="auto" w:fill="BAE2F8"/>
          </w:tcPr>
          <w:p>
            <w:pPr>
              <w:spacing w:after="0"/>
              <w:rPr>
                <w:sz w:val="12"/>
                <w:szCs w:val="12"/>
                <w:color w:val="auto"/>
              </w:rPr>
            </w:pPr>
          </w:p>
        </w:tc>
        <w:tc>
          <w:tcPr>
            <w:tcW w:w="160" w:type="dxa"/>
            <w:vAlign w:val="bottom"/>
            <w:shd w:val="clear" w:color="auto" w:fill="BAE2F8"/>
          </w:tcPr>
          <w:p>
            <w:pPr>
              <w:spacing w:after="0"/>
              <w:rPr>
                <w:sz w:val="12"/>
                <w:szCs w:val="12"/>
                <w:color w:val="auto"/>
              </w:rPr>
            </w:pPr>
          </w:p>
        </w:tc>
        <w:tc>
          <w:tcPr>
            <w:tcW w:w="1000" w:type="dxa"/>
            <w:vAlign w:val="bottom"/>
            <w:shd w:val="clear" w:color="auto" w:fill="BAE2F8"/>
          </w:tcPr>
          <w:p>
            <w:pPr>
              <w:ind w:left="80"/>
              <w:spacing w:after="0"/>
              <w:rPr>
                <w:sz w:val="20"/>
                <w:szCs w:val="20"/>
                <w:color w:val="auto"/>
              </w:rPr>
            </w:pPr>
            <w:r>
              <w:rPr>
                <w:rFonts w:ascii="Arial" w:cs="Arial" w:eastAsia="Arial" w:hAnsi="Arial"/>
                <w:sz w:val="13"/>
                <w:szCs w:val="13"/>
                <w:color w:val="4C4C4C"/>
              </w:rPr>
              <w:t>Governance</w:t>
            </w:r>
          </w:p>
        </w:tc>
        <w:tc>
          <w:tcPr>
            <w:tcW w:w="1380" w:type="dxa"/>
            <w:vAlign w:val="bottom"/>
            <w:shd w:val="clear" w:color="auto" w:fill="BAE2F8"/>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80" w:type="dxa"/>
            <w:vAlign w:val="bottom"/>
            <w:shd w:val="clear" w:color="auto" w:fill="BAE2F8"/>
          </w:tcPr>
          <w:p>
            <w:pPr>
              <w:spacing w:after="0"/>
              <w:rPr>
                <w:sz w:val="15"/>
                <w:szCs w:val="15"/>
                <w:color w:val="auto"/>
              </w:rPr>
            </w:pPr>
          </w:p>
        </w:tc>
        <w:tc>
          <w:tcPr>
            <w:tcW w:w="360" w:type="dxa"/>
            <w:vAlign w:val="bottom"/>
            <w:shd w:val="clear" w:color="auto" w:fill="BAE2F8"/>
          </w:tcPr>
          <w:p>
            <w:pPr>
              <w:spacing w:after="0"/>
              <w:rPr>
                <w:sz w:val="15"/>
                <w:szCs w:val="15"/>
                <w:color w:val="auto"/>
              </w:rPr>
            </w:pPr>
          </w:p>
        </w:tc>
        <w:tc>
          <w:tcPr>
            <w:tcW w:w="580" w:type="dxa"/>
            <w:vAlign w:val="bottom"/>
            <w:shd w:val="clear" w:color="auto" w:fill="BAE2F8"/>
          </w:tcPr>
          <w:p>
            <w:pPr>
              <w:spacing w:after="0"/>
              <w:rPr>
                <w:sz w:val="15"/>
                <w:szCs w:val="15"/>
                <w:color w:val="auto"/>
              </w:rPr>
            </w:pPr>
          </w:p>
        </w:tc>
        <w:tc>
          <w:tcPr>
            <w:tcW w:w="1820" w:type="dxa"/>
            <w:vAlign w:val="bottom"/>
            <w:shd w:val="clear" w:color="auto" w:fill="BAE2F8"/>
          </w:tcPr>
          <w:p>
            <w:pPr>
              <w:ind w:left="60"/>
              <w:spacing w:after="0"/>
              <w:rPr>
                <w:sz w:val="20"/>
                <w:szCs w:val="20"/>
                <w:color w:val="auto"/>
              </w:rPr>
            </w:pPr>
            <w:r>
              <w:rPr>
                <w:rFonts w:ascii="Arial" w:cs="Arial" w:eastAsia="Arial" w:hAnsi="Arial"/>
                <w:sz w:val="13"/>
                <w:szCs w:val="13"/>
                <w:color w:val="4C4C4C"/>
              </w:rPr>
              <w:t>Berkeley</w:t>
            </w:r>
          </w:p>
        </w:tc>
        <w:tc>
          <w:tcPr>
            <w:tcW w:w="160" w:type="dxa"/>
            <w:vAlign w:val="bottom"/>
            <w:shd w:val="clear" w:color="auto" w:fill="BAE2F8"/>
          </w:tcPr>
          <w:p>
            <w:pPr>
              <w:spacing w:after="0"/>
              <w:rPr>
                <w:sz w:val="15"/>
                <w:szCs w:val="15"/>
                <w:color w:val="auto"/>
              </w:rPr>
            </w:pPr>
          </w:p>
        </w:tc>
        <w:tc>
          <w:tcPr>
            <w:tcW w:w="1080" w:type="dxa"/>
            <w:vAlign w:val="bottom"/>
            <w:shd w:val="clear" w:color="auto" w:fill="BAE2F8"/>
          </w:tcPr>
          <w:p>
            <w:pPr>
              <w:spacing w:after="0"/>
              <w:rPr>
                <w:sz w:val="15"/>
                <w:szCs w:val="15"/>
                <w:color w:val="auto"/>
              </w:rPr>
            </w:pPr>
          </w:p>
        </w:tc>
        <w:tc>
          <w:tcPr>
            <w:tcW w:w="440" w:type="dxa"/>
            <w:vAlign w:val="bottom"/>
            <w:shd w:val="clear" w:color="auto" w:fill="BAE2F8"/>
          </w:tcPr>
          <w:p>
            <w:pPr>
              <w:spacing w:after="0"/>
              <w:rPr>
                <w:sz w:val="15"/>
                <w:szCs w:val="15"/>
                <w:color w:val="auto"/>
              </w:rPr>
            </w:pPr>
          </w:p>
        </w:tc>
        <w:tc>
          <w:tcPr>
            <w:tcW w:w="360" w:type="dxa"/>
            <w:vAlign w:val="bottom"/>
            <w:shd w:val="clear" w:color="auto" w:fill="BAE2F8"/>
          </w:tcPr>
          <w:p>
            <w:pPr>
              <w:spacing w:after="0"/>
              <w:rPr>
                <w:sz w:val="15"/>
                <w:szCs w:val="15"/>
                <w:color w:val="auto"/>
              </w:rPr>
            </w:pPr>
          </w:p>
        </w:tc>
        <w:tc>
          <w:tcPr>
            <w:tcW w:w="160" w:type="dxa"/>
            <w:vAlign w:val="bottom"/>
            <w:shd w:val="clear" w:color="auto" w:fill="BAE2F8"/>
          </w:tcPr>
          <w:p>
            <w:pPr>
              <w:spacing w:after="0"/>
              <w:rPr>
                <w:sz w:val="15"/>
                <w:szCs w:val="15"/>
                <w:color w:val="auto"/>
              </w:rPr>
            </w:pPr>
          </w:p>
        </w:tc>
        <w:tc>
          <w:tcPr>
            <w:tcW w:w="1000" w:type="dxa"/>
            <w:vAlign w:val="bottom"/>
            <w:shd w:val="clear" w:color="auto" w:fill="BAE2F8"/>
          </w:tcPr>
          <w:p>
            <w:pPr>
              <w:spacing w:after="0"/>
              <w:rPr>
                <w:sz w:val="15"/>
                <w:szCs w:val="15"/>
                <w:color w:val="auto"/>
              </w:rPr>
            </w:pPr>
          </w:p>
        </w:tc>
        <w:tc>
          <w:tcPr>
            <w:tcW w:w="1380" w:type="dxa"/>
            <w:vAlign w:val="bottom"/>
            <w:shd w:val="clear" w:color="auto" w:fill="BAE2F8"/>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80" w:type="dxa"/>
            <w:vAlign w:val="bottom"/>
            <w:shd w:val="clear" w:color="auto" w:fill="BAE2F8"/>
          </w:tcPr>
          <w:p>
            <w:pPr>
              <w:spacing w:after="0"/>
              <w:rPr>
                <w:sz w:val="8"/>
                <w:szCs w:val="8"/>
                <w:color w:val="auto"/>
              </w:rPr>
            </w:pPr>
          </w:p>
        </w:tc>
        <w:tc>
          <w:tcPr>
            <w:tcW w:w="360" w:type="dxa"/>
            <w:vAlign w:val="bottom"/>
            <w:shd w:val="clear" w:color="auto" w:fill="BAE2F8"/>
          </w:tcPr>
          <w:p>
            <w:pPr>
              <w:spacing w:after="0"/>
              <w:rPr>
                <w:sz w:val="8"/>
                <w:szCs w:val="8"/>
                <w:color w:val="auto"/>
              </w:rPr>
            </w:pPr>
          </w:p>
        </w:tc>
        <w:tc>
          <w:tcPr>
            <w:tcW w:w="580" w:type="dxa"/>
            <w:vAlign w:val="bottom"/>
            <w:shd w:val="clear" w:color="auto" w:fill="BAE2F8"/>
          </w:tcPr>
          <w:p>
            <w:pPr>
              <w:spacing w:after="0"/>
              <w:rPr>
                <w:sz w:val="8"/>
                <w:szCs w:val="8"/>
                <w:color w:val="auto"/>
              </w:rPr>
            </w:pPr>
          </w:p>
        </w:tc>
        <w:tc>
          <w:tcPr>
            <w:tcW w:w="1820" w:type="dxa"/>
            <w:vAlign w:val="bottom"/>
            <w:shd w:val="clear" w:color="auto" w:fill="BAE2F8"/>
          </w:tcPr>
          <w:p>
            <w:pPr>
              <w:spacing w:after="0"/>
              <w:rPr>
                <w:sz w:val="8"/>
                <w:szCs w:val="8"/>
                <w:color w:val="auto"/>
              </w:rPr>
            </w:pPr>
          </w:p>
        </w:tc>
        <w:tc>
          <w:tcPr>
            <w:tcW w:w="160" w:type="dxa"/>
            <w:vAlign w:val="bottom"/>
            <w:shd w:val="clear" w:color="auto" w:fill="BAE2F8"/>
          </w:tcPr>
          <w:p>
            <w:pPr>
              <w:spacing w:after="0"/>
              <w:rPr>
                <w:sz w:val="8"/>
                <w:szCs w:val="8"/>
                <w:color w:val="auto"/>
              </w:rPr>
            </w:pPr>
          </w:p>
        </w:tc>
        <w:tc>
          <w:tcPr>
            <w:tcW w:w="1080" w:type="dxa"/>
            <w:vAlign w:val="bottom"/>
            <w:shd w:val="clear" w:color="auto" w:fill="BAE2F8"/>
          </w:tcPr>
          <w:p>
            <w:pPr>
              <w:spacing w:after="0"/>
              <w:rPr>
                <w:sz w:val="8"/>
                <w:szCs w:val="8"/>
                <w:color w:val="auto"/>
              </w:rPr>
            </w:pPr>
          </w:p>
        </w:tc>
        <w:tc>
          <w:tcPr>
            <w:tcW w:w="440" w:type="dxa"/>
            <w:vAlign w:val="bottom"/>
            <w:shd w:val="clear" w:color="auto" w:fill="BAE2F8"/>
          </w:tcPr>
          <w:p>
            <w:pPr>
              <w:spacing w:after="0"/>
              <w:rPr>
                <w:sz w:val="8"/>
                <w:szCs w:val="8"/>
                <w:color w:val="auto"/>
              </w:rPr>
            </w:pPr>
          </w:p>
        </w:tc>
        <w:tc>
          <w:tcPr>
            <w:tcW w:w="360" w:type="dxa"/>
            <w:vAlign w:val="bottom"/>
            <w:shd w:val="clear" w:color="auto" w:fill="BAE2F8"/>
          </w:tcPr>
          <w:p>
            <w:pPr>
              <w:spacing w:after="0"/>
              <w:rPr>
                <w:sz w:val="8"/>
                <w:szCs w:val="8"/>
                <w:color w:val="auto"/>
              </w:rPr>
            </w:pPr>
          </w:p>
        </w:tc>
        <w:tc>
          <w:tcPr>
            <w:tcW w:w="160" w:type="dxa"/>
            <w:vAlign w:val="bottom"/>
            <w:shd w:val="clear" w:color="auto" w:fill="BAE2F8"/>
          </w:tcPr>
          <w:p>
            <w:pPr>
              <w:spacing w:after="0"/>
              <w:rPr>
                <w:sz w:val="8"/>
                <w:szCs w:val="8"/>
                <w:color w:val="auto"/>
              </w:rPr>
            </w:pPr>
          </w:p>
        </w:tc>
        <w:tc>
          <w:tcPr>
            <w:tcW w:w="1000" w:type="dxa"/>
            <w:vAlign w:val="bottom"/>
            <w:shd w:val="clear" w:color="auto" w:fill="BAE2F8"/>
          </w:tcPr>
          <w:p>
            <w:pPr>
              <w:spacing w:after="0"/>
              <w:rPr>
                <w:sz w:val="8"/>
                <w:szCs w:val="8"/>
                <w:color w:val="auto"/>
              </w:rPr>
            </w:pPr>
          </w:p>
        </w:tc>
        <w:tc>
          <w:tcPr>
            <w:tcW w:w="1380" w:type="dxa"/>
            <w:vAlign w:val="bottom"/>
            <w:shd w:val="clear" w:color="auto" w:fill="BAE2F8"/>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080" w:type="dxa"/>
            <w:vAlign w:val="bottom"/>
          </w:tcPr>
          <w:p>
            <w:pPr>
              <w:ind w:left="20"/>
              <w:spacing w:after="0"/>
              <w:rPr>
                <w:sz w:val="20"/>
                <w:szCs w:val="20"/>
                <w:color w:val="auto"/>
              </w:rPr>
            </w:pPr>
            <w:r>
              <w:rPr>
                <w:rFonts w:ascii="Arial" w:cs="Arial" w:eastAsia="Arial" w:hAnsi="Arial"/>
                <w:sz w:val="13"/>
                <w:szCs w:val="13"/>
                <w:color w:val="4C4C4C"/>
              </w:rPr>
              <w:t>Tracy Liu</w:t>
            </w:r>
          </w:p>
        </w:tc>
        <w:tc>
          <w:tcPr>
            <w:tcW w:w="360" w:type="dxa"/>
            <w:vAlign w:val="bottom"/>
          </w:tcPr>
          <w:p>
            <w:pPr>
              <w:jc w:val="center"/>
              <w:spacing w:after="0"/>
              <w:rPr>
                <w:sz w:val="20"/>
                <w:szCs w:val="20"/>
                <w:color w:val="auto"/>
              </w:rPr>
            </w:pPr>
            <w:r>
              <w:rPr>
                <w:rFonts w:ascii="Arial" w:cs="Arial" w:eastAsia="Arial" w:hAnsi="Arial"/>
                <w:sz w:val="13"/>
                <w:szCs w:val="13"/>
                <w:color w:val="4C4C4C"/>
              </w:rPr>
              <w:t>57</w:t>
            </w:r>
          </w:p>
        </w:tc>
        <w:tc>
          <w:tcPr>
            <w:tcW w:w="580" w:type="dxa"/>
            <w:vAlign w:val="bottom"/>
          </w:tcPr>
          <w:p>
            <w:pPr>
              <w:jc w:val="center"/>
              <w:spacing w:after="0"/>
              <w:rPr>
                <w:sz w:val="20"/>
                <w:szCs w:val="20"/>
                <w:color w:val="auto"/>
              </w:rPr>
            </w:pPr>
            <w:r>
              <w:rPr>
                <w:rFonts w:ascii="Arial" w:cs="Arial" w:eastAsia="Arial" w:hAnsi="Arial"/>
                <w:sz w:val="13"/>
                <w:szCs w:val="13"/>
                <w:color w:val="4C4C4C"/>
              </w:rPr>
              <w:t>2016</w:t>
            </w:r>
          </w:p>
        </w:tc>
        <w:tc>
          <w:tcPr>
            <w:tcW w:w="1820" w:type="dxa"/>
            <w:vAlign w:val="bottom"/>
          </w:tcPr>
          <w:p>
            <w:pPr>
              <w:ind w:left="60"/>
              <w:spacing w:after="0"/>
              <w:rPr>
                <w:sz w:val="20"/>
                <w:szCs w:val="20"/>
                <w:color w:val="auto"/>
              </w:rPr>
            </w:pPr>
            <w:r>
              <w:rPr>
                <w:rFonts w:ascii="Arial" w:cs="Arial" w:eastAsia="Arial" w:hAnsi="Arial"/>
                <w:sz w:val="13"/>
                <w:szCs w:val="13"/>
                <w:color w:val="4C4C4C"/>
              </w:rPr>
              <w:t>Managing Partner of H&amp;M</w:t>
            </w:r>
          </w:p>
        </w:tc>
        <w:tc>
          <w:tcPr>
            <w:tcW w:w="160" w:type="dxa"/>
            <w:vAlign w:val="bottom"/>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80" w:type="dxa"/>
            <w:vAlign w:val="bottom"/>
          </w:tcPr>
          <w:p>
            <w:pPr>
              <w:ind w:left="80"/>
              <w:spacing w:after="0"/>
              <w:rPr>
                <w:sz w:val="20"/>
                <w:szCs w:val="20"/>
                <w:color w:val="auto"/>
              </w:rPr>
            </w:pPr>
            <w:r>
              <w:rPr>
                <w:rFonts w:ascii="Arial" w:cs="Arial" w:eastAsia="Arial" w:hAnsi="Arial"/>
                <w:sz w:val="13"/>
                <w:szCs w:val="13"/>
                <w:color w:val="4C4C4C"/>
              </w:rPr>
              <w:t>Finance</w:t>
            </w:r>
          </w:p>
        </w:tc>
        <w:tc>
          <w:tcPr>
            <w:tcW w:w="4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shd w:val="clear" w:color="auto" w:fill="546483"/>
              </w:rPr>
              <w:t>✔</w:t>
            </w:r>
          </w:p>
        </w:tc>
        <w:tc>
          <w:tcPr>
            <w:tcW w:w="36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00" w:type="dxa"/>
            <w:vAlign w:val="bottom"/>
          </w:tcPr>
          <w:p>
            <w:pPr>
              <w:ind w:left="60"/>
              <w:spacing w:after="0"/>
              <w:rPr>
                <w:sz w:val="20"/>
                <w:szCs w:val="20"/>
                <w:color w:val="auto"/>
              </w:rPr>
            </w:pPr>
            <w:r>
              <w:rPr>
                <w:rFonts w:ascii="Arial" w:cs="Arial" w:eastAsia="Arial" w:hAnsi="Arial"/>
                <w:sz w:val="13"/>
                <w:szCs w:val="13"/>
                <w:color w:val="4C4C4C"/>
              </w:rPr>
              <w:t>Audit</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4C4C4C"/>
              </w:rPr>
              <w:t>Int’l CPAs, LLP</w:t>
            </w:r>
          </w:p>
        </w:tc>
        <w:tc>
          <w:tcPr>
            <w:tcW w:w="160" w:type="dxa"/>
            <w:vAlign w:val="bottom"/>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80" w:type="dxa"/>
            <w:vAlign w:val="bottom"/>
          </w:tcPr>
          <w:p>
            <w:pPr>
              <w:ind w:left="80"/>
              <w:spacing w:after="0"/>
              <w:rPr>
                <w:sz w:val="20"/>
                <w:szCs w:val="20"/>
                <w:color w:val="auto"/>
              </w:rPr>
            </w:pPr>
            <w:r>
              <w:rPr>
                <w:rFonts w:ascii="Arial" w:cs="Arial" w:eastAsia="Arial" w:hAnsi="Arial"/>
                <w:sz w:val="13"/>
                <w:szCs w:val="13"/>
                <w:color w:val="4C4C4C"/>
              </w:rPr>
              <w:t>Leadership</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00" w:type="dxa"/>
            <w:vAlign w:val="bottom"/>
          </w:tcPr>
          <w:p>
            <w:pPr>
              <w:ind w:left="80"/>
              <w:spacing w:after="0"/>
              <w:rPr>
                <w:sz w:val="20"/>
                <w:szCs w:val="20"/>
                <w:color w:val="auto"/>
              </w:rPr>
            </w:pPr>
            <w:r>
              <w:rPr>
                <w:rFonts w:ascii="Arial" w:cs="Arial" w:eastAsia="Arial" w:hAnsi="Arial"/>
                <w:sz w:val="13"/>
                <w:szCs w:val="13"/>
                <w:color w:val="4C4C4C"/>
              </w:rPr>
              <w:t>Compensation</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80" w:type="dxa"/>
            <w:vAlign w:val="bottom"/>
          </w:tcPr>
          <w:p>
            <w:pPr>
              <w:ind w:left="80"/>
              <w:spacing w:after="0"/>
              <w:rPr>
                <w:sz w:val="20"/>
                <w:szCs w:val="20"/>
                <w:color w:val="auto"/>
              </w:rPr>
            </w:pPr>
            <w:r>
              <w:rPr>
                <w:rFonts w:ascii="Arial" w:cs="Arial" w:eastAsia="Arial" w:hAnsi="Arial"/>
                <w:sz w:val="13"/>
                <w:szCs w:val="13"/>
                <w:color w:val="4C4C4C"/>
              </w:rPr>
              <w:t>Global</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00" w:type="dxa"/>
            <w:vAlign w:val="bottom"/>
          </w:tcPr>
          <w:p>
            <w:pPr>
              <w:ind w:left="80"/>
              <w:spacing w:after="0"/>
              <w:rPr>
                <w:sz w:val="20"/>
                <w:szCs w:val="20"/>
                <w:color w:val="auto"/>
              </w:rPr>
            </w:pPr>
            <w:r>
              <w:rPr>
                <w:rFonts w:ascii="Arial" w:cs="Arial" w:eastAsia="Arial" w:hAnsi="Arial"/>
                <w:sz w:val="13"/>
                <w:szCs w:val="13"/>
                <w:color w:val="4C4C4C"/>
              </w:rPr>
              <w:t>Nominating</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ind w:left="80"/>
              <w:spacing w:after="0"/>
              <w:rPr>
                <w:sz w:val="20"/>
                <w:szCs w:val="20"/>
                <w:color w:val="auto"/>
              </w:rPr>
            </w:pPr>
            <w:r>
              <w:rPr>
                <w:rFonts w:ascii="Arial" w:cs="Arial" w:eastAsia="Arial" w:hAnsi="Arial"/>
                <w:sz w:val="13"/>
                <w:szCs w:val="13"/>
                <w:color w:val="4C4C4C"/>
              </w:rPr>
              <w:t>and</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ind w:left="80"/>
              <w:spacing w:after="0"/>
              <w:rPr>
                <w:sz w:val="20"/>
                <w:szCs w:val="20"/>
                <w:color w:val="auto"/>
              </w:rPr>
            </w:pPr>
            <w:r>
              <w:rPr>
                <w:rFonts w:ascii="Arial" w:cs="Arial" w:eastAsia="Arial" w:hAnsi="Arial"/>
                <w:sz w:val="13"/>
                <w:szCs w:val="13"/>
                <w:color w:val="4C4C4C"/>
              </w:rPr>
              <w:t>Governance</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10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080" w:type="dxa"/>
            <w:vAlign w:val="bottom"/>
            <w:shd w:val="clear" w:color="auto" w:fill="BAE2F8"/>
          </w:tcPr>
          <w:p>
            <w:pPr>
              <w:ind w:left="20"/>
              <w:spacing w:after="0"/>
              <w:rPr>
                <w:sz w:val="20"/>
                <w:szCs w:val="20"/>
                <w:color w:val="auto"/>
              </w:rPr>
            </w:pPr>
            <w:r>
              <w:rPr>
                <w:rFonts w:ascii="Arial" w:cs="Arial" w:eastAsia="Arial" w:hAnsi="Arial"/>
                <w:sz w:val="13"/>
                <w:szCs w:val="13"/>
                <w:color w:val="4C4C4C"/>
              </w:rPr>
              <w:t>David H. Wang</w:t>
            </w:r>
          </w:p>
        </w:tc>
        <w:tc>
          <w:tcPr>
            <w:tcW w:w="360" w:type="dxa"/>
            <w:vAlign w:val="bottom"/>
            <w:shd w:val="clear" w:color="auto" w:fill="BAE2F8"/>
          </w:tcPr>
          <w:p>
            <w:pPr>
              <w:jc w:val="center"/>
              <w:spacing w:after="0"/>
              <w:rPr>
                <w:sz w:val="20"/>
                <w:szCs w:val="20"/>
                <w:color w:val="auto"/>
              </w:rPr>
            </w:pPr>
            <w:r>
              <w:rPr>
                <w:rFonts w:ascii="Arial" w:cs="Arial" w:eastAsia="Arial" w:hAnsi="Arial"/>
                <w:sz w:val="13"/>
                <w:szCs w:val="13"/>
                <w:color w:val="4C4C4C"/>
              </w:rPr>
              <w:t>60</w:t>
            </w:r>
          </w:p>
        </w:tc>
        <w:tc>
          <w:tcPr>
            <w:tcW w:w="580" w:type="dxa"/>
            <w:vAlign w:val="bottom"/>
            <w:shd w:val="clear" w:color="auto" w:fill="BAE2F8"/>
          </w:tcPr>
          <w:p>
            <w:pPr>
              <w:jc w:val="center"/>
              <w:spacing w:after="0"/>
              <w:rPr>
                <w:sz w:val="20"/>
                <w:szCs w:val="20"/>
                <w:color w:val="auto"/>
              </w:rPr>
            </w:pPr>
            <w:r>
              <w:rPr>
                <w:rFonts w:ascii="Arial" w:cs="Arial" w:eastAsia="Arial" w:hAnsi="Arial"/>
                <w:sz w:val="13"/>
                <w:szCs w:val="13"/>
                <w:color w:val="4C4C4C"/>
              </w:rPr>
              <w:t>1998</w:t>
            </w:r>
          </w:p>
        </w:tc>
        <w:tc>
          <w:tcPr>
            <w:tcW w:w="1820" w:type="dxa"/>
            <w:vAlign w:val="bottom"/>
            <w:shd w:val="clear" w:color="auto" w:fill="BAE2F8"/>
          </w:tcPr>
          <w:p>
            <w:pPr>
              <w:ind w:left="60"/>
              <w:spacing w:after="0"/>
              <w:rPr>
                <w:sz w:val="20"/>
                <w:szCs w:val="20"/>
                <w:color w:val="auto"/>
              </w:rPr>
            </w:pPr>
            <w:r>
              <w:rPr>
                <w:rFonts w:ascii="Arial" w:cs="Arial" w:eastAsia="Arial" w:hAnsi="Arial"/>
                <w:sz w:val="13"/>
                <w:szCs w:val="13"/>
                <w:color w:val="4C4C4C"/>
              </w:rPr>
              <w:t>Founder, Chief Executive</w:t>
            </w:r>
          </w:p>
        </w:tc>
        <w:tc>
          <w:tcPr>
            <w:tcW w:w="160" w:type="dxa"/>
            <w:vAlign w:val="bottom"/>
            <w:shd w:val="clear" w:color="auto" w:fill="BAE2F8"/>
          </w:tcPr>
          <w:p>
            <w:pPr>
              <w:ind w:left="60"/>
              <w:spacing w:after="0"/>
              <w:rPr>
                <w:sz w:val="20"/>
                <w:szCs w:val="20"/>
                <w:color w:val="auto"/>
              </w:rPr>
            </w:pPr>
            <w:r>
              <w:rPr>
                <w:rFonts w:ascii="Arial" w:cs="Arial" w:eastAsia="Arial" w:hAnsi="Arial"/>
                <w:sz w:val="13"/>
                <w:szCs w:val="13"/>
                <w:color w:val="4694D0"/>
                <w:w w:val="97"/>
              </w:rPr>
              <w:t>•</w:t>
            </w:r>
            <w:r>
              <w:rPr>
                <w:rFonts w:ascii="Arial" w:cs="Arial" w:eastAsia="Arial" w:hAnsi="Arial"/>
                <w:sz w:val="13"/>
                <w:szCs w:val="13"/>
                <w:color w:val="4C4C4C"/>
                <w:w w:val="97"/>
              </w:rPr>
              <w:t xml:space="preserve"> </w:t>
            </w:r>
          </w:p>
        </w:tc>
        <w:tc>
          <w:tcPr>
            <w:tcW w:w="1080" w:type="dxa"/>
            <w:vAlign w:val="bottom"/>
            <w:shd w:val="clear" w:color="auto" w:fill="BAE2F8"/>
          </w:tcPr>
          <w:p>
            <w:pPr>
              <w:ind w:left="80"/>
              <w:spacing w:after="0"/>
              <w:rPr>
                <w:sz w:val="20"/>
                <w:szCs w:val="20"/>
                <w:color w:val="auto"/>
              </w:rPr>
            </w:pPr>
            <w:r>
              <w:rPr>
                <w:rFonts w:ascii="Arial" w:cs="Arial" w:eastAsia="Arial" w:hAnsi="Arial"/>
                <w:sz w:val="13"/>
                <w:szCs w:val="13"/>
                <w:color w:val="4C4C4C"/>
              </w:rPr>
              <w:t>Industry</w:t>
            </w:r>
          </w:p>
        </w:tc>
        <w:tc>
          <w:tcPr>
            <w:tcW w:w="440" w:type="dxa"/>
            <w:vAlign w:val="bottom"/>
            <w:shd w:val="clear" w:color="auto" w:fill="BAE2F8"/>
          </w:tcPr>
          <w:p>
            <w:pPr>
              <w:spacing w:after="0"/>
              <w:rPr>
                <w:sz w:val="21"/>
                <w:szCs w:val="21"/>
                <w:color w:val="auto"/>
              </w:rPr>
            </w:pPr>
          </w:p>
        </w:tc>
        <w:tc>
          <w:tcPr>
            <w:tcW w:w="520" w:type="dxa"/>
            <w:vAlign w:val="bottom"/>
            <w:gridSpan w:val="2"/>
            <w:shd w:val="clear" w:color="auto" w:fill="BAE2F8"/>
          </w:tcPr>
          <w:p>
            <w:pPr>
              <w:jc w:val="center"/>
              <w:ind w:right="53"/>
              <w:spacing w:after="0" w:line="131" w:lineRule="exact"/>
              <w:rPr>
                <w:sz w:val="20"/>
                <w:szCs w:val="20"/>
                <w:color w:val="auto"/>
              </w:rPr>
            </w:pPr>
            <w:r>
              <w:rPr>
                <w:rFonts w:ascii="MS PGothic" w:cs="MS PGothic" w:eastAsia="MS PGothic" w:hAnsi="MS PGothic"/>
                <w:sz w:val="13"/>
                <w:szCs w:val="13"/>
                <w:color w:val="auto"/>
                <w:w w:val="91"/>
                <w:shd w:val="clear" w:color="auto" w:fill="4694D0"/>
              </w:rPr>
              <w:t>✔</w:t>
            </w:r>
          </w:p>
        </w:tc>
        <w:tc>
          <w:tcPr>
            <w:tcW w:w="1000" w:type="dxa"/>
            <w:vAlign w:val="bottom"/>
            <w:shd w:val="clear" w:color="auto" w:fill="BAE2F8"/>
          </w:tcPr>
          <w:p>
            <w:pPr>
              <w:spacing w:after="0"/>
              <w:rPr>
                <w:sz w:val="21"/>
                <w:szCs w:val="21"/>
                <w:color w:val="auto"/>
              </w:rPr>
            </w:pPr>
          </w:p>
        </w:tc>
        <w:tc>
          <w:tcPr>
            <w:tcW w:w="1380" w:type="dxa"/>
            <w:vAlign w:val="bottom"/>
            <w:shd w:val="clear" w:color="auto" w:fill="BAE2F8"/>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BAE2F8"/>
          </w:tcPr>
          <w:p>
            <w:pPr>
              <w:spacing w:after="0"/>
              <w:rPr>
                <w:sz w:val="12"/>
                <w:szCs w:val="12"/>
                <w:color w:val="auto"/>
              </w:rPr>
            </w:pPr>
          </w:p>
        </w:tc>
        <w:tc>
          <w:tcPr>
            <w:tcW w:w="360" w:type="dxa"/>
            <w:vAlign w:val="bottom"/>
            <w:shd w:val="clear" w:color="auto" w:fill="BAE2F8"/>
          </w:tcPr>
          <w:p>
            <w:pPr>
              <w:spacing w:after="0"/>
              <w:rPr>
                <w:sz w:val="12"/>
                <w:szCs w:val="12"/>
                <w:color w:val="auto"/>
              </w:rPr>
            </w:pPr>
          </w:p>
        </w:tc>
        <w:tc>
          <w:tcPr>
            <w:tcW w:w="580" w:type="dxa"/>
            <w:vAlign w:val="bottom"/>
            <w:shd w:val="clear" w:color="auto" w:fill="BAE2F8"/>
          </w:tcPr>
          <w:p>
            <w:pPr>
              <w:spacing w:after="0"/>
              <w:rPr>
                <w:sz w:val="12"/>
                <w:szCs w:val="12"/>
                <w:color w:val="auto"/>
              </w:rPr>
            </w:pPr>
          </w:p>
        </w:tc>
        <w:tc>
          <w:tcPr>
            <w:tcW w:w="1820" w:type="dxa"/>
            <w:vAlign w:val="bottom"/>
            <w:shd w:val="clear" w:color="auto" w:fill="BAE2F8"/>
          </w:tcPr>
          <w:p>
            <w:pPr>
              <w:ind w:left="60"/>
              <w:spacing w:after="0"/>
              <w:rPr>
                <w:sz w:val="20"/>
                <w:szCs w:val="20"/>
                <w:color w:val="auto"/>
              </w:rPr>
            </w:pPr>
            <w:r>
              <w:rPr>
                <w:rFonts w:ascii="Arial" w:cs="Arial" w:eastAsia="Arial" w:hAnsi="Arial"/>
                <w:sz w:val="13"/>
                <w:szCs w:val="13"/>
                <w:color w:val="4C4C4C"/>
              </w:rPr>
              <w:t>Officer and President of</w:t>
            </w:r>
          </w:p>
        </w:tc>
        <w:tc>
          <w:tcPr>
            <w:tcW w:w="160" w:type="dxa"/>
            <w:vAlign w:val="bottom"/>
            <w:shd w:val="clear" w:color="auto" w:fill="BAE2F8"/>
          </w:tcPr>
          <w:p>
            <w:pPr>
              <w:ind w:left="60"/>
              <w:spacing w:after="0"/>
              <w:rPr>
                <w:sz w:val="20"/>
                <w:szCs w:val="20"/>
                <w:color w:val="auto"/>
              </w:rPr>
            </w:pPr>
            <w:r>
              <w:rPr>
                <w:rFonts w:ascii="Arial" w:cs="Arial" w:eastAsia="Arial" w:hAnsi="Arial"/>
                <w:sz w:val="13"/>
                <w:szCs w:val="13"/>
                <w:color w:val="4694D0"/>
                <w:w w:val="97"/>
              </w:rPr>
              <w:t>•</w:t>
            </w:r>
            <w:r>
              <w:rPr>
                <w:rFonts w:ascii="Arial" w:cs="Arial" w:eastAsia="Arial" w:hAnsi="Arial"/>
                <w:sz w:val="13"/>
                <w:szCs w:val="13"/>
                <w:color w:val="4C4C4C"/>
                <w:w w:val="97"/>
              </w:rPr>
              <w:t xml:space="preserve"> </w:t>
            </w:r>
          </w:p>
        </w:tc>
        <w:tc>
          <w:tcPr>
            <w:tcW w:w="1080" w:type="dxa"/>
            <w:vAlign w:val="bottom"/>
            <w:shd w:val="clear" w:color="auto" w:fill="BAE2F8"/>
          </w:tcPr>
          <w:p>
            <w:pPr>
              <w:ind w:left="80"/>
              <w:spacing w:after="0"/>
              <w:rPr>
                <w:sz w:val="20"/>
                <w:szCs w:val="20"/>
                <w:color w:val="auto"/>
              </w:rPr>
            </w:pPr>
            <w:r>
              <w:rPr>
                <w:rFonts w:ascii="Arial" w:cs="Arial" w:eastAsia="Arial" w:hAnsi="Arial"/>
                <w:sz w:val="13"/>
                <w:szCs w:val="13"/>
                <w:color w:val="4C4C4C"/>
              </w:rPr>
              <w:t>Innovation</w:t>
            </w:r>
          </w:p>
        </w:tc>
        <w:tc>
          <w:tcPr>
            <w:tcW w:w="440" w:type="dxa"/>
            <w:vAlign w:val="bottom"/>
            <w:shd w:val="clear" w:color="auto" w:fill="BAE2F8"/>
          </w:tcPr>
          <w:p>
            <w:pPr>
              <w:spacing w:after="0"/>
              <w:rPr>
                <w:sz w:val="12"/>
                <w:szCs w:val="12"/>
                <w:color w:val="auto"/>
              </w:rPr>
            </w:pPr>
          </w:p>
        </w:tc>
        <w:tc>
          <w:tcPr>
            <w:tcW w:w="360" w:type="dxa"/>
            <w:vAlign w:val="bottom"/>
            <w:shd w:val="clear" w:color="auto" w:fill="BAE2F8"/>
          </w:tcPr>
          <w:p>
            <w:pPr>
              <w:spacing w:after="0"/>
              <w:rPr>
                <w:sz w:val="12"/>
                <w:szCs w:val="12"/>
                <w:color w:val="auto"/>
              </w:rPr>
            </w:pPr>
          </w:p>
        </w:tc>
        <w:tc>
          <w:tcPr>
            <w:tcW w:w="160" w:type="dxa"/>
            <w:vAlign w:val="bottom"/>
            <w:shd w:val="clear" w:color="auto" w:fill="BAE2F8"/>
          </w:tcPr>
          <w:p>
            <w:pPr>
              <w:spacing w:after="0"/>
              <w:rPr>
                <w:sz w:val="12"/>
                <w:szCs w:val="12"/>
                <w:color w:val="auto"/>
              </w:rPr>
            </w:pPr>
          </w:p>
        </w:tc>
        <w:tc>
          <w:tcPr>
            <w:tcW w:w="1000" w:type="dxa"/>
            <w:vAlign w:val="bottom"/>
            <w:shd w:val="clear" w:color="auto" w:fill="BAE2F8"/>
          </w:tcPr>
          <w:p>
            <w:pPr>
              <w:spacing w:after="0"/>
              <w:rPr>
                <w:sz w:val="12"/>
                <w:szCs w:val="12"/>
                <w:color w:val="auto"/>
              </w:rPr>
            </w:pPr>
          </w:p>
        </w:tc>
        <w:tc>
          <w:tcPr>
            <w:tcW w:w="1380" w:type="dxa"/>
            <w:vAlign w:val="bottom"/>
            <w:shd w:val="clear" w:color="auto" w:fill="BAE2F8"/>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80" w:type="dxa"/>
            <w:vAlign w:val="bottom"/>
            <w:shd w:val="clear" w:color="auto" w:fill="BAE2F8"/>
          </w:tcPr>
          <w:p>
            <w:pPr>
              <w:spacing w:after="0"/>
              <w:rPr>
                <w:sz w:val="15"/>
                <w:szCs w:val="15"/>
                <w:color w:val="auto"/>
              </w:rPr>
            </w:pPr>
          </w:p>
        </w:tc>
        <w:tc>
          <w:tcPr>
            <w:tcW w:w="360" w:type="dxa"/>
            <w:vAlign w:val="bottom"/>
            <w:shd w:val="clear" w:color="auto" w:fill="BAE2F8"/>
          </w:tcPr>
          <w:p>
            <w:pPr>
              <w:spacing w:after="0"/>
              <w:rPr>
                <w:sz w:val="15"/>
                <w:szCs w:val="15"/>
                <w:color w:val="auto"/>
              </w:rPr>
            </w:pPr>
          </w:p>
        </w:tc>
        <w:tc>
          <w:tcPr>
            <w:tcW w:w="580" w:type="dxa"/>
            <w:vAlign w:val="bottom"/>
            <w:shd w:val="clear" w:color="auto" w:fill="BAE2F8"/>
          </w:tcPr>
          <w:p>
            <w:pPr>
              <w:spacing w:after="0"/>
              <w:rPr>
                <w:sz w:val="15"/>
                <w:szCs w:val="15"/>
                <w:color w:val="auto"/>
              </w:rPr>
            </w:pPr>
          </w:p>
        </w:tc>
        <w:tc>
          <w:tcPr>
            <w:tcW w:w="1820" w:type="dxa"/>
            <w:vAlign w:val="bottom"/>
            <w:shd w:val="clear" w:color="auto" w:fill="BAE2F8"/>
          </w:tcPr>
          <w:p>
            <w:pPr>
              <w:ind w:left="60"/>
              <w:spacing w:after="0"/>
              <w:rPr>
                <w:sz w:val="20"/>
                <w:szCs w:val="20"/>
                <w:color w:val="auto"/>
              </w:rPr>
            </w:pPr>
            <w:r>
              <w:rPr>
                <w:rFonts w:ascii="Arial" w:cs="Arial" w:eastAsia="Arial" w:hAnsi="Arial"/>
                <w:sz w:val="13"/>
                <w:szCs w:val="13"/>
                <w:color w:val="4C4C4C"/>
              </w:rPr>
              <w:t>ACM Research, Inc.</w:t>
            </w:r>
          </w:p>
        </w:tc>
        <w:tc>
          <w:tcPr>
            <w:tcW w:w="160" w:type="dxa"/>
            <w:vAlign w:val="bottom"/>
            <w:shd w:val="clear" w:color="auto" w:fill="BAE2F8"/>
          </w:tcPr>
          <w:p>
            <w:pPr>
              <w:ind w:left="60"/>
              <w:spacing w:after="0"/>
              <w:rPr>
                <w:sz w:val="20"/>
                <w:szCs w:val="20"/>
                <w:color w:val="auto"/>
              </w:rPr>
            </w:pPr>
            <w:r>
              <w:rPr>
                <w:rFonts w:ascii="Arial" w:cs="Arial" w:eastAsia="Arial" w:hAnsi="Arial"/>
                <w:sz w:val="13"/>
                <w:szCs w:val="13"/>
                <w:color w:val="4694D0"/>
                <w:w w:val="97"/>
              </w:rPr>
              <w:t>•</w:t>
            </w:r>
            <w:r>
              <w:rPr>
                <w:rFonts w:ascii="Arial" w:cs="Arial" w:eastAsia="Arial" w:hAnsi="Arial"/>
                <w:sz w:val="13"/>
                <w:szCs w:val="13"/>
                <w:color w:val="4C4C4C"/>
                <w:w w:val="97"/>
              </w:rPr>
              <w:t xml:space="preserve"> </w:t>
            </w:r>
          </w:p>
        </w:tc>
        <w:tc>
          <w:tcPr>
            <w:tcW w:w="1080" w:type="dxa"/>
            <w:vAlign w:val="bottom"/>
            <w:shd w:val="clear" w:color="auto" w:fill="BAE2F8"/>
          </w:tcPr>
          <w:p>
            <w:pPr>
              <w:ind w:left="80"/>
              <w:spacing w:after="0"/>
              <w:rPr>
                <w:sz w:val="20"/>
                <w:szCs w:val="20"/>
                <w:color w:val="auto"/>
              </w:rPr>
            </w:pPr>
            <w:r>
              <w:rPr>
                <w:rFonts w:ascii="Arial" w:cs="Arial" w:eastAsia="Arial" w:hAnsi="Arial"/>
                <w:sz w:val="13"/>
                <w:szCs w:val="13"/>
                <w:color w:val="4C4C4C"/>
              </w:rPr>
              <w:t>Leadership</w:t>
            </w:r>
          </w:p>
        </w:tc>
        <w:tc>
          <w:tcPr>
            <w:tcW w:w="440" w:type="dxa"/>
            <w:vAlign w:val="bottom"/>
            <w:shd w:val="clear" w:color="auto" w:fill="BAE2F8"/>
          </w:tcPr>
          <w:p>
            <w:pPr>
              <w:spacing w:after="0"/>
              <w:rPr>
                <w:sz w:val="15"/>
                <w:szCs w:val="15"/>
                <w:color w:val="auto"/>
              </w:rPr>
            </w:pPr>
          </w:p>
        </w:tc>
        <w:tc>
          <w:tcPr>
            <w:tcW w:w="360" w:type="dxa"/>
            <w:vAlign w:val="bottom"/>
            <w:shd w:val="clear" w:color="auto" w:fill="BAE2F8"/>
          </w:tcPr>
          <w:p>
            <w:pPr>
              <w:spacing w:after="0"/>
              <w:rPr>
                <w:sz w:val="15"/>
                <w:szCs w:val="15"/>
                <w:color w:val="auto"/>
              </w:rPr>
            </w:pPr>
          </w:p>
        </w:tc>
        <w:tc>
          <w:tcPr>
            <w:tcW w:w="160" w:type="dxa"/>
            <w:vAlign w:val="bottom"/>
            <w:shd w:val="clear" w:color="auto" w:fill="BAE2F8"/>
          </w:tcPr>
          <w:p>
            <w:pPr>
              <w:spacing w:after="0"/>
              <w:rPr>
                <w:sz w:val="15"/>
                <w:szCs w:val="15"/>
                <w:color w:val="auto"/>
              </w:rPr>
            </w:pPr>
          </w:p>
        </w:tc>
        <w:tc>
          <w:tcPr>
            <w:tcW w:w="1000" w:type="dxa"/>
            <w:vAlign w:val="bottom"/>
            <w:shd w:val="clear" w:color="auto" w:fill="BAE2F8"/>
          </w:tcPr>
          <w:p>
            <w:pPr>
              <w:spacing w:after="0"/>
              <w:rPr>
                <w:sz w:val="15"/>
                <w:szCs w:val="15"/>
                <w:color w:val="auto"/>
              </w:rPr>
            </w:pPr>
          </w:p>
        </w:tc>
        <w:tc>
          <w:tcPr>
            <w:tcW w:w="1380" w:type="dxa"/>
            <w:vAlign w:val="bottom"/>
            <w:shd w:val="clear" w:color="auto" w:fill="BAE2F8"/>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80" w:type="dxa"/>
            <w:vAlign w:val="bottom"/>
            <w:shd w:val="clear" w:color="auto" w:fill="BAE2F8"/>
          </w:tcPr>
          <w:p>
            <w:pPr>
              <w:spacing w:after="0"/>
              <w:rPr>
                <w:sz w:val="8"/>
                <w:szCs w:val="8"/>
                <w:color w:val="auto"/>
              </w:rPr>
            </w:pPr>
          </w:p>
        </w:tc>
        <w:tc>
          <w:tcPr>
            <w:tcW w:w="360" w:type="dxa"/>
            <w:vAlign w:val="bottom"/>
            <w:shd w:val="clear" w:color="auto" w:fill="BAE2F8"/>
          </w:tcPr>
          <w:p>
            <w:pPr>
              <w:spacing w:after="0"/>
              <w:rPr>
                <w:sz w:val="8"/>
                <w:szCs w:val="8"/>
                <w:color w:val="auto"/>
              </w:rPr>
            </w:pPr>
          </w:p>
        </w:tc>
        <w:tc>
          <w:tcPr>
            <w:tcW w:w="580" w:type="dxa"/>
            <w:vAlign w:val="bottom"/>
            <w:shd w:val="clear" w:color="auto" w:fill="BAE2F8"/>
          </w:tcPr>
          <w:p>
            <w:pPr>
              <w:spacing w:after="0"/>
              <w:rPr>
                <w:sz w:val="8"/>
                <w:szCs w:val="8"/>
                <w:color w:val="auto"/>
              </w:rPr>
            </w:pPr>
          </w:p>
        </w:tc>
        <w:tc>
          <w:tcPr>
            <w:tcW w:w="1820" w:type="dxa"/>
            <w:vAlign w:val="bottom"/>
            <w:shd w:val="clear" w:color="auto" w:fill="BAE2F8"/>
          </w:tcPr>
          <w:p>
            <w:pPr>
              <w:spacing w:after="0"/>
              <w:rPr>
                <w:sz w:val="8"/>
                <w:szCs w:val="8"/>
                <w:color w:val="auto"/>
              </w:rPr>
            </w:pPr>
          </w:p>
        </w:tc>
        <w:tc>
          <w:tcPr>
            <w:tcW w:w="160" w:type="dxa"/>
            <w:vAlign w:val="bottom"/>
            <w:shd w:val="clear" w:color="auto" w:fill="BAE2F8"/>
          </w:tcPr>
          <w:p>
            <w:pPr>
              <w:spacing w:after="0"/>
              <w:rPr>
                <w:sz w:val="8"/>
                <w:szCs w:val="8"/>
                <w:color w:val="auto"/>
              </w:rPr>
            </w:pPr>
          </w:p>
        </w:tc>
        <w:tc>
          <w:tcPr>
            <w:tcW w:w="1080" w:type="dxa"/>
            <w:vAlign w:val="bottom"/>
            <w:shd w:val="clear" w:color="auto" w:fill="BAE2F8"/>
          </w:tcPr>
          <w:p>
            <w:pPr>
              <w:spacing w:after="0"/>
              <w:rPr>
                <w:sz w:val="8"/>
                <w:szCs w:val="8"/>
                <w:color w:val="auto"/>
              </w:rPr>
            </w:pPr>
          </w:p>
        </w:tc>
        <w:tc>
          <w:tcPr>
            <w:tcW w:w="440" w:type="dxa"/>
            <w:vAlign w:val="bottom"/>
            <w:shd w:val="clear" w:color="auto" w:fill="BAE2F8"/>
          </w:tcPr>
          <w:p>
            <w:pPr>
              <w:spacing w:after="0"/>
              <w:rPr>
                <w:sz w:val="8"/>
                <w:szCs w:val="8"/>
                <w:color w:val="auto"/>
              </w:rPr>
            </w:pPr>
          </w:p>
        </w:tc>
        <w:tc>
          <w:tcPr>
            <w:tcW w:w="360" w:type="dxa"/>
            <w:vAlign w:val="bottom"/>
            <w:shd w:val="clear" w:color="auto" w:fill="BAE2F8"/>
          </w:tcPr>
          <w:p>
            <w:pPr>
              <w:spacing w:after="0"/>
              <w:rPr>
                <w:sz w:val="8"/>
                <w:szCs w:val="8"/>
                <w:color w:val="auto"/>
              </w:rPr>
            </w:pPr>
          </w:p>
        </w:tc>
        <w:tc>
          <w:tcPr>
            <w:tcW w:w="160" w:type="dxa"/>
            <w:vAlign w:val="bottom"/>
            <w:shd w:val="clear" w:color="auto" w:fill="BAE2F8"/>
          </w:tcPr>
          <w:p>
            <w:pPr>
              <w:spacing w:after="0"/>
              <w:rPr>
                <w:sz w:val="8"/>
                <w:szCs w:val="8"/>
                <w:color w:val="auto"/>
              </w:rPr>
            </w:pPr>
          </w:p>
        </w:tc>
        <w:tc>
          <w:tcPr>
            <w:tcW w:w="1000" w:type="dxa"/>
            <w:vAlign w:val="bottom"/>
            <w:shd w:val="clear" w:color="auto" w:fill="BAE2F8"/>
          </w:tcPr>
          <w:p>
            <w:pPr>
              <w:spacing w:after="0"/>
              <w:rPr>
                <w:sz w:val="8"/>
                <w:szCs w:val="8"/>
                <w:color w:val="auto"/>
              </w:rPr>
            </w:pPr>
          </w:p>
        </w:tc>
        <w:tc>
          <w:tcPr>
            <w:tcW w:w="1380" w:type="dxa"/>
            <w:vAlign w:val="bottom"/>
            <w:shd w:val="clear" w:color="auto" w:fill="BAE2F8"/>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080" w:type="dxa"/>
            <w:vAlign w:val="bottom"/>
          </w:tcPr>
          <w:p>
            <w:pPr>
              <w:ind w:left="20"/>
              <w:spacing w:after="0"/>
              <w:rPr>
                <w:sz w:val="20"/>
                <w:szCs w:val="20"/>
                <w:color w:val="auto"/>
              </w:rPr>
            </w:pPr>
            <w:r>
              <w:rPr>
                <w:rFonts w:ascii="Arial" w:cs="Arial" w:eastAsia="Arial" w:hAnsi="Arial"/>
                <w:sz w:val="13"/>
                <w:szCs w:val="13"/>
                <w:color w:val="4C4C4C"/>
              </w:rPr>
              <w:t>Xiao Xing</w:t>
            </w:r>
          </w:p>
        </w:tc>
        <w:tc>
          <w:tcPr>
            <w:tcW w:w="360" w:type="dxa"/>
            <w:vAlign w:val="bottom"/>
          </w:tcPr>
          <w:p>
            <w:pPr>
              <w:jc w:val="center"/>
              <w:spacing w:after="0"/>
              <w:rPr>
                <w:sz w:val="20"/>
                <w:szCs w:val="20"/>
                <w:color w:val="auto"/>
              </w:rPr>
            </w:pPr>
            <w:r>
              <w:rPr>
                <w:rFonts w:ascii="Arial" w:cs="Arial" w:eastAsia="Arial" w:hAnsi="Arial"/>
                <w:sz w:val="13"/>
                <w:szCs w:val="13"/>
                <w:color w:val="4C4C4C"/>
              </w:rPr>
              <w:t>46</w:t>
            </w:r>
          </w:p>
        </w:tc>
        <w:tc>
          <w:tcPr>
            <w:tcW w:w="580" w:type="dxa"/>
            <w:vAlign w:val="bottom"/>
          </w:tcPr>
          <w:p>
            <w:pPr>
              <w:jc w:val="center"/>
              <w:spacing w:after="0"/>
              <w:rPr>
                <w:sz w:val="20"/>
                <w:szCs w:val="20"/>
                <w:color w:val="auto"/>
              </w:rPr>
            </w:pPr>
            <w:r>
              <w:rPr>
                <w:rFonts w:ascii="Arial" w:cs="Arial" w:eastAsia="Arial" w:hAnsi="Arial"/>
                <w:sz w:val="13"/>
                <w:szCs w:val="13"/>
                <w:color w:val="4C4C4C"/>
              </w:rPr>
              <w:t>—</w:t>
            </w:r>
          </w:p>
        </w:tc>
        <w:tc>
          <w:tcPr>
            <w:tcW w:w="1820" w:type="dxa"/>
            <w:vAlign w:val="bottom"/>
          </w:tcPr>
          <w:p>
            <w:pPr>
              <w:ind w:left="60"/>
              <w:spacing w:after="0"/>
              <w:rPr>
                <w:sz w:val="20"/>
                <w:szCs w:val="20"/>
                <w:color w:val="auto"/>
              </w:rPr>
            </w:pPr>
            <w:r>
              <w:rPr>
                <w:rFonts w:ascii="Arial" w:cs="Arial" w:eastAsia="Arial" w:hAnsi="Arial"/>
                <w:sz w:val="13"/>
                <w:szCs w:val="13"/>
                <w:color w:val="4C4C4C"/>
              </w:rPr>
              <w:t>Vice President of Shanghai</w:t>
            </w:r>
          </w:p>
        </w:tc>
        <w:tc>
          <w:tcPr>
            <w:tcW w:w="160" w:type="dxa"/>
            <w:vAlign w:val="bottom"/>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80" w:type="dxa"/>
            <w:vAlign w:val="bottom"/>
          </w:tcPr>
          <w:p>
            <w:pPr>
              <w:ind w:left="80"/>
              <w:spacing w:after="0"/>
              <w:rPr>
                <w:sz w:val="20"/>
                <w:szCs w:val="20"/>
                <w:color w:val="auto"/>
              </w:rPr>
            </w:pPr>
            <w:r>
              <w:rPr>
                <w:rFonts w:ascii="Arial" w:cs="Arial" w:eastAsia="Arial" w:hAnsi="Arial"/>
                <w:sz w:val="13"/>
                <w:szCs w:val="13"/>
                <w:color w:val="4C4C4C"/>
              </w:rPr>
              <w:t>Finance</w:t>
            </w:r>
          </w:p>
        </w:tc>
        <w:tc>
          <w:tcPr>
            <w:tcW w:w="4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shd w:val="clear" w:color="auto" w:fill="546483"/>
              </w:rPr>
              <w:t>✔</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4C4C4C"/>
              </w:rPr>
              <w:t>Pudong Haiwang Private</w:t>
            </w:r>
          </w:p>
        </w:tc>
        <w:tc>
          <w:tcPr>
            <w:tcW w:w="160" w:type="dxa"/>
            <w:vAlign w:val="bottom"/>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80" w:type="dxa"/>
            <w:vAlign w:val="bottom"/>
          </w:tcPr>
          <w:p>
            <w:pPr>
              <w:ind w:left="80"/>
              <w:spacing w:after="0"/>
              <w:rPr>
                <w:sz w:val="20"/>
                <w:szCs w:val="20"/>
                <w:color w:val="auto"/>
              </w:rPr>
            </w:pPr>
            <w:r>
              <w:rPr>
                <w:rFonts w:ascii="Arial" w:cs="Arial" w:eastAsia="Arial" w:hAnsi="Arial"/>
                <w:sz w:val="13"/>
                <w:szCs w:val="13"/>
                <w:color w:val="4C4C4C"/>
              </w:rPr>
              <w:t>Leadership</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4C4C4C"/>
              </w:rPr>
              <w:t>Fund Management Co., Ltd.</w:t>
            </w:r>
          </w:p>
        </w:tc>
        <w:tc>
          <w:tcPr>
            <w:tcW w:w="160" w:type="dxa"/>
            <w:vAlign w:val="bottom"/>
          </w:tcPr>
          <w:p>
            <w:pPr>
              <w:ind w:left="60"/>
              <w:spacing w:after="0"/>
              <w:rPr>
                <w:sz w:val="20"/>
                <w:szCs w:val="20"/>
                <w:color w:val="auto"/>
              </w:rPr>
            </w:pPr>
            <w:r>
              <w:rPr>
                <w:rFonts w:ascii="Arial" w:cs="Arial" w:eastAsia="Arial" w:hAnsi="Arial"/>
                <w:sz w:val="13"/>
                <w:szCs w:val="13"/>
                <w:color w:val="546483"/>
                <w:w w:val="97"/>
              </w:rPr>
              <w:t>•</w:t>
            </w:r>
            <w:r>
              <w:rPr>
                <w:rFonts w:ascii="Arial" w:cs="Arial" w:eastAsia="Arial" w:hAnsi="Arial"/>
                <w:sz w:val="13"/>
                <w:szCs w:val="13"/>
                <w:color w:val="4C4C4C"/>
                <w:w w:val="97"/>
              </w:rPr>
              <w:t xml:space="preserve"> </w:t>
            </w:r>
          </w:p>
        </w:tc>
        <w:tc>
          <w:tcPr>
            <w:tcW w:w="1080" w:type="dxa"/>
            <w:vAlign w:val="bottom"/>
          </w:tcPr>
          <w:p>
            <w:pPr>
              <w:ind w:left="80"/>
              <w:spacing w:after="0"/>
              <w:rPr>
                <w:sz w:val="20"/>
                <w:szCs w:val="20"/>
                <w:color w:val="auto"/>
              </w:rPr>
            </w:pPr>
            <w:r>
              <w:rPr>
                <w:rFonts w:ascii="Arial" w:cs="Arial" w:eastAsia="Arial" w:hAnsi="Arial"/>
                <w:sz w:val="13"/>
                <w:szCs w:val="13"/>
                <w:color w:val="4C4C4C"/>
              </w:rPr>
              <w:t>Global</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880" w:type="dxa"/>
        <w:tblCellMar>
          <w:top w:w="0" w:type="dxa"/>
          <w:left w:w="0" w:type="dxa"/>
          <w:bottom w:w="0" w:type="dxa"/>
          <w:right w:w="0" w:type="dxa"/>
        </w:tblCellMar>
      </w:tblPr>
      <w:tr>
        <w:trPr>
          <w:trHeight w:val="245"/>
        </w:trPr>
        <w:tc>
          <w:tcPr>
            <w:tcW w:w="2880" w:type="dxa"/>
            <w:vAlign w:val="bottom"/>
          </w:tcPr>
          <w:p>
            <w:pPr>
              <w:spacing w:after="0"/>
              <w:rPr>
                <w:sz w:val="20"/>
                <w:szCs w:val="20"/>
                <w:color w:val="auto"/>
              </w:rPr>
            </w:pPr>
            <w:r>
              <w:rPr>
                <w:rFonts w:ascii="Arial" w:cs="Arial" w:eastAsia="Arial" w:hAnsi="Arial"/>
                <w:sz w:val="18"/>
                <w:szCs w:val="18"/>
                <w:b w:val="1"/>
                <w:bCs w:val="1"/>
                <w:i w:val="1"/>
                <w:iCs w:val="1"/>
                <w:color w:val="0079C1"/>
                <w:w w:val="99"/>
              </w:rPr>
              <w:t>Director Nominee Representation</w:t>
            </w: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378"/>
        </w:trPr>
        <w:tc>
          <w:tcPr>
            <w:tcW w:w="2880" w:type="dxa"/>
            <w:vAlign w:val="bottom"/>
          </w:tcPr>
          <w:p>
            <w:pPr>
              <w:spacing w:after="0"/>
              <w:rPr>
                <w:sz w:val="20"/>
                <w:szCs w:val="20"/>
                <w:color w:val="auto"/>
              </w:rPr>
            </w:pPr>
            <w:r>
              <w:rPr>
                <w:rFonts w:ascii="Arial" w:cs="Arial" w:eastAsia="Arial" w:hAnsi="Arial"/>
                <w:sz w:val="18"/>
                <w:szCs w:val="18"/>
                <w:b w:val="1"/>
                <w:bCs w:val="1"/>
                <w:color w:val="546483"/>
              </w:rPr>
              <w:t>DIVERSITY</w:t>
            </w: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546483"/>
              </w:rPr>
              <w:t>INDEPENDENCE</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80" w:type="dxa"/>
            <w:vAlign w:val="bottom"/>
          </w:tcPr>
          <w:p>
            <w:pPr>
              <w:ind w:left="160"/>
              <w:spacing w:after="0"/>
              <w:rPr>
                <w:sz w:val="20"/>
                <w:szCs w:val="20"/>
                <w:color w:val="auto"/>
              </w:rPr>
            </w:pPr>
            <w:r>
              <w:rPr>
                <w:rFonts w:ascii="Arial" w:cs="Arial" w:eastAsia="Arial" w:hAnsi="Arial"/>
                <w:sz w:val="18"/>
                <w:szCs w:val="18"/>
                <w:b w:val="1"/>
                <w:bCs w:val="1"/>
                <w:color w:val="546483"/>
              </w:rPr>
              <w:t>TENURE</w:t>
            </w:r>
          </w:p>
        </w:tc>
      </w:tr>
      <w:tr>
        <w:trPr>
          <w:trHeight w:val="577"/>
        </w:trPr>
        <w:tc>
          <w:tcPr>
            <w:tcW w:w="2880" w:type="dxa"/>
            <w:vAlign w:val="bottom"/>
          </w:tcPr>
          <w:p>
            <w:pPr>
              <w:spacing w:after="0"/>
              <w:rPr>
                <w:sz w:val="20"/>
                <w:szCs w:val="20"/>
                <w:color w:val="auto"/>
              </w:rPr>
            </w:pPr>
            <w:r>
              <w:rPr>
                <w:rFonts w:ascii="Arial" w:cs="Arial" w:eastAsia="Arial" w:hAnsi="Arial"/>
                <w:sz w:val="18"/>
                <w:szCs w:val="18"/>
                <w:color w:val="4C4C4C"/>
              </w:rPr>
              <w:t>All  of  our  director  nominees</w:t>
            </w:r>
          </w:p>
        </w:tc>
        <w:tc>
          <w:tcPr>
            <w:tcW w:w="2760" w:type="dxa"/>
            <w:vAlign w:val="bottom"/>
            <w:gridSpan w:val="4"/>
          </w:tcPr>
          <w:p>
            <w:pPr>
              <w:ind w:left="20"/>
              <w:spacing w:after="0"/>
              <w:rPr>
                <w:sz w:val="20"/>
                <w:szCs w:val="20"/>
                <w:color w:val="auto"/>
              </w:rPr>
            </w:pPr>
            <w:r>
              <w:rPr>
                <w:rFonts w:ascii="Arial" w:cs="Arial" w:eastAsia="Arial" w:hAnsi="Arial"/>
                <w:sz w:val="18"/>
                <w:szCs w:val="18"/>
                <w:color w:val="4C4C4C"/>
              </w:rPr>
              <w:t>Four   of   our   five   director</w:t>
            </w:r>
          </w:p>
        </w:tc>
        <w:tc>
          <w:tcPr>
            <w:tcW w:w="2780" w:type="dxa"/>
            <w:vAlign w:val="bottom"/>
          </w:tcPr>
          <w:p>
            <w:pPr>
              <w:ind w:left="160"/>
              <w:spacing w:after="0"/>
              <w:rPr>
                <w:sz w:val="20"/>
                <w:szCs w:val="20"/>
                <w:color w:val="auto"/>
              </w:rPr>
            </w:pPr>
            <w:r>
              <w:rPr>
                <w:rFonts w:ascii="Arial" w:cs="Arial" w:eastAsia="Arial" w:hAnsi="Arial"/>
                <w:sz w:val="18"/>
                <w:szCs w:val="18"/>
                <w:color w:val="4C4C4C"/>
              </w:rPr>
              <w:t>The  tenure  of  our  director</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4C4C4C"/>
              </w:rPr>
              <w:t>voluntarily self-identify as having</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4C4C4C"/>
              </w:rPr>
              <w:t>nominees</w:t>
            </w:r>
          </w:p>
        </w:tc>
        <w:tc>
          <w:tcPr>
            <w:tcW w:w="940" w:type="dxa"/>
            <w:vAlign w:val="bottom"/>
            <w:gridSpan w:val="2"/>
          </w:tcPr>
          <w:p>
            <w:pPr>
              <w:jc w:val="center"/>
              <w:spacing w:after="0" w:line="202" w:lineRule="exact"/>
              <w:rPr>
                <w:sz w:val="20"/>
                <w:szCs w:val="20"/>
                <w:color w:val="auto"/>
              </w:rPr>
            </w:pPr>
            <w:r>
              <w:rPr>
                <w:rFonts w:ascii="Arial" w:cs="Arial" w:eastAsia="Arial" w:hAnsi="Arial"/>
                <w:sz w:val="18"/>
                <w:szCs w:val="18"/>
                <w:color w:val="4C4C4C"/>
                <w:w w:val="99"/>
              </w:rPr>
              <w:t>qualify</w:t>
            </w:r>
          </w:p>
        </w:tc>
        <w:tc>
          <w:tcPr>
            <w:tcW w:w="700" w:type="dxa"/>
            <w:vAlign w:val="bottom"/>
          </w:tcPr>
          <w:p>
            <w:pPr>
              <w:jc w:val="right"/>
              <w:ind w:right="50"/>
              <w:spacing w:after="0" w:line="202" w:lineRule="exact"/>
              <w:rPr>
                <w:sz w:val="20"/>
                <w:szCs w:val="20"/>
                <w:color w:val="auto"/>
              </w:rPr>
            </w:pPr>
            <w:r>
              <w:rPr>
                <w:rFonts w:ascii="Arial" w:cs="Arial" w:eastAsia="Arial" w:hAnsi="Arial"/>
                <w:sz w:val="18"/>
                <w:szCs w:val="18"/>
                <w:color w:val="4C4C4C"/>
              </w:rPr>
              <w:t>as</w:t>
            </w:r>
          </w:p>
        </w:tc>
        <w:tc>
          <w:tcPr>
            <w:tcW w:w="2780" w:type="dxa"/>
            <w:vAlign w:val="bottom"/>
          </w:tcPr>
          <w:p>
            <w:pPr>
              <w:ind w:left="160"/>
              <w:spacing w:after="0" w:line="202" w:lineRule="exact"/>
              <w:rPr>
                <w:sz w:val="20"/>
                <w:szCs w:val="20"/>
                <w:color w:val="auto"/>
              </w:rPr>
            </w:pPr>
            <w:r>
              <w:rPr>
                <w:rFonts w:ascii="Arial" w:cs="Arial" w:eastAsia="Arial" w:hAnsi="Arial"/>
                <w:sz w:val="18"/>
                <w:szCs w:val="18"/>
                <w:color w:val="4C4C4C"/>
              </w:rPr>
              <w:t>nominees  reflects  a  mix  of</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4C4C4C"/>
              </w:rPr>
              <w:t>a  diverse  identity  (gender  or</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4C4C4C"/>
              </w:rPr>
              <w:t>independent</w:t>
            </w:r>
          </w:p>
        </w:tc>
        <w:tc>
          <w:tcPr>
            <w:tcW w:w="940" w:type="dxa"/>
            <w:vAlign w:val="bottom"/>
            <w:gridSpan w:val="2"/>
          </w:tcPr>
          <w:p>
            <w:pPr>
              <w:jc w:val="center"/>
              <w:spacing w:after="0" w:line="202" w:lineRule="exact"/>
              <w:rPr>
                <w:sz w:val="20"/>
                <w:szCs w:val="20"/>
                <w:color w:val="auto"/>
              </w:rPr>
            </w:pPr>
            <w:r>
              <w:rPr>
                <w:rFonts w:ascii="Arial" w:cs="Arial" w:eastAsia="Arial" w:hAnsi="Arial"/>
                <w:sz w:val="18"/>
                <w:szCs w:val="18"/>
                <w:color w:val="4C4C4C"/>
                <w:w w:val="99"/>
              </w:rPr>
              <w:t>under</w:t>
            </w:r>
          </w:p>
        </w:tc>
        <w:tc>
          <w:tcPr>
            <w:tcW w:w="700" w:type="dxa"/>
            <w:vAlign w:val="bottom"/>
          </w:tcPr>
          <w:p>
            <w:pPr>
              <w:jc w:val="right"/>
              <w:ind w:right="50"/>
              <w:spacing w:after="0" w:line="202" w:lineRule="exact"/>
              <w:rPr>
                <w:sz w:val="20"/>
                <w:szCs w:val="20"/>
                <w:color w:val="auto"/>
              </w:rPr>
            </w:pPr>
            <w:r>
              <w:rPr>
                <w:rFonts w:ascii="Arial" w:cs="Arial" w:eastAsia="Arial" w:hAnsi="Arial"/>
                <w:sz w:val="18"/>
                <w:szCs w:val="18"/>
                <w:color w:val="4C4C4C"/>
              </w:rPr>
              <w:t>SEC</w:t>
            </w:r>
          </w:p>
        </w:tc>
        <w:tc>
          <w:tcPr>
            <w:tcW w:w="2780" w:type="dxa"/>
            <w:vAlign w:val="bottom"/>
          </w:tcPr>
          <w:p>
            <w:pPr>
              <w:ind w:left="160"/>
              <w:spacing w:after="0" w:line="202" w:lineRule="exact"/>
              <w:rPr>
                <w:sz w:val="20"/>
                <w:szCs w:val="20"/>
                <w:color w:val="auto"/>
              </w:rPr>
            </w:pPr>
            <w:r>
              <w:rPr>
                <w:rFonts w:ascii="Arial" w:cs="Arial" w:eastAsia="Arial" w:hAnsi="Arial"/>
                <w:sz w:val="18"/>
                <w:szCs w:val="18"/>
                <w:color w:val="4C4C4C"/>
              </w:rPr>
              <w:t>experience and perspective.</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4C4C4C"/>
              </w:rPr>
              <w:t>race).</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4C4C4C"/>
              </w:rPr>
              <w:t>regulations</w:t>
            </w:r>
          </w:p>
        </w:tc>
        <w:tc>
          <w:tcPr>
            <w:tcW w:w="560" w:type="dxa"/>
            <w:vAlign w:val="bottom"/>
          </w:tcPr>
          <w:p>
            <w:pPr>
              <w:ind w:left="100"/>
              <w:spacing w:after="0" w:line="202" w:lineRule="exact"/>
              <w:rPr>
                <w:sz w:val="20"/>
                <w:szCs w:val="20"/>
                <w:color w:val="auto"/>
              </w:rPr>
            </w:pPr>
            <w:r>
              <w:rPr>
                <w:rFonts w:ascii="Arial" w:cs="Arial" w:eastAsia="Arial" w:hAnsi="Arial"/>
                <w:sz w:val="18"/>
                <w:szCs w:val="18"/>
                <w:color w:val="4C4C4C"/>
              </w:rPr>
              <w:t>and</w:t>
            </w:r>
          </w:p>
        </w:tc>
        <w:tc>
          <w:tcPr>
            <w:tcW w:w="10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4C4C4C"/>
              </w:rPr>
              <w:t>NASDAQ</w:t>
            </w:r>
          </w:p>
        </w:tc>
        <w:tc>
          <w:tcPr>
            <w:tcW w:w="2780" w:type="dxa"/>
            <w:vAlign w:val="bottom"/>
          </w:tcPr>
          <w:p>
            <w:pPr>
              <w:spacing w:after="0"/>
              <w:rPr>
                <w:sz w:val="17"/>
                <w:szCs w:val="17"/>
                <w:color w:val="auto"/>
              </w:rPr>
            </w:pPr>
          </w:p>
        </w:tc>
      </w:tr>
      <w:tr>
        <w:trPr>
          <w:trHeight w:val="239"/>
        </w:trPr>
        <w:tc>
          <w:tcPr>
            <w:tcW w:w="288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4C4C4C"/>
              </w:rPr>
              <w:t>standards.</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9"/>
        <w:spacing w:after="0"/>
        <w:rPr>
          <w:sz w:val="20"/>
          <w:szCs w:val="20"/>
          <w:color w:val="auto"/>
        </w:rPr>
      </w:pPr>
      <w:r>
        <w:rPr>
          <w:rFonts w:ascii="Arial" w:cs="Arial" w:eastAsia="Arial" w:hAnsi="Arial"/>
          <w:sz w:val="18"/>
          <w:szCs w:val="18"/>
          <w:color w:val="4C4C4C"/>
        </w:rPr>
        <w:t> </w:t>
      </w:r>
    </w:p>
    <w:p>
      <w:pPr>
        <w:spacing w:after="0" w:line="50" w:lineRule="exact"/>
        <w:rPr>
          <w:sz w:val="20"/>
          <w:szCs w:val="20"/>
          <w:color w:val="auto"/>
        </w:rPr>
      </w:pPr>
    </w:p>
    <w:p>
      <w:pPr>
        <w:ind w:left="880"/>
        <w:spacing w:after="0"/>
        <w:tabs>
          <w:tab w:leader="none" w:pos="6660" w:val="left"/>
        </w:tabs>
        <w:rPr>
          <w:sz w:val="20"/>
          <w:szCs w:val="20"/>
          <w:color w:val="auto"/>
        </w:rPr>
      </w:pPr>
      <w:r>
        <w:rPr>
          <w:rFonts w:ascii="Arial" w:cs="Arial" w:eastAsia="Arial" w:hAnsi="Arial"/>
          <w:sz w:val="18"/>
          <w:szCs w:val="18"/>
          <w:color w:val="4C4C4C"/>
        </w:rPr>
        <w:t> </w:t>
      </w:r>
      <w:r>
        <w:rPr>
          <w:sz w:val="20"/>
          <w:szCs w:val="20"/>
          <w:color w:val="auto"/>
        </w:rPr>
        <w:tab/>
      </w:r>
      <w:r>
        <w:rPr>
          <w:rFonts w:ascii="Arial" w:cs="Arial" w:eastAsia="Arial" w:hAnsi="Arial"/>
          <w:sz w:val="18"/>
          <w:szCs w:val="18"/>
          <w:color w:val="4C4C4C"/>
        </w:rPr>
        <w:t> </w:t>
      </w:r>
    </w:p>
    <w:p>
      <w:pPr>
        <w:spacing w:after="0" w:line="38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231775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99"/>
          </w:cols>
          <w:pgMar w:left="860" w:top="37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510540</wp:posOffset>
            </wp:positionH>
            <wp:positionV relativeFrom="page">
              <wp:posOffset>116840</wp:posOffset>
            </wp:positionV>
            <wp:extent cx="6527800" cy="89795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27800" cy="8979535"/>
                    </a:xfrm>
                    <a:prstGeom prst="rect">
                      <a:avLst/>
                    </a:prstGeom>
                    <a:noFill/>
                  </pic:spPr>
                </pic:pic>
              </a:graphicData>
            </a:graphic>
          </wp:anchor>
        </w:drawing>
        <w:t>TABLE OF CONTENTS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0079C1"/>
        </w:rPr>
        <w:t>Board Diversity Matrix</w:t>
      </w:r>
    </w:p>
    <w:p>
      <w:pPr>
        <w:spacing w:after="0" w:line="80" w:lineRule="exact"/>
        <w:rPr>
          <w:sz w:val="20"/>
          <w:szCs w:val="20"/>
          <w:color w:val="auto"/>
        </w:rPr>
      </w:pPr>
    </w:p>
    <w:tbl>
      <w:tblPr>
        <w:tblLayout w:type="fixed"/>
        <w:tblInd w:w="880" w:type="dxa"/>
        <w:tblCellMar>
          <w:top w:w="0" w:type="dxa"/>
          <w:left w:w="0" w:type="dxa"/>
          <w:bottom w:w="0" w:type="dxa"/>
          <w:right w:w="0" w:type="dxa"/>
        </w:tblCellMar>
      </w:tblPr>
      <w:tr>
        <w:trPr>
          <w:trHeight w:val="295"/>
        </w:trPr>
        <w:tc>
          <w:tcPr>
            <w:tcW w:w="4540" w:type="dxa"/>
            <w:vAlign w:val="bottom"/>
            <w:shd w:val="clear" w:color="auto" w:fill="0D3F64"/>
          </w:tcPr>
          <w:p>
            <w:pPr>
              <w:ind w:left="40"/>
              <w:spacing w:after="0"/>
              <w:rPr>
                <w:sz w:val="20"/>
                <w:szCs w:val="20"/>
                <w:color w:val="auto"/>
              </w:rPr>
            </w:pPr>
            <w:r>
              <w:rPr>
                <w:rFonts w:ascii="Arial" w:cs="Arial" w:eastAsia="Arial" w:hAnsi="Arial"/>
                <w:sz w:val="14"/>
                <w:szCs w:val="14"/>
                <w:b w:val="1"/>
                <w:bCs w:val="1"/>
                <w:color w:val="FFFFFF"/>
              </w:rPr>
              <w:t>Total Number of Current Directors</w:t>
            </w:r>
          </w:p>
        </w:tc>
        <w:tc>
          <w:tcPr>
            <w:tcW w:w="2320" w:type="dxa"/>
            <w:vAlign w:val="bottom"/>
            <w:shd w:val="clear" w:color="auto" w:fill="0D3F64"/>
          </w:tcPr>
          <w:p>
            <w:pPr>
              <w:spacing w:after="0"/>
              <w:rPr>
                <w:sz w:val="24"/>
                <w:szCs w:val="24"/>
                <w:color w:val="auto"/>
              </w:rPr>
            </w:pPr>
          </w:p>
        </w:tc>
        <w:tc>
          <w:tcPr>
            <w:tcW w:w="1560" w:type="dxa"/>
            <w:vAlign w:val="bottom"/>
            <w:shd w:val="clear" w:color="auto" w:fill="0D3F64"/>
          </w:tcPr>
          <w:p>
            <w:pPr>
              <w:jc w:val="right"/>
              <w:ind w:right="1199"/>
              <w:spacing w:after="0"/>
              <w:rPr>
                <w:sz w:val="20"/>
                <w:szCs w:val="20"/>
                <w:color w:val="auto"/>
              </w:rPr>
            </w:pPr>
            <w:r>
              <w:rPr>
                <w:rFonts w:ascii="Arial" w:cs="Arial" w:eastAsia="Arial" w:hAnsi="Arial"/>
                <w:sz w:val="14"/>
                <w:szCs w:val="14"/>
                <w:b w:val="1"/>
                <w:bCs w:val="1"/>
                <w:color w:val="FFFFFF"/>
              </w:rPr>
              <w:t>5</w:t>
            </w:r>
          </w:p>
        </w:tc>
      </w:tr>
      <w:tr>
        <w:trPr>
          <w:trHeight w:val="392"/>
        </w:trPr>
        <w:tc>
          <w:tcPr>
            <w:tcW w:w="4540" w:type="dxa"/>
            <w:vAlign w:val="bottom"/>
            <w:shd w:val="clear" w:color="auto" w:fill="0D3F64"/>
          </w:tcPr>
          <w:p>
            <w:pPr>
              <w:spacing w:after="0"/>
              <w:rPr>
                <w:sz w:val="24"/>
                <w:szCs w:val="24"/>
                <w:color w:val="auto"/>
              </w:rPr>
            </w:pPr>
          </w:p>
        </w:tc>
        <w:tc>
          <w:tcPr>
            <w:tcW w:w="2320" w:type="dxa"/>
            <w:vAlign w:val="bottom"/>
            <w:shd w:val="clear" w:color="auto" w:fill="0D3F64"/>
          </w:tcPr>
          <w:p>
            <w:pPr>
              <w:jc w:val="center"/>
              <w:ind w:left="1376"/>
              <w:spacing w:after="0"/>
              <w:rPr>
                <w:sz w:val="20"/>
                <w:szCs w:val="20"/>
                <w:color w:val="auto"/>
              </w:rPr>
            </w:pPr>
            <w:r>
              <w:rPr>
                <w:rFonts w:ascii="Arial" w:cs="Arial" w:eastAsia="Arial" w:hAnsi="Arial"/>
                <w:sz w:val="14"/>
                <w:szCs w:val="14"/>
                <w:b w:val="1"/>
                <w:bCs w:val="1"/>
                <w:color w:val="FFFFFF"/>
              </w:rPr>
              <w:t>Female</w:t>
            </w:r>
          </w:p>
        </w:tc>
        <w:tc>
          <w:tcPr>
            <w:tcW w:w="1560" w:type="dxa"/>
            <w:vAlign w:val="bottom"/>
            <w:shd w:val="clear" w:color="auto" w:fill="0D3F64"/>
          </w:tcPr>
          <w:p>
            <w:pPr>
              <w:jc w:val="center"/>
              <w:ind w:left="199"/>
              <w:spacing w:after="0"/>
              <w:rPr>
                <w:sz w:val="20"/>
                <w:szCs w:val="20"/>
                <w:color w:val="auto"/>
              </w:rPr>
            </w:pPr>
            <w:r>
              <w:rPr>
                <w:rFonts w:ascii="Arial" w:cs="Arial" w:eastAsia="Arial" w:hAnsi="Arial"/>
                <w:sz w:val="14"/>
                <w:szCs w:val="14"/>
                <w:b w:val="1"/>
                <w:bCs w:val="1"/>
                <w:color w:val="FFFFFF"/>
              </w:rPr>
              <w:t>Male</w:t>
            </w:r>
          </w:p>
        </w:tc>
      </w:tr>
      <w:tr>
        <w:trPr>
          <w:trHeight w:val="83"/>
        </w:trPr>
        <w:tc>
          <w:tcPr>
            <w:tcW w:w="4540" w:type="dxa"/>
            <w:vAlign w:val="bottom"/>
            <w:shd w:val="clear" w:color="auto" w:fill="0D3F64"/>
          </w:tcPr>
          <w:p>
            <w:pPr>
              <w:spacing w:after="0"/>
              <w:rPr>
                <w:sz w:val="7"/>
                <w:szCs w:val="7"/>
                <w:color w:val="auto"/>
              </w:rPr>
            </w:pPr>
          </w:p>
        </w:tc>
        <w:tc>
          <w:tcPr>
            <w:tcW w:w="2320" w:type="dxa"/>
            <w:vAlign w:val="bottom"/>
            <w:shd w:val="clear" w:color="auto" w:fill="0D3F64"/>
          </w:tcPr>
          <w:p>
            <w:pPr>
              <w:spacing w:after="0"/>
              <w:rPr>
                <w:sz w:val="7"/>
                <w:szCs w:val="7"/>
                <w:color w:val="auto"/>
              </w:rPr>
            </w:pPr>
          </w:p>
        </w:tc>
        <w:tc>
          <w:tcPr>
            <w:tcW w:w="1560" w:type="dxa"/>
            <w:vAlign w:val="bottom"/>
            <w:shd w:val="clear" w:color="auto" w:fill="0D3F64"/>
          </w:tcPr>
          <w:p>
            <w:pPr>
              <w:spacing w:after="0"/>
              <w:rPr>
                <w:sz w:val="7"/>
                <w:szCs w:val="7"/>
                <w:color w:val="auto"/>
              </w:rPr>
            </w:pPr>
          </w:p>
        </w:tc>
      </w:tr>
      <w:tr>
        <w:trPr>
          <w:trHeight w:val="336"/>
        </w:trPr>
        <w:tc>
          <w:tcPr>
            <w:tcW w:w="4540" w:type="dxa"/>
            <w:vAlign w:val="bottom"/>
          </w:tcPr>
          <w:p>
            <w:pPr>
              <w:ind w:left="40"/>
              <w:spacing w:after="0"/>
              <w:rPr>
                <w:sz w:val="20"/>
                <w:szCs w:val="20"/>
                <w:color w:val="auto"/>
              </w:rPr>
            </w:pPr>
            <w:r>
              <w:rPr>
                <w:rFonts w:ascii="Arial" w:cs="Arial" w:eastAsia="Arial" w:hAnsi="Arial"/>
                <w:sz w:val="18"/>
                <w:szCs w:val="18"/>
                <w:b w:val="1"/>
                <w:bCs w:val="1"/>
                <w:i w:val="1"/>
                <w:iCs w:val="1"/>
                <w:color w:val="4C4C4C"/>
              </w:rPr>
              <w:t>Part I: Gender Identity</w:t>
            </w:r>
          </w:p>
        </w:tc>
        <w:tc>
          <w:tcPr>
            <w:tcW w:w="23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83"/>
        </w:trPr>
        <w:tc>
          <w:tcPr>
            <w:tcW w:w="45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328"/>
        </w:trPr>
        <w:tc>
          <w:tcPr>
            <w:tcW w:w="4540" w:type="dxa"/>
            <w:vAlign w:val="bottom"/>
            <w:shd w:val="clear" w:color="auto" w:fill="BAE2F8"/>
          </w:tcPr>
          <w:p>
            <w:pPr>
              <w:ind w:left="220"/>
              <w:spacing w:after="0"/>
              <w:rPr>
                <w:sz w:val="20"/>
                <w:szCs w:val="20"/>
                <w:color w:val="auto"/>
              </w:rPr>
            </w:pPr>
            <w:r>
              <w:rPr>
                <w:rFonts w:ascii="Arial" w:cs="Arial" w:eastAsia="Arial" w:hAnsi="Arial"/>
                <w:sz w:val="18"/>
                <w:szCs w:val="18"/>
                <w:color w:val="4C4C4C"/>
              </w:rPr>
              <w:t>Directors</w:t>
            </w:r>
          </w:p>
        </w:tc>
        <w:tc>
          <w:tcPr>
            <w:tcW w:w="2320" w:type="dxa"/>
            <w:vAlign w:val="bottom"/>
            <w:shd w:val="clear" w:color="auto" w:fill="BAE2F8"/>
          </w:tcPr>
          <w:p>
            <w:pPr>
              <w:jc w:val="center"/>
              <w:ind w:left="1356"/>
              <w:spacing w:after="0"/>
              <w:rPr>
                <w:sz w:val="20"/>
                <w:szCs w:val="20"/>
                <w:color w:val="auto"/>
              </w:rPr>
            </w:pPr>
            <w:r>
              <w:rPr>
                <w:rFonts w:ascii="Arial" w:cs="Arial" w:eastAsia="Arial" w:hAnsi="Arial"/>
                <w:sz w:val="18"/>
                <w:szCs w:val="18"/>
                <w:color w:val="4C4C4C"/>
                <w:w w:val="93"/>
              </w:rPr>
              <w:t>2*</w:t>
            </w:r>
          </w:p>
        </w:tc>
        <w:tc>
          <w:tcPr>
            <w:tcW w:w="1560" w:type="dxa"/>
            <w:vAlign w:val="bottom"/>
            <w:shd w:val="clear" w:color="auto" w:fill="BAE2F8"/>
          </w:tcPr>
          <w:p>
            <w:pPr>
              <w:jc w:val="center"/>
              <w:ind w:left="219"/>
              <w:spacing w:after="0"/>
              <w:rPr>
                <w:sz w:val="20"/>
                <w:szCs w:val="20"/>
                <w:color w:val="auto"/>
              </w:rPr>
            </w:pPr>
            <w:r>
              <w:rPr>
                <w:rFonts w:ascii="Arial" w:cs="Arial" w:eastAsia="Arial" w:hAnsi="Arial"/>
                <w:sz w:val="18"/>
                <w:szCs w:val="18"/>
                <w:color w:val="4C4C4C"/>
                <w:w w:val="99"/>
              </w:rPr>
              <w:t>3</w:t>
            </w:r>
          </w:p>
        </w:tc>
      </w:tr>
      <w:tr>
        <w:trPr>
          <w:trHeight w:val="90"/>
        </w:trPr>
        <w:tc>
          <w:tcPr>
            <w:tcW w:w="4540" w:type="dxa"/>
            <w:vAlign w:val="bottom"/>
            <w:shd w:val="clear" w:color="auto" w:fill="BAE2F8"/>
          </w:tcPr>
          <w:p>
            <w:pPr>
              <w:spacing w:after="0"/>
              <w:rPr>
                <w:sz w:val="7"/>
                <w:szCs w:val="7"/>
                <w:color w:val="auto"/>
              </w:rPr>
            </w:pPr>
          </w:p>
        </w:tc>
        <w:tc>
          <w:tcPr>
            <w:tcW w:w="2320" w:type="dxa"/>
            <w:vAlign w:val="bottom"/>
            <w:shd w:val="clear" w:color="auto" w:fill="BAE2F8"/>
          </w:tcPr>
          <w:p>
            <w:pPr>
              <w:spacing w:after="0"/>
              <w:rPr>
                <w:sz w:val="7"/>
                <w:szCs w:val="7"/>
                <w:color w:val="auto"/>
              </w:rPr>
            </w:pPr>
          </w:p>
        </w:tc>
        <w:tc>
          <w:tcPr>
            <w:tcW w:w="1560" w:type="dxa"/>
            <w:vAlign w:val="bottom"/>
            <w:shd w:val="clear" w:color="auto" w:fill="BAE2F8"/>
          </w:tcPr>
          <w:p>
            <w:pPr>
              <w:spacing w:after="0"/>
              <w:rPr>
                <w:sz w:val="7"/>
                <w:szCs w:val="7"/>
                <w:color w:val="auto"/>
              </w:rPr>
            </w:pPr>
          </w:p>
        </w:tc>
      </w:tr>
      <w:tr>
        <w:trPr>
          <w:trHeight w:val="336"/>
        </w:trPr>
        <w:tc>
          <w:tcPr>
            <w:tcW w:w="4540" w:type="dxa"/>
            <w:vAlign w:val="bottom"/>
          </w:tcPr>
          <w:p>
            <w:pPr>
              <w:ind w:left="40"/>
              <w:spacing w:after="0"/>
              <w:rPr>
                <w:sz w:val="20"/>
                <w:szCs w:val="20"/>
                <w:color w:val="auto"/>
              </w:rPr>
            </w:pPr>
            <w:r>
              <w:rPr>
                <w:rFonts w:ascii="Arial" w:cs="Arial" w:eastAsia="Arial" w:hAnsi="Arial"/>
                <w:sz w:val="18"/>
                <w:szCs w:val="18"/>
                <w:b w:val="1"/>
                <w:bCs w:val="1"/>
                <w:i w:val="1"/>
                <w:iCs w:val="1"/>
                <w:color w:val="4C4C4C"/>
              </w:rPr>
              <w:t>Part II: Demographic Background</w:t>
            </w:r>
          </w:p>
        </w:tc>
        <w:tc>
          <w:tcPr>
            <w:tcW w:w="23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83"/>
        </w:trPr>
        <w:tc>
          <w:tcPr>
            <w:tcW w:w="45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328"/>
        </w:trPr>
        <w:tc>
          <w:tcPr>
            <w:tcW w:w="4540" w:type="dxa"/>
            <w:vAlign w:val="bottom"/>
            <w:shd w:val="clear" w:color="auto" w:fill="BAE2F8"/>
          </w:tcPr>
          <w:p>
            <w:pPr>
              <w:ind w:left="220"/>
              <w:spacing w:after="0"/>
              <w:rPr>
                <w:sz w:val="20"/>
                <w:szCs w:val="20"/>
                <w:color w:val="auto"/>
              </w:rPr>
            </w:pPr>
            <w:r>
              <w:rPr>
                <w:rFonts w:ascii="Arial" w:cs="Arial" w:eastAsia="Arial" w:hAnsi="Arial"/>
                <w:sz w:val="18"/>
                <w:szCs w:val="18"/>
                <w:color w:val="4C4C4C"/>
              </w:rPr>
              <w:t>Asian</w:t>
            </w:r>
          </w:p>
        </w:tc>
        <w:tc>
          <w:tcPr>
            <w:tcW w:w="2320" w:type="dxa"/>
            <w:vAlign w:val="bottom"/>
            <w:shd w:val="clear" w:color="auto" w:fill="BAE2F8"/>
          </w:tcPr>
          <w:p>
            <w:pPr>
              <w:jc w:val="center"/>
              <w:ind w:left="1356"/>
              <w:spacing w:after="0"/>
              <w:rPr>
                <w:sz w:val="20"/>
                <w:szCs w:val="20"/>
                <w:color w:val="auto"/>
              </w:rPr>
            </w:pPr>
            <w:r>
              <w:rPr>
                <w:rFonts w:ascii="Arial" w:cs="Arial" w:eastAsia="Arial" w:hAnsi="Arial"/>
                <w:sz w:val="18"/>
                <w:szCs w:val="18"/>
                <w:color w:val="4C4C4C"/>
                <w:w w:val="93"/>
              </w:rPr>
              <w:t>2*</w:t>
            </w:r>
          </w:p>
        </w:tc>
        <w:tc>
          <w:tcPr>
            <w:tcW w:w="1560" w:type="dxa"/>
            <w:vAlign w:val="bottom"/>
            <w:shd w:val="clear" w:color="auto" w:fill="BAE2F8"/>
          </w:tcPr>
          <w:p>
            <w:pPr>
              <w:jc w:val="center"/>
              <w:ind w:left="219"/>
              <w:spacing w:after="0"/>
              <w:rPr>
                <w:sz w:val="20"/>
                <w:szCs w:val="20"/>
                <w:color w:val="auto"/>
              </w:rPr>
            </w:pPr>
            <w:r>
              <w:rPr>
                <w:rFonts w:ascii="Arial" w:cs="Arial" w:eastAsia="Arial" w:hAnsi="Arial"/>
                <w:sz w:val="18"/>
                <w:szCs w:val="18"/>
                <w:color w:val="4C4C4C"/>
                <w:w w:val="99"/>
              </w:rPr>
              <w:t>3</w:t>
            </w:r>
          </w:p>
        </w:tc>
      </w:tr>
      <w:tr>
        <w:trPr>
          <w:trHeight w:val="37"/>
        </w:trPr>
        <w:tc>
          <w:tcPr>
            <w:tcW w:w="4540" w:type="dxa"/>
            <w:vAlign w:val="bottom"/>
            <w:shd w:val="clear" w:color="auto" w:fill="BAE2F8"/>
          </w:tcPr>
          <w:p>
            <w:pPr>
              <w:spacing w:after="0"/>
              <w:rPr>
                <w:sz w:val="3"/>
                <w:szCs w:val="3"/>
                <w:color w:val="auto"/>
              </w:rPr>
            </w:pPr>
          </w:p>
        </w:tc>
        <w:tc>
          <w:tcPr>
            <w:tcW w:w="2320" w:type="dxa"/>
            <w:vAlign w:val="bottom"/>
            <w:shd w:val="clear" w:color="auto" w:fill="BAE2F8"/>
          </w:tcPr>
          <w:p>
            <w:pPr>
              <w:spacing w:after="0"/>
              <w:rPr>
                <w:sz w:val="3"/>
                <w:szCs w:val="3"/>
                <w:color w:val="auto"/>
              </w:rPr>
            </w:pPr>
          </w:p>
        </w:tc>
        <w:tc>
          <w:tcPr>
            <w:tcW w:w="1560" w:type="dxa"/>
            <w:vAlign w:val="bottom"/>
            <w:shd w:val="clear" w:color="auto" w:fill="BAE2F8"/>
          </w:tcPr>
          <w:p>
            <w:pPr>
              <w:spacing w:after="0"/>
              <w:rPr>
                <w:sz w:val="3"/>
                <w:szCs w:val="3"/>
                <w:color w:val="auto"/>
              </w:rPr>
            </w:pPr>
          </w:p>
        </w:tc>
      </w:tr>
    </w:tbl>
    <w:p>
      <w:pPr>
        <w:spacing w:after="0" w:line="45" w:lineRule="exact"/>
        <w:rPr>
          <w:sz w:val="20"/>
          <w:szCs w:val="20"/>
          <w:color w:val="auto"/>
        </w:rPr>
      </w:pPr>
    </w:p>
    <w:p>
      <w:pPr>
        <w:ind w:left="1220" w:right="299" w:hanging="348"/>
        <w:spacing w:after="0" w:line="263" w:lineRule="auto"/>
        <w:tabs>
          <w:tab w:leader="none" w:pos="1013" w:val="left"/>
        </w:tabs>
        <w:numPr>
          <w:ilvl w:val="0"/>
          <w:numId w:val="5"/>
        </w:numPr>
        <w:rPr>
          <w:rFonts w:ascii="Arial" w:cs="Arial" w:eastAsia="Arial" w:hAnsi="Arial"/>
          <w:sz w:val="14"/>
          <w:szCs w:val="14"/>
          <w:color w:val="auto"/>
        </w:rPr>
      </w:pPr>
      <w:r>
        <w:rPr>
          <w:rFonts w:ascii="Arial" w:cs="Arial" w:eastAsia="Arial" w:hAnsi="Arial"/>
          <w:sz w:val="14"/>
          <w:szCs w:val="14"/>
          <w:color w:val="auto"/>
        </w:rPr>
        <w:t>* Includes Yinan Xiang, who is not standing for re-election at the Annual Meeting. Excludes Xiao Xing, who has been nominated for initial election as a director at the Annual Meeting and whose gender identity and demographic background, for purposes of the foregoing table, are identical to those of Ms. Xiang.</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0079C1"/>
        </w:rPr>
        <w:t>Board Governance Practices</w:t>
      </w:r>
    </w:p>
    <w:p>
      <w:pPr>
        <w:spacing w:after="0" w:line="192" w:lineRule="exact"/>
        <w:rPr>
          <w:sz w:val="20"/>
          <w:szCs w:val="20"/>
          <w:color w:val="auto"/>
        </w:rPr>
      </w:pPr>
    </w:p>
    <w:tbl>
      <w:tblPr>
        <w:tblLayout w:type="fixed"/>
        <w:tblInd w:w="1420" w:type="dxa"/>
        <w:tblCellMar>
          <w:top w:w="0" w:type="dxa"/>
          <w:left w:w="0" w:type="dxa"/>
          <w:bottom w:w="0" w:type="dxa"/>
          <w:right w:w="0" w:type="dxa"/>
        </w:tblCellMar>
      </w:tblPr>
      <w:tr>
        <w:trPr>
          <w:trHeight w:val="196"/>
        </w:trPr>
        <w:tc>
          <w:tcPr>
            <w:tcW w:w="1400" w:type="dxa"/>
            <w:vAlign w:val="bottom"/>
          </w:tcPr>
          <w:p>
            <w:pPr>
              <w:ind w:left="60"/>
              <w:spacing w:after="0"/>
              <w:rPr>
                <w:sz w:val="20"/>
                <w:szCs w:val="20"/>
                <w:color w:val="auto"/>
              </w:rPr>
            </w:pPr>
            <w:r>
              <w:rPr>
                <w:rFonts w:ascii="Arial" w:cs="Arial" w:eastAsia="Arial" w:hAnsi="Arial"/>
                <w:sz w:val="14"/>
                <w:szCs w:val="14"/>
                <w:b w:val="1"/>
                <w:bCs w:val="1"/>
                <w:i w:val="1"/>
                <w:iCs w:val="1"/>
                <w:color w:val="546483"/>
              </w:rPr>
              <w:t>Elections:</w:t>
            </w:r>
          </w:p>
        </w:tc>
        <w:tc>
          <w:tcPr>
            <w:tcW w:w="4960" w:type="dxa"/>
            <w:vAlign w:val="bottom"/>
          </w:tcPr>
          <w:p>
            <w:pPr>
              <w:ind w:left="60"/>
              <w:spacing w:after="0"/>
              <w:rPr>
                <w:sz w:val="20"/>
                <w:szCs w:val="20"/>
                <w:color w:val="auto"/>
              </w:rPr>
            </w:pPr>
            <w:r>
              <w:rPr>
                <w:rFonts w:ascii="Arial" w:cs="Arial" w:eastAsia="Arial" w:hAnsi="Arial"/>
                <w:sz w:val="14"/>
                <w:szCs w:val="14"/>
                <w:color w:val="4C4C4C"/>
              </w:rPr>
              <w:t>Classified Board</w:t>
            </w:r>
          </w:p>
        </w:tc>
        <w:tc>
          <w:tcPr>
            <w:tcW w:w="4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4C4C4C"/>
              </w:rPr>
              <w:t>No</w:t>
            </w: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4960" w:type="dxa"/>
            <w:vAlign w:val="bottom"/>
          </w:tcPr>
          <w:p>
            <w:pPr>
              <w:ind w:left="60"/>
              <w:spacing w:after="0"/>
              <w:rPr>
                <w:sz w:val="20"/>
                <w:szCs w:val="20"/>
                <w:color w:val="auto"/>
              </w:rPr>
            </w:pPr>
            <w:r>
              <w:rPr>
                <w:rFonts w:ascii="Arial" w:cs="Arial" w:eastAsia="Arial" w:hAnsi="Arial"/>
                <w:sz w:val="14"/>
                <w:szCs w:val="14"/>
                <w:color w:val="4C4C4C"/>
              </w:rPr>
              <w:t>Frequency of Director Elections</w:t>
            </w:r>
          </w:p>
        </w:tc>
        <w:tc>
          <w:tcPr>
            <w:tcW w:w="40" w:type="dxa"/>
            <w:vAlign w:val="bottom"/>
          </w:tcPr>
          <w:p>
            <w:pPr>
              <w:spacing w:after="0"/>
              <w:rPr>
                <w:sz w:val="22"/>
                <w:szCs w:val="22"/>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4C4C4C"/>
              </w:rPr>
              <w:t>Annual</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4960" w:type="dxa"/>
            <w:vAlign w:val="bottom"/>
          </w:tcPr>
          <w:p>
            <w:pPr>
              <w:ind w:left="60"/>
              <w:spacing w:after="0"/>
              <w:rPr>
                <w:sz w:val="20"/>
                <w:szCs w:val="20"/>
                <w:color w:val="auto"/>
              </w:rPr>
            </w:pPr>
            <w:r>
              <w:rPr>
                <w:rFonts w:ascii="Arial" w:cs="Arial" w:eastAsia="Arial" w:hAnsi="Arial"/>
                <w:sz w:val="14"/>
                <w:szCs w:val="14"/>
                <w:color w:val="4C4C4C"/>
              </w:rPr>
              <w:t>Voting Standard</w:t>
            </w:r>
          </w:p>
        </w:tc>
        <w:tc>
          <w:tcPr>
            <w:tcW w:w="40" w:type="dxa"/>
            <w:vAlign w:val="bottom"/>
          </w:tcPr>
          <w:p>
            <w:pPr>
              <w:spacing w:after="0"/>
              <w:rPr>
                <w:sz w:val="23"/>
                <w:szCs w:val="23"/>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4C4C4C"/>
              </w:rPr>
              <w:t>Plurality</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4960" w:type="dxa"/>
            <w:vAlign w:val="bottom"/>
          </w:tcPr>
          <w:p>
            <w:pPr>
              <w:ind w:left="60"/>
              <w:spacing w:after="0"/>
              <w:rPr>
                <w:sz w:val="20"/>
                <w:szCs w:val="20"/>
                <w:color w:val="auto"/>
              </w:rPr>
            </w:pPr>
            <w:r>
              <w:rPr>
                <w:rFonts w:ascii="Arial" w:cs="Arial" w:eastAsia="Arial" w:hAnsi="Arial"/>
                <w:sz w:val="14"/>
                <w:szCs w:val="14"/>
                <w:color w:val="4C4C4C"/>
              </w:rPr>
              <w:t>Resignation Policy</w:t>
            </w:r>
          </w:p>
        </w:tc>
        <w:tc>
          <w:tcPr>
            <w:tcW w:w="40" w:type="dxa"/>
            <w:vAlign w:val="bottom"/>
          </w:tcPr>
          <w:p>
            <w:pPr>
              <w:spacing w:after="0"/>
              <w:rPr>
                <w:sz w:val="23"/>
                <w:szCs w:val="23"/>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4C4C4C"/>
              </w:rPr>
              <w:t>Yes</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4960" w:type="dxa"/>
            <w:vAlign w:val="bottom"/>
          </w:tcPr>
          <w:p>
            <w:pPr>
              <w:ind w:left="60"/>
              <w:spacing w:after="0"/>
              <w:rPr>
                <w:sz w:val="20"/>
                <w:szCs w:val="20"/>
                <w:color w:val="auto"/>
              </w:rPr>
            </w:pPr>
            <w:r>
              <w:rPr>
                <w:rFonts w:ascii="Arial" w:cs="Arial" w:eastAsia="Arial" w:hAnsi="Arial"/>
                <w:sz w:val="14"/>
                <w:szCs w:val="14"/>
                <w:color w:val="4C4C4C"/>
              </w:rPr>
              <w:t>Mandatory Retirement Age or Tenure</w:t>
            </w:r>
          </w:p>
        </w:tc>
        <w:tc>
          <w:tcPr>
            <w:tcW w:w="40" w:type="dxa"/>
            <w:vAlign w:val="bottom"/>
          </w:tcPr>
          <w:p>
            <w:pPr>
              <w:spacing w:after="0"/>
              <w:rPr>
                <w:sz w:val="23"/>
                <w:szCs w:val="23"/>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4C4C4C"/>
              </w:rPr>
              <w:t>No</w:t>
            </w:r>
          </w:p>
        </w:tc>
        <w:tc>
          <w:tcPr>
            <w:tcW w:w="0" w:type="dxa"/>
            <w:vAlign w:val="bottom"/>
          </w:tcPr>
          <w:p>
            <w:pPr>
              <w:spacing w:after="0"/>
              <w:rPr>
                <w:sz w:val="1"/>
                <w:szCs w:val="1"/>
                <w:color w:val="auto"/>
              </w:rPr>
            </w:pPr>
          </w:p>
        </w:tc>
      </w:tr>
      <w:tr>
        <w:trPr>
          <w:trHeight w:val="35"/>
        </w:trPr>
        <w:tc>
          <w:tcPr>
            <w:tcW w:w="1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400" w:type="dxa"/>
            <w:vAlign w:val="bottom"/>
            <w:shd w:val="clear" w:color="auto" w:fill="BAE2F8"/>
          </w:tcPr>
          <w:p>
            <w:pPr>
              <w:ind w:left="60"/>
              <w:spacing w:after="0"/>
              <w:rPr>
                <w:sz w:val="20"/>
                <w:szCs w:val="20"/>
                <w:color w:val="auto"/>
              </w:rPr>
            </w:pPr>
            <w:r>
              <w:rPr>
                <w:rFonts w:ascii="Arial" w:cs="Arial" w:eastAsia="Arial" w:hAnsi="Arial"/>
                <w:sz w:val="14"/>
                <w:szCs w:val="14"/>
                <w:b w:val="1"/>
                <w:bCs w:val="1"/>
                <w:i w:val="1"/>
                <w:iCs w:val="1"/>
                <w:color w:val="546483"/>
              </w:rPr>
              <w:t>Chair:</w:t>
            </w:r>
          </w:p>
        </w:tc>
        <w:tc>
          <w:tcPr>
            <w:tcW w:w="4960" w:type="dxa"/>
            <w:vAlign w:val="bottom"/>
            <w:shd w:val="clear" w:color="auto" w:fill="BAE2F8"/>
          </w:tcPr>
          <w:p>
            <w:pPr>
              <w:ind w:left="60"/>
              <w:spacing w:after="0"/>
              <w:rPr>
                <w:sz w:val="20"/>
                <w:szCs w:val="20"/>
                <w:color w:val="auto"/>
              </w:rPr>
            </w:pPr>
            <w:r>
              <w:rPr>
                <w:rFonts w:ascii="Arial" w:cs="Arial" w:eastAsia="Arial" w:hAnsi="Arial"/>
                <w:sz w:val="14"/>
                <w:szCs w:val="14"/>
                <w:color w:val="4C4C4C"/>
              </w:rPr>
              <w:t>Separate Chair of the Board and CEO</w:t>
            </w:r>
          </w:p>
        </w:tc>
        <w:tc>
          <w:tcPr>
            <w:tcW w:w="40" w:type="dxa"/>
            <w:vAlign w:val="bottom"/>
            <w:shd w:val="clear" w:color="auto" w:fill="BAE2F8"/>
          </w:tcPr>
          <w:p>
            <w:pPr>
              <w:spacing w:after="0"/>
              <w:rPr>
                <w:sz w:val="20"/>
                <w:szCs w:val="20"/>
                <w:color w:val="auto"/>
              </w:rPr>
            </w:pPr>
          </w:p>
        </w:tc>
        <w:tc>
          <w:tcPr>
            <w:tcW w:w="940" w:type="dxa"/>
            <w:vAlign w:val="bottom"/>
            <w:shd w:val="clear" w:color="auto" w:fill="BAE2F8"/>
          </w:tcPr>
          <w:p>
            <w:pPr>
              <w:ind w:left="60"/>
              <w:spacing w:after="0"/>
              <w:rPr>
                <w:sz w:val="20"/>
                <w:szCs w:val="20"/>
                <w:color w:val="auto"/>
              </w:rPr>
            </w:pPr>
            <w:r>
              <w:rPr>
                <w:rFonts w:ascii="Arial" w:cs="Arial" w:eastAsia="Arial" w:hAnsi="Arial"/>
                <w:sz w:val="14"/>
                <w:szCs w:val="14"/>
                <w:color w:val="4C4C4C"/>
              </w:rPr>
              <w:t>No</w:t>
            </w:r>
          </w:p>
        </w:tc>
        <w:tc>
          <w:tcPr>
            <w:tcW w:w="0" w:type="dxa"/>
            <w:vAlign w:val="bottom"/>
          </w:tcPr>
          <w:p>
            <w:pPr>
              <w:spacing w:after="0"/>
              <w:rPr>
                <w:sz w:val="1"/>
                <w:szCs w:val="1"/>
                <w:color w:val="auto"/>
              </w:rPr>
            </w:pPr>
          </w:p>
        </w:tc>
      </w:tr>
      <w:tr>
        <w:trPr>
          <w:trHeight w:val="264"/>
        </w:trPr>
        <w:tc>
          <w:tcPr>
            <w:tcW w:w="1400" w:type="dxa"/>
            <w:vAlign w:val="bottom"/>
            <w:shd w:val="clear" w:color="auto" w:fill="BAE2F8"/>
          </w:tcPr>
          <w:p>
            <w:pPr>
              <w:spacing w:after="0"/>
              <w:rPr>
                <w:sz w:val="22"/>
                <w:szCs w:val="22"/>
                <w:color w:val="auto"/>
              </w:rPr>
            </w:pPr>
          </w:p>
        </w:tc>
        <w:tc>
          <w:tcPr>
            <w:tcW w:w="4960" w:type="dxa"/>
            <w:vAlign w:val="bottom"/>
            <w:shd w:val="clear" w:color="auto" w:fill="BAE2F8"/>
          </w:tcPr>
          <w:p>
            <w:pPr>
              <w:ind w:left="60"/>
              <w:spacing w:after="0"/>
              <w:rPr>
                <w:sz w:val="20"/>
                <w:szCs w:val="20"/>
                <w:color w:val="auto"/>
              </w:rPr>
            </w:pPr>
            <w:r>
              <w:rPr>
                <w:rFonts w:ascii="Arial" w:cs="Arial" w:eastAsia="Arial" w:hAnsi="Arial"/>
                <w:sz w:val="14"/>
                <w:szCs w:val="14"/>
                <w:color w:val="4C4C4C"/>
              </w:rPr>
              <w:t>Independent Lead Director</w:t>
            </w:r>
          </w:p>
        </w:tc>
        <w:tc>
          <w:tcPr>
            <w:tcW w:w="40" w:type="dxa"/>
            <w:vAlign w:val="bottom"/>
            <w:shd w:val="clear" w:color="auto" w:fill="BAE2F8"/>
          </w:tcPr>
          <w:p>
            <w:pPr>
              <w:spacing w:after="0"/>
              <w:rPr>
                <w:sz w:val="22"/>
                <w:szCs w:val="22"/>
                <w:color w:val="auto"/>
              </w:rPr>
            </w:pPr>
          </w:p>
        </w:tc>
        <w:tc>
          <w:tcPr>
            <w:tcW w:w="940" w:type="dxa"/>
            <w:vAlign w:val="bottom"/>
            <w:shd w:val="clear" w:color="auto" w:fill="BAE2F8"/>
          </w:tcPr>
          <w:p>
            <w:pPr>
              <w:ind w:left="60"/>
              <w:spacing w:after="0"/>
              <w:rPr>
                <w:sz w:val="20"/>
                <w:szCs w:val="20"/>
                <w:color w:val="auto"/>
              </w:rPr>
            </w:pPr>
            <w:r>
              <w:rPr>
                <w:rFonts w:ascii="Arial" w:cs="Arial" w:eastAsia="Arial" w:hAnsi="Arial"/>
                <w:sz w:val="14"/>
                <w:szCs w:val="14"/>
                <w:color w:val="4C4C4C"/>
              </w:rPr>
              <w:t>Yes</w:t>
            </w:r>
          </w:p>
        </w:tc>
        <w:tc>
          <w:tcPr>
            <w:tcW w:w="0" w:type="dxa"/>
            <w:vAlign w:val="bottom"/>
          </w:tcPr>
          <w:p>
            <w:pPr>
              <w:spacing w:after="0"/>
              <w:rPr>
                <w:sz w:val="1"/>
                <w:szCs w:val="1"/>
                <w:color w:val="auto"/>
              </w:rPr>
            </w:pPr>
          </w:p>
        </w:tc>
      </w:tr>
      <w:tr>
        <w:trPr>
          <w:trHeight w:val="285"/>
        </w:trPr>
        <w:tc>
          <w:tcPr>
            <w:tcW w:w="1400" w:type="dxa"/>
            <w:vAlign w:val="bottom"/>
            <w:tcBorders>
              <w:bottom w:val="single" w:sz="8" w:color="BAE2F8"/>
            </w:tcBorders>
            <w:shd w:val="clear" w:color="auto" w:fill="BAE2F8"/>
          </w:tcPr>
          <w:p>
            <w:pPr>
              <w:spacing w:after="0"/>
              <w:rPr>
                <w:sz w:val="24"/>
                <w:szCs w:val="24"/>
                <w:color w:val="auto"/>
              </w:rPr>
            </w:pPr>
          </w:p>
        </w:tc>
        <w:tc>
          <w:tcPr>
            <w:tcW w:w="4960" w:type="dxa"/>
            <w:vAlign w:val="bottom"/>
            <w:tcBorders>
              <w:bottom w:val="single" w:sz="8" w:color="BAE2F8"/>
            </w:tcBorders>
            <w:shd w:val="clear" w:color="auto" w:fill="BAE2F8"/>
          </w:tcPr>
          <w:p>
            <w:pPr>
              <w:ind w:left="60"/>
              <w:spacing w:after="0"/>
              <w:rPr>
                <w:sz w:val="20"/>
                <w:szCs w:val="20"/>
                <w:color w:val="auto"/>
              </w:rPr>
            </w:pPr>
            <w:r>
              <w:rPr>
                <w:rFonts w:ascii="Arial" w:cs="Arial" w:eastAsia="Arial" w:hAnsi="Arial"/>
                <w:sz w:val="14"/>
                <w:szCs w:val="14"/>
                <w:color w:val="4C4C4C"/>
              </w:rPr>
              <w:t>Robust Responsibilities and Duties Assigned to Independent Chair</w:t>
            </w:r>
          </w:p>
        </w:tc>
        <w:tc>
          <w:tcPr>
            <w:tcW w:w="40" w:type="dxa"/>
            <w:vAlign w:val="bottom"/>
            <w:tcBorders>
              <w:bottom w:val="single" w:sz="8" w:color="BAE2F8"/>
            </w:tcBorders>
            <w:shd w:val="clear" w:color="auto" w:fill="BAE2F8"/>
          </w:tcPr>
          <w:p>
            <w:pPr>
              <w:spacing w:after="0"/>
              <w:rPr>
                <w:sz w:val="24"/>
                <w:szCs w:val="24"/>
                <w:color w:val="auto"/>
              </w:rPr>
            </w:pPr>
          </w:p>
        </w:tc>
        <w:tc>
          <w:tcPr>
            <w:tcW w:w="940" w:type="dxa"/>
            <w:vAlign w:val="bottom"/>
            <w:tcBorders>
              <w:bottom w:val="single" w:sz="8" w:color="BAE2F8"/>
            </w:tcBorders>
            <w:shd w:val="clear" w:color="auto" w:fill="BAE2F8"/>
          </w:tcPr>
          <w:p>
            <w:pPr>
              <w:ind w:left="60"/>
              <w:spacing w:after="0"/>
              <w:rPr>
                <w:sz w:val="20"/>
                <w:szCs w:val="20"/>
                <w:color w:val="auto"/>
              </w:rPr>
            </w:pPr>
            <w:r>
              <w:rPr>
                <w:rFonts w:ascii="Arial" w:cs="Arial" w:eastAsia="Arial" w:hAnsi="Arial"/>
                <w:sz w:val="14"/>
                <w:szCs w:val="14"/>
                <w:color w:val="4C4C4C"/>
              </w:rPr>
              <w:t>Yes</w:t>
            </w:r>
          </w:p>
        </w:tc>
        <w:tc>
          <w:tcPr>
            <w:tcW w:w="0" w:type="dxa"/>
            <w:vAlign w:val="bottom"/>
          </w:tcPr>
          <w:p>
            <w:pPr>
              <w:spacing w:after="0"/>
              <w:rPr>
                <w:sz w:val="1"/>
                <w:szCs w:val="1"/>
                <w:color w:val="auto"/>
              </w:rPr>
            </w:pPr>
          </w:p>
        </w:tc>
      </w:tr>
      <w:tr>
        <w:trPr>
          <w:trHeight w:val="241"/>
        </w:trPr>
        <w:tc>
          <w:tcPr>
            <w:tcW w:w="1400" w:type="dxa"/>
            <w:vAlign w:val="bottom"/>
          </w:tcPr>
          <w:p>
            <w:pPr>
              <w:ind w:left="60"/>
              <w:spacing w:after="0"/>
              <w:rPr>
                <w:sz w:val="20"/>
                <w:szCs w:val="20"/>
                <w:color w:val="auto"/>
              </w:rPr>
            </w:pPr>
            <w:r>
              <w:rPr>
                <w:rFonts w:ascii="Arial" w:cs="Arial" w:eastAsia="Arial" w:hAnsi="Arial"/>
                <w:sz w:val="14"/>
                <w:szCs w:val="14"/>
                <w:b w:val="1"/>
                <w:bCs w:val="1"/>
                <w:i w:val="1"/>
                <w:iCs w:val="1"/>
                <w:color w:val="546483"/>
              </w:rPr>
              <w:t>Meetings:</w:t>
            </w:r>
          </w:p>
        </w:tc>
        <w:tc>
          <w:tcPr>
            <w:tcW w:w="4960" w:type="dxa"/>
            <w:vAlign w:val="bottom"/>
          </w:tcPr>
          <w:p>
            <w:pPr>
              <w:ind w:left="60"/>
              <w:spacing w:after="0"/>
              <w:rPr>
                <w:sz w:val="20"/>
                <w:szCs w:val="20"/>
                <w:color w:val="auto"/>
              </w:rPr>
            </w:pPr>
            <w:r>
              <w:rPr>
                <w:rFonts w:ascii="Arial" w:cs="Arial" w:eastAsia="Arial" w:hAnsi="Arial"/>
                <w:sz w:val="14"/>
                <w:szCs w:val="14"/>
                <w:color w:val="4C4C4C"/>
              </w:rPr>
              <w:t>Number of Board Meetings Held in 2021</w:t>
            </w:r>
          </w:p>
        </w:tc>
        <w:tc>
          <w:tcPr>
            <w:tcW w:w="980" w:type="dxa"/>
            <w:vAlign w:val="bottom"/>
            <w:gridSpan w:val="2"/>
          </w:tcPr>
          <w:p>
            <w:pPr>
              <w:ind w:left="100"/>
              <w:spacing w:after="0"/>
              <w:rPr>
                <w:sz w:val="20"/>
                <w:szCs w:val="20"/>
                <w:color w:val="auto"/>
              </w:rPr>
            </w:pPr>
            <w:r>
              <w:rPr>
                <w:rFonts w:ascii="Arial" w:cs="Arial" w:eastAsia="Arial" w:hAnsi="Arial"/>
                <w:sz w:val="14"/>
                <w:szCs w:val="14"/>
                <w:color w:val="4C4C4C"/>
              </w:rPr>
              <w:t>5</w:t>
            </w: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4960" w:type="dxa"/>
            <w:vAlign w:val="bottom"/>
          </w:tcPr>
          <w:p>
            <w:pPr>
              <w:ind w:left="60"/>
              <w:spacing w:after="0"/>
              <w:rPr>
                <w:sz w:val="20"/>
                <w:szCs w:val="20"/>
                <w:color w:val="auto"/>
              </w:rPr>
            </w:pPr>
            <w:r>
              <w:rPr>
                <w:rFonts w:ascii="Arial" w:cs="Arial" w:eastAsia="Arial" w:hAnsi="Arial"/>
                <w:sz w:val="14"/>
                <w:szCs w:val="14"/>
                <w:color w:val="4C4C4C"/>
              </w:rPr>
              <w:t>Directors Attending Fewer than 75% of Board Meetings in 2021</w:t>
            </w:r>
          </w:p>
        </w:tc>
        <w:tc>
          <w:tcPr>
            <w:tcW w:w="980" w:type="dxa"/>
            <w:vAlign w:val="bottom"/>
            <w:gridSpan w:val="2"/>
          </w:tcPr>
          <w:p>
            <w:pPr>
              <w:ind w:left="100"/>
              <w:spacing w:after="0"/>
              <w:rPr>
                <w:sz w:val="20"/>
                <w:szCs w:val="20"/>
                <w:color w:val="auto"/>
              </w:rPr>
            </w:pPr>
            <w:r>
              <w:rPr>
                <w:rFonts w:ascii="Arial" w:cs="Arial" w:eastAsia="Arial" w:hAnsi="Arial"/>
                <w:sz w:val="14"/>
                <w:szCs w:val="14"/>
                <w:color w:val="4C4C4C"/>
              </w:rPr>
              <w:t>0</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4960" w:type="dxa"/>
            <w:vAlign w:val="bottom"/>
          </w:tcPr>
          <w:p>
            <w:pPr>
              <w:ind w:left="60"/>
              <w:spacing w:after="0"/>
              <w:rPr>
                <w:sz w:val="20"/>
                <w:szCs w:val="20"/>
                <w:color w:val="auto"/>
              </w:rPr>
            </w:pPr>
            <w:r>
              <w:rPr>
                <w:rFonts w:ascii="Arial" w:cs="Arial" w:eastAsia="Arial" w:hAnsi="Arial"/>
                <w:sz w:val="14"/>
                <w:szCs w:val="14"/>
                <w:color w:val="4C4C4C"/>
              </w:rPr>
              <w:t>Independent Directors Meet Without Management Present</w:t>
            </w:r>
          </w:p>
        </w:tc>
        <w:tc>
          <w:tcPr>
            <w:tcW w:w="40" w:type="dxa"/>
            <w:vAlign w:val="bottom"/>
          </w:tcPr>
          <w:p>
            <w:pPr>
              <w:spacing w:after="0"/>
              <w:rPr>
                <w:sz w:val="23"/>
                <w:szCs w:val="23"/>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4C4C4C"/>
              </w:rPr>
              <w:t>Yes</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4960" w:type="dxa"/>
            <w:vAlign w:val="bottom"/>
          </w:tcPr>
          <w:p>
            <w:pPr>
              <w:ind w:left="60"/>
              <w:spacing w:after="0"/>
              <w:rPr>
                <w:sz w:val="20"/>
                <w:szCs w:val="20"/>
                <w:color w:val="auto"/>
              </w:rPr>
            </w:pPr>
            <w:r>
              <w:rPr>
                <w:rFonts w:ascii="Arial" w:cs="Arial" w:eastAsia="Arial" w:hAnsi="Arial"/>
                <w:sz w:val="14"/>
                <w:szCs w:val="14"/>
                <w:color w:val="4C4C4C"/>
              </w:rPr>
              <w:t>Number of Standing Committee Meetings Held in 2021</w:t>
            </w:r>
          </w:p>
        </w:tc>
        <w:tc>
          <w:tcPr>
            <w:tcW w:w="980" w:type="dxa"/>
            <w:vAlign w:val="bottom"/>
            <w:gridSpan w:val="2"/>
          </w:tcPr>
          <w:p>
            <w:pPr>
              <w:ind w:left="100"/>
              <w:spacing w:after="0"/>
              <w:rPr>
                <w:sz w:val="20"/>
                <w:szCs w:val="20"/>
                <w:color w:val="auto"/>
              </w:rPr>
            </w:pPr>
            <w:r>
              <w:rPr>
                <w:rFonts w:ascii="Arial" w:cs="Arial" w:eastAsia="Arial" w:hAnsi="Arial"/>
                <w:sz w:val="14"/>
                <w:szCs w:val="14"/>
                <w:color w:val="4C4C4C"/>
              </w:rPr>
              <w:t>10</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4960" w:type="dxa"/>
            <w:vAlign w:val="bottom"/>
          </w:tcPr>
          <w:p>
            <w:pPr>
              <w:ind w:left="60"/>
              <w:spacing w:after="0"/>
              <w:rPr>
                <w:sz w:val="20"/>
                <w:szCs w:val="20"/>
                <w:color w:val="auto"/>
              </w:rPr>
            </w:pPr>
            <w:r>
              <w:rPr>
                <w:rFonts w:ascii="Arial" w:cs="Arial" w:eastAsia="Arial" w:hAnsi="Arial"/>
                <w:sz w:val="14"/>
                <w:szCs w:val="14"/>
                <w:color w:val="4C4C4C"/>
              </w:rPr>
              <w:t>Members Attending Fewer than 75% of Committee Meetings in 2021</w:t>
            </w:r>
          </w:p>
        </w:tc>
        <w:tc>
          <w:tcPr>
            <w:tcW w:w="980" w:type="dxa"/>
            <w:vAlign w:val="bottom"/>
            <w:gridSpan w:val="2"/>
          </w:tcPr>
          <w:p>
            <w:pPr>
              <w:ind w:left="100"/>
              <w:spacing w:after="0"/>
              <w:rPr>
                <w:sz w:val="20"/>
                <w:szCs w:val="20"/>
                <w:color w:val="auto"/>
              </w:rPr>
            </w:pPr>
            <w:r>
              <w:rPr>
                <w:rFonts w:ascii="Arial" w:cs="Arial" w:eastAsia="Arial" w:hAnsi="Arial"/>
                <w:sz w:val="14"/>
                <w:szCs w:val="14"/>
                <w:color w:val="4C4C4C"/>
              </w:rPr>
              <w:t>1</w:t>
            </w:r>
          </w:p>
        </w:tc>
        <w:tc>
          <w:tcPr>
            <w:tcW w:w="0" w:type="dxa"/>
            <w:vAlign w:val="bottom"/>
          </w:tcPr>
          <w:p>
            <w:pPr>
              <w:spacing w:after="0"/>
              <w:rPr>
                <w:sz w:val="1"/>
                <w:szCs w:val="1"/>
                <w:color w:val="auto"/>
              </w:rPr>
            </w:pPr>
          </w:p>
        </w:tc>
      </w:tr>
      <w:tr>
        <w:trPr>
          <w:trHeight w:val="35"/>
        </w:trPr>
        <w:tc>
          <w:tcPr>
            <w:tcW w:w="1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400" w:type="dxa"/>
            <w:vAlign w:val="bottom"/>
            <w:shd w:val="clear" w:color="auto" w:fill="BAE2F8"/>
          </w:tcPr>
          <w:p>
            <w:pPr>
              <w:ind w:left="60"/>
              <w:spacing w:after="0"/>
              <w:rPr>
                <w:sz w:val="20"/>
                <w:szCs w:val="20"/>
                <w:color w:val="auto"/>
              </w:rPr>
            </w:pPr>
            <w:r>
              <w:rPr>
                <w:rFonts w:ascii="Arial" w:cs="Arial" w:eastAsia="Arial" w:hAnsi="Arial"/>
                <w:sz w:val="14"/>
                <w:szCs w:val="14"/>
                <w:b w:val="1"/>
                <w:bCs w:val="1"/>
                <w:i w:val="1"/>
                <w:iCs w:val="1"/>
                <w:color w:val="546483"/>
              </w:rPr>
              <w:t>Director Status:</w:t>
            </w:r>
          </w:p>
        </w:tc>
        <w:tc>
          <w:tcPr>
            <w:tcW w:w="4960" w:type="dxa"/>
            <w:vAlign w:val="bottom"/>
            <w:shd w:val="clear" w:color="auto" w:fill="BAE2F8"/>
          </w:tcPr>
          <w:p>
            <w:pPr>
              <w:ind w:left="60"/>
              <w:spacing w:after="0"/>
              <w:rPr>
                <w:sz w:val="20"/>
                <w:szCs w:val="20"/>
                <w:color w:val="auto"/>
              </w:rPr>
            </w:pPr>
            <w:r>
              <w:rPr>
                <w:rFonts w:ascii="Arial" w:cs="Arial" w:eastAsia="Arial" w:hAnsi="Arial"/>
                <w:sz w:val="14"/>
                <w:szCs w:val="14"/>
                <w:color w:val="4C4C4C"/>
              </w:rPr>
              <w:t>Directors Overboarded per ISS or Glass Lewis Voting Guidelines</w:t>
            </w:r>
          </w:p>
        </w:tc>
        <w:tc>
          <w:tcPr>
            <w:tcW w:w="40" w:type="dxa"/>
            <w:vAlign w:val="bottom"/>
            <w:shd w:val="clear" w:color="auto" w:fill="BAE2F8"/>
          </w:tcPr>
          <w:p>
            <w:pPr>
              <w:spacing w:after="0"/>
              <w:rPr>
                <w:sz w:val="20"/>
                <w:szCs w:val="20"/>
                <w:color w:val="auto"/>
              </w:rPr>
            </w:pPr>
          </w:p>
        </w:tc>
        <w:tc>
          <w:tcPr>
            <w:tcW w:w="940" w:type="dxa"/>
            <w:vAlign w:val="bottom"/>
            <w:shd w:val="clear" w:color="auto" w:fill="BAE2F8"/>
          </w:tcPr>
          <w:p>
            <w:pPr>
              <w:ind w:left="60"/>
              <w:spacing w:after="0"/>
              <w:rPr>
                <w:sz w:val="20"/>
                <w:szCs w:val="20"/>
                <w:color w:val="auto"/>
              </w:rPr>
            </w:pPr>
            <w:r>
              <w:rPr>
                <w:rFonts w:ascii="Arial" w:cs="Arial" w:eastAsia="Arial" w:hAnsi="Arial"/>
                <w:sz w:val="14"/>
                <w:szCs w:val="14"/>
                <w:color w:val="4C4C4C"/>
              </w:rPr>
              <w:t>None</w:t>
            </w:r>
          </w:p>
        </w:tc>
        <w:tc>
          <w:tcPr>
            <w:tcW w:w="0" w:type="dxa"/>
            <w:vAlign w:val="bottom"/>
          </w:tcPr>
          <w:p>
            <w:pPr>
              <w:spacing w:after="0"/>
              <w:rPr>
                <w:sz w:val="1"/>
                <w:szCs w:val="1"/>
                <w:color w:val="auto"/>
              </w:rPr>
            </w:pPr>
          </w:p>
        </w:tc>
      </w:tr>
      <w:tr>
        <w:trPr>
          <w:trHeight w:val="264"/>
        </w:trPr>
        <w:tc>
          <w:tcPr>
            <w:tcW w:w="1400" w:type="dxa"/>
            <w:vAlign w:val="bottom"/>
            <w:shd w:val="clear" w:color="auto" w:fill="BAE2F8"/>
          </w:tcPr>
          <w:p>
            <w:pPr>
              <w:spacing w:after="0"/>
              <w:rPr>
                <w:sz w:val="22"/>
                <w:szCs w:val="22"/>
                <w:color w:val="auto"/>
              </w:rPr>
            </w:pPr>
          </w:p>
        </w:tc>
        <w:tc>
          <w:tcPr>
            <w:tcW w:w="4960" w:type="dxa"/>
            <w:vAlign w:val="bottom"/>
            <w:shd w:val="clear" w:color="auto" w:fill="BAE2F8"/>
          </w:tcPr>
          <w:p>
            <w:pPr>
              <w:ind w:left="60"/>
              <w:spacing w:after="0"/>
              <w:rPr>
                <w:sz w:val="20"/>
                <w:szCs w:val="20"/>
                <w:color w:val="auto"/>
              </w:rPr>
            </w:pPr>
            <w:r>
              <w:rPr>
                <w:rFonts w:ascii="Arial" w:cs="Arial" w:eastAsia="Arial" w:hAnsi="Arial"/>
                <w:sz w:val="14"/>
                <w:szCs w:val="14"/>
                <w:color w:val="4C4C4C"/>
              </w:rPr>
              <w:t>Standing Board Committee Membership Independence</w:t>
            </w:r>
          </w:p>
        </w:tc>
        <w:tc>
          <w:tcPr>
            <w:tcW w:w="980" w:type="dxa"/>
            <w:vAlign w:val="bottom"/>
            <w:gridSpan w:val="2"/>
            <w:shd w:val="clear" w:color="auto" w:fill="BAE2F8"/>
          </w:tcPr>
          <w:p>
            <w:pPr>
              <w:ind w:left="100"/>
              <w:spacing w:after="0"/>
              <w:rPr>
                <w:sz w:val="20"/>
                <w:szCs w:val="20"/>
                <w:color w:val="auto"/>
              </w:rPr>
            </w:pPr>
            <w:r>
              <w:rPr>
                <w:rFonts w:ascii="Arial" w:cs="Arial" w:eastAsia="Arial" w:hAnsi="Arial"/>
                <w:sz w:val="14"/>
                <w:szCs w:val="14"/>
                <w:color w:val="4C4C4C"/>
              </w:rPr>
              <w:t>100%</w:t>
            </w:r>
          </w:p>
        </w:tc>
        <w:tc>
          <w:tcPr>
            <w:tcW w:w="0" w:type="dxa"/>
            <w:vAlign w:val="bottom"/>
          </w:tcPr>
          <w:p>
            <w:pPr>
              <w:spacing w:after="0"/>
              <w:rPr>
                <w:sz w:val="1"/>
                <w:szCs w:val="1"/>
                <w:color w:val="auto"/>
              </w:rPr>
            </w:pPr>
          </w:p>
        </w:tc>
      </w:tr>
      <w:tr>
        <w:trPr>
          <w:trHeight w:val="270"/>
        </w:trPr>
        <w:tc>
          <w:tcPr>
            <w:tcW w:w="1400" w:type="dxa"/>
            <w:vAlign w:val="bottom"/>
            <w:shd w:val="clear" w:color="auto" w:fill="BAE2F8"/>
          </w:tcPr>
          <w:p>
            <w:pPr>
              <w:spacing w:after="0"/>
              <w:rPr>
                <w:sz w:val="23"/>
                <w:szCs w:val="23"/>
                <w:color w:val="auto"/>
              </w:rPr>
            </w:pPr>
          </w:p>
        </w:tc>
        <w:tc>
          <w:tcPr>
            <w:tcW w:w="4960" w:type="dxa"/>
            <w:vAlign w:val="bottom"/>
            <w:shd w:val="clear" w:color="auto" w:fill="BAE2F8"/>
          </w:tcPr>
          <w:p>
            <w:pPr>
              <w:ind w:left="60"/>
              <w:spacing w:after="0"/>
              <w:rPr>
                <w:sz w:val="20"/>
                <w:szCs w:val="20"/>
                <w:color w:val="auto"/>
              </w:rPr>
            </w:pPr>
            <w:r>
              <w:rPr>
                <w:rFonts w:ascii="Arial" w:cs="Arial" w:eastAsia="Arial" w:hAnsi="Arial"/>
                <w:sz w:val="14"/>
                <w:szCs w:val="14"/>
                <w:color w:val="4C4C4C"/>
              </w:rPr>
              <w:t>Board Oversight of Company Strategy and Risk</w:t>
            </w:r>
          </w:p>
        </w:tc>
        <w:tc>
          <w:tcPr>
            <w:tcW w:w="40" w:type="dxa"/>
            <w:vAlign w:val="bottom"/>
            <w:shd w:val="clear" w:color="auto" w:fill="BAE2F8"/>
          </w:tcPr>
          <w:p>
            <w:pPr>
              <w:spacing w:after="0"/>
              <w:rPr>
                <w:sz w:val="23"/>
                <w:szCs w:val="23"/>
                <w:color w:val="auto"/>
              </w:rPr>
            </w:pPr>
          </w:p>
        </w:tc>
        <w:tc>
          <w:tcPr>
            <w:tcW w:w="940" w:type="dxa"/>
            <w:vAlign w:val="bottom"/>
            <w:shd w:val="clear" w:color="auto" w:fill="BAE2F8"/>
          </w:tcPr>
          <w:p>
            <w:pPr>
              <w:ind w:left="60"/>
              <w:spacing w:after="0"/>
              <w:rPr>
                <w:sz w:val="20"/>
                <w:szCs w:val="20"/>
                <w:color w:val="auto"/>
              </w:rPr>
            </w:pPr>
            <w:r>
              <w:rPr>
                <w:rFonts w:ascii="Arial" w:cs="Arial" w:eastAsia="Arial" w:hAnsi="Arial"/>
                <w:sz w:val="14"/>
                <w:szCs w:val="14"/>
                <w:color w:val="4C4C4C"/>
              </w:rPr>
              <w:t>Yes</w:t>
            </w:r>
          </w:p>
        </w:tc>
        <w:tc>
          <w:tcPr>
            <w:tcW w:w="0" w:type="dxa"/>
            <w:vAlign w:val="bottom"/>
          </w:tcPr>
          <w:p>
            <w:pPr>
              <w:spacing w:after="0"/>
              <w:rPr>
                <w:sz w:val="1"/>
                <w:szCs w:val="1"/>
                <w:color w:val="auto"/>
              </w:rPr>
            </w:pPr>
          </w:p>
        </w:tc>
      </w:tr>
      <w:tr>
        <w:trPr>
          <w:trHeight w:val="285"/>
        </w:trPr>
        <w:tc>
          <w:tcPr>
            <w:tcW w:w="1400" w:type="dxa"/>
            <w:vAlign w:val="bottom"/>
            <w:tcBorders>
              <w:bottom w:val="single" w:sz="8" w:color="BAE2F8"/>
            </w:tcBorders>
            <w:shd w:val="clear" w:color="auto" w:fill="BAE2F8"/>
          </w:tcPr>
          <w:p>
            <w:pPr>
              <w:spacing w:after="0"/>
              <w:rPr>
                <w:sz w:val="24"/>
                <w:szCs w:val="24"/>
                <w:color w:val="auto"/>
              </w:rPr>
            </w:pPr>
          </w:p>
        </w:tc>
        <w:tc>
          <w:tcPr>
            <w:tcW w:w="4960" w:type="dxa"/>
            <w:vAlign w:val="bottom"/>
            <w:tcBorders>
              <w:bottom w:val="single" w:sz="8" w:color="BAE2F8"/>
            </w:tcBorders>
            <w:shd w:val="clear" w:color="auto" w:fill="BAE2F8"/>
          </w:tcPr>
          <w:p>
            <w:pPr>
              <w:ind w:left="60"/>
              <w:spacing w:after="0"/>
              <w:rPr>
                <w:sz w:val="20"/>
                <w:szCs w:val="20"/>
                <w:color w:val="auto"/>
              </w:rPr>
            </w:pPr>
            <w:r>
              <w:rPr>
                <w:rFonts w:ascii="Arial" w:cs="Arial" w:eastAsia="Arial" w:hAnsi="Arial"/>
                <w:sz w:val="14"/>
                <w:szCs w:val="14"/>
                <w:color w:val="4C4C4C"/>
              </w:rPr>
              <w:t>Shares Pledged by Directors</w:t>
            </w:r>
          </w:p>
        </w:tc>
        <w:tc>
          <w:tcPr>
            <w:tcW w:w="40" w:type="dxa"/>
            <w:vAlign w:val="bottom"/>
            <w:tcBorders>
              <w:bottom w:val="single" w:sz="8" w:color="BAE2F8"/>
            </w:tcBorders>
            <w:shd w:val="clear" w:color="auto" w:fill="BAE2F8"/>
          </w:tcPr>
          <w:p>
            <w:pPr>
              <w:spacing w:after="0"/>
              <w:rPr>
                <w:sz w:val="24"/>
                <w:szCs w:val="24"/>
                <w:color w:val="auto"/>
              </w:rPr>
            </w:pPr>
          </w:p>
        </w:tc>
        <w:tc>
          <w:tcPr>
            <w:tcW w:w="940" w:type="dxa"/>
            <w:vAlign w:val="bottom"/>
            <w:tcBorders>
              <w:bottom w:val="single" w:sz="8" w:color="BAE2F8"/>
            </w:tcBorders>
            <w:shd w:val="clear" w:color="auto" w:fill="BAE2F8"/>
          </w:tcPr>
          <w:p>
            <w:pPr>
              <w:ind w:left="60"/>
              <w:spacing w:after="0"/>
              <w:rPr>
                <w:sz w:val="20"/>
                <w:szCs w:val="20"/>
                <w:color w:val="auto"/>
              </w:rPr>
            </w:pPr>
            <w:r>
              <w:rPr>
                <w:rFonts w:ascii="Arial" w:cs="Arial" w:eastAsia="Arial" w:hAnsi="Arial"/>
                <w:sz w:val="14"/>
                <w:szCs w:val="14"/>
                <w:color w:val="4C4C4C"/>
              </w:rPr>
              <w:t>None</w:t>
            </w:r>
          </w:p>
        </w:tc>
        <w:tc>
          <w:tcPr>
            <w:tcW w:w="0" w:type="dxa"/>
            <w:vAlign w:val="bottom"/>
          </w:tcPr>
          <w:p>
            <w:pPr>
              <w:spacing w:after="0"/>
              <w:rPr>
                <w:sz w:val="1"/>
                <w:szCs w:val="1"/>
                <w:color w:val="auto"/>
              </w:rPr>
            </w:pPr>
          </w:p>
        </w:tc>
      </w:tr>
      <w:tr>
        <w:trPr>
          <w:trHeight w:val="209"/>
        </w:trPr>
        <w:tc>
          <w:tcPr>
            <w:tcW w:w="1400" w:type="dxa"/>
            <w:vAlign w:val="bottom"/>
          </w:tcPr>
          <w:p>
            <w:pPr>
              <w:ind w:left="60"/>
              <w:spacing w:after="0"/>
              <w:rPr>
                <w:sz w:val="20"/>
                <w:szCs w:val="20"/>
                <w:color w:val="auto"/>
              </w:rPr>
            </w:pPr>
            <w:r>
              <w:rPr>
                <w:rFonts w:ascii="Arial" w:cs="Arial" w:eastAsia="Arial" w:hAnsi="Arial"/>
                <w:sz w:val="14"/>
                <w:szCs w:val="14"/>
                <w:b w:val="1"/>
                <w:bCs w:val="1"/>
                <w:i w:val="1"/>
                <w:iCs w:val="1"/>
                <w:color w:val="546483"/>
              </w:rPr>
              <w:t>Shareholder</w:t>
            </w:r>
          </w:p>
        </w:tc>
        <w:tc>
          <w:tcPr>
            <w:tcW w:w="4960" w:type="dxa"/>
            <w:vAlign w:val="bottom"/>
          </w:tcPr>
          <w:p>
            <w:pPr>
              <w:ind w:left="60"/>
              <w:spacing w:after="0"/>
              <w:rPr>
                <w:sz w:val="20"/>
                <w:szCs w:val="20"/>
                <w:color w:val="auto"/>
              </w:rPr>
            </w:pPr>
            <w:r>
              <w:rPr>
                <w:rFonts w:ascii="Arial" w:cs="Arial" w:eastAsia="Arial" w:hAnsi="Arial"/>
                <w:sz w:val="14"/>
                <w:szCs w:val="14"/>
                <w:color w:val="4C4C4C"/>
              </w:rPr>
              <w:t>Cumulative Voting</w:t>
            </w:r>
          </w:p>
        </w:tc>
        <w:tc>
          <w:tcPr>
            <w:tcW w:w="4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4C4C4C"/>
              </w:rPr>
              <w:t>No</w:t>
            </w:r>
          </w:p>
        </w:tc>
        <w:tc>
          <w:tcPr>
            <w:tcW w:w="0" w:type="dxa"/>
            <w:vAlign w:val="bottom"/>
          </w:tcPr>
          <w:p>
            <w:pPr>
              <w:spacing w:after="0"/>
              <w:rPr>
                <w:sz w:val="1"/>
                <w:szCs w:val="1"/>
                <w:color w:val="auto"/>
              </w:rPr>
            </w:pPr>
          </w:p>
        </w:tc>
      </w:tr>
      <w:tr>
        <w:trPr>
          <w:trHeight w:val="194"/>
        </w:trPr>
        <w:tc>
          <w:tcPr>
            <w:tcW w:w="1400" w:type="dxa"/>
            <w:vAlign w:val="bottom"/>
          </w:tcPr>
          <w:p>
            <w:pPr>
              <w:ind w:left="60"/>
              <w:spacing w:after="0"/>
              <w:rPr>
                <w:sz w:val="20"/>
                <w:szCs w:val="20"/>
                <w:color w:val="auto"/>
              </w:rPr>
            </w:pPr>
            <w:r>
              <w:rPr>
                <w:rFonts w:ascii="Arial" w:cs="Arial" w:eastAsia="Arial" w:hAnsi="Arial"/>
                <w:sz w:val="14"/>
                <w:szCs w:val="14"/>
                <w:b w:val="1"/>
                <w:bCs w:val="1"/>
                <w:i w:val="1"/>
                <w:iCs w:val="1"/>
                <w:color w:val="546483"/>
              </w:rPr>
              <w:t>Rights:</w:t>
            </w:r>
          </w:p>
        </w:tc>
        <w:tc>
          <w:tcPr>
            <w:tcW w:w="4960" w:type="dxa"/>
            <w:vAlign w:val="bottom"/>
            <w:vMerge w:val="restart"/>
          </w:tcPr>
          <w:p>
            <w:pPr>
              <w:ind w:left="60"/>
              <w:spacing w:after="0"/>
              <w:rPr>
                <w:sz w:val="20"/>
                <w:szCs w:val="20"/>
                <w:color w:val="auto"/>
              </w:rPr>
            </w:pPr>
            <w:r>
              <w:rPr>
                <w:rFonts w:ascii="Arial" w:cs="Arial" w:eastAsia="Arial" w:hAnsi="Arial"/>
                <w:sz w:val="14"/>
                <w:szCs w:val="14"/>
                <w:color w:val="4C4C4C"/>
              </w:rPr>
              <w:t>Proxy Access Bylaw</w:t>
            </w:r>
          </w:p>
        </w:tc>
        <w:tc>
          <w:tcPr>
            <w:tcW w:w="4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color w:val="4C4C4C"/>
              </w:rPr>
              <w:t>Yes</w:t>
            </w:r>
          </w:p>
        </w:tc>
        <w:tc>
          <w:tcPr>
            <w:tcW w:w="0" w:type="dxa"/>
            <w:vAlign w:val="bottom"/>
          </w:tcPr>
          <w:p>
            <w:pPr>
              <w:spacing w:after="0"/>
              <w:rPr>
                <w:sz w:val="1"/>
                <w:szCs w:val="1"/>
                <w:color w:val="auto"/>
              </w:rPr>
            </w:pPr>
          </w:p>
        </w:tc>
      </w:tr>
      <w:tr>
        <w:trPr>
          <w:trHeight w:val="102"/>
        </w:trPr>
        <w:tc>
          <w:tcPr>
            <w:tcW w:w="1400" w:type="dxa"/>
            <w:vAlign w:val="bottom"/>
          </w:tcPr>
          <w:p>
            <w:pPr>
              <w:spacing w:after="0"/>
              <w:rPr>
                <w:sz w:val="8"/>
                <w:szCs w:val="8"/>
                <w:color w:val="auto"/>
              </w:rPr>
            </w:pPr>
          </w:p>
        </w:tc>
        <w:tc>
          <w:tcPr>
            <w:tcW w:w="49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580"/>
        <w:spacing w:after="0"/>
        <w:rPr>
          <w:sz w:val="20"/>
          <w:szCs w:val="20"/>
          <w:color w:val="auto"/>
        </w:rPr>
      </w:pPr>
      <w:r>
        <w:rPr>
          <w:rFonts w:ascii="Arial" w:cs="Arial" w:eastAsia="Arial" w:hAnsi="Arial"/>
          <w:sz w:val="22"/>
          <w:szCs w:val="22"/>
          <w:b w:val="1"/>
          <w:bCs w:val="1"/>
          <w:color w:val="0079C1"/>
        </w:rPr>
        <w:t>Ratification of Appointment of Independent Auditor for 2021</w:t>
      </w:r>
    </w:p>
    <w:p>
      <w:pPr>
        <w:spacing w:after="0" w:line="256" w:lineRule="exact"/>
        <w:rPr>
          <w:sz w:val="20"/>
          <w:szCs w:val="20"/>
          <w:color w:val="auto"/>
        </w:rPr>
      </w:pPr>
    </w:p>
    <w:p>
      <w:pPr>
        <w:jc w:val="both"/>
        <w:ind w:left="880" w:right="299"/>
        <w:spacing w:after="0" w:line="244" w:lineRule="auto"/>
        <w:rPr>
          <w:sz w:val="20"/>
          <w:szCs w:val="20"/>
          <w:color w:val="auto"/>
        </w:rPr>
      </w:pPr>
      <w:r>
        <w:rPr>
          <w:rFonts w:ascii="Arial" w:cs="Arial" w:eastAsia="Arial" w:hAnsi="Arial"/>
          <w:sz w:val="18"/>
          <w:szCs w:val="18"/>
          <w:color w:val="4C4C4C"/>
        </w:rPr>
        <w:t>We are asking stockholders to ratify the audit committee’s retention of Armanino LLP as our independent registered public accounting firm to examine and report on our consolidated financial statements and internal controls over financial reporting for the fiscal year ending December 31, 2022. As discussed in more detail below, the audit committee has selected Armanino LLP to succeed our former independent registered public accounting firm, BDO China Shu Lun Pan Certified Public Accountants LLP.</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0079C1"/>
        </w:rPr>
        <w:t>Participation in the Virtual Annual Meeting</w:t>
      </w:r>
    </w:p>
    <w:p>
      <w:pPr>
        <w:spacing w:after="0" w:line="189" w:lineRule="exact"/>
        <w:rPr>
          <w:sz w:val="20"/>
          <w:szCs w:val="20"/>
          <w:color w:val="auto"/>
        </w:rPr>
      </w:pPr>
    </w:p>
    <w:p>
      <w:pPr>
        <w:jc w:val="both"/>
        <w:ind w:left="880" w:right="299"/>
        <w:spacing w:after="0" w:line="242" w:lineRule="auto"/>
        <w:rPr>
          <w:sz w:val="20"/>
          <w:szCs w:val="20"/>
          <w:color w:val="auto"/>
        </w:rPr>
      </w:pPr>
      <w:r>
        <w:rPr>
          <w:rFonts w:ascii="Arial" w:cs="Arial" w:eastAsia="Arial" w:hAnsi="Arial"/>
          <w:sz w:val="18"/>
          <w:szCs w:val="18"/>
          <w:color w:val="4C4C4C"/>
        </w:rPr>
        <w:t>The board of directors considers the appropriate format of our annual meetings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 connected devices, including smart phones and tablets, laptop</w:t>
      </w:r>
    </w:p>
    <w:p>
      <w:pPr>
        <w:spacing w:after="0" w:line="28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223520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99"/>
          </w:cols>
          <w:pgMar w:left="860" w:top="371"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510540</wp:posOffset>
            </wp:positionH>
            <wp:positionV relativeFrom="page">
              <wp:posOffset>116840</wp:posOffset>
            </wp:positionV>
            <wp:extent cx="6527800" cy="66903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27800" cy="6690360"/>
                    </a:xfrm>
                    <a:prstGeom prst="rect">
                      <a:avLst/>
                    </a:prstGeom>
                    <a:noFill/>
                  </pic:spPr>
                </pic:pic>
              </a:graphicData>
            </a:graphic>
          </wp:anchor>
        </w:drawing>
        <w:t>TABLE OF CONTENTS</w:t>
      </w:r>
    </w:p>
    <w:p>
      <w:pPr>
        <w:spacing w:after="0" w:line="128" w:lineRule="exact"/>
        <w:rPr>
          <w:sz w:val="20"/>
          <w:szCs w:val="20"/>
          <w:color w:val="auto"/>
        </w:rPr>
      </w:pPr>
    </w:p>
    <w:p>
      <w:pPr>
        <w:jc w:val="both"/>
        <w:ind w:left="880" w:right="299"/>
        <w:spacing w:after="0" w:line="244" w:lineRule="auto"/>
        <w:rPr>
          <w:sz w:val="20"/>
          <w:szCs w:val="20"/>
          <w:color w:val="auto"/>
        </w:rPr>
      </w:pPr>
      <w:r>
        <w:rPr>
          <w:rFonts w:ascii="Arial" w:cs="Arial" w:eastAsia="Arial" w:hAnsi="Arial"/>
          <w:sz w:val="18"/>
          <w:szCs w:val="18"/>
          <w:color w:val="auto"/>
        </w:rPr>
        <w:t>or desktop computers. We will be able to engage with all stockholders as opposed to just those who can afford to travel to an in-person meeting. The virtual meeting format also will allow stockholders to maintain their own personal safety in light of the ongoing public health risks attributable to the COVID-19 (Coronavirus) pandemic. The virtual format allows stockholders to submit questions and comments during the meeting.</w:t>
      </w:r>
    </w:p>
    <w:p>
      <w:pPr>
        <w:spacing w:after="0" w:line="136" w:lineRule="exact"/>
        <w:rPr>
          <w:sz w:val="20"/>
          <w:szCs w:val="20"/>
          <w:color w:val="auto"/>
        </w:rPr>
      </w:pPr>
    </w:p>
    <w:p>
      <w:pPr>
        <w:jc w:val="both"/>
        <w:ind w:left="880" w:right="299"/>
        <w:spacing w:after="0"/>
        <w:rPr>
          <w:sz w:val="20"/>
          <w:szCs w:val="20"/>
          <w:color w:val="auto"/>
        </w:rPr>
      </w:pPr>
      <w:r>
        <w:rPr>
          <w:rFonts w:ascii="Arial" w:cs="Arial" w:eastAsia="Arial" w:hAnsi="Arial"/>
          <w:sz w:val="18"/>
          <w:szCs w:val="18"/>
          <w:color w:val="auto"/>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proxyholders should visit </w:t>
      </w:r>
      <w:r>
        <w:rPr>
          <w:rFonts w:ascii="Arial" w:cs="Arial" w:eastAsia="Arial" w:hAnsi="Arial"/>
          <w:sz w:val="18"/>
          <w:szCs w:val="18"/>
          <w:i w:val="1"/>
          <w:iCs w:val="1"/>
          <w:color w:val="auto"/>
        </w:rPr>
        <w:t xml:space="preserve">virtualshareholdermeeting.com/ACMR2022 </w:t>
      </w:r>
      <w:r>
        <w:rPr>
          <w:rFonts w:ascii="Arial" w:cs="Arial" w:eastAsia="Arial" w:hAnsi="Arial"/>
          <w:sz w:val="18"/>
          <w:szCs w:val="18"/>
          <w:color w:val="auto"/>
        </w:rPr>
        <w:t>and enter the 16-digit control number included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Notices of Internet Availability of Proxy Materials or proxy cards. If you wish to participate in the meeting and your shares are held in street name, you must obtain, from the broker, bank or other organization that holds your shares, the information required, including a 16-digit control number, in order for you to be able to participate in, and vote at, the Annual Meeting.</w:t>
      </w:r>
    </w:p>
    <w:p>
      <w:pPr>
        <w:spacing w:after="0" w:line="140" w:lineRule="exact"/>
        <w:rPr>
          <w:sz w:val="20"/>
          <w:szCs w:val="20"/>
          <w:color w:val="auto"/>
        </w:rPr>
      </w:pPr>
    </w:p>
    <w:p>
      <w:pPr>
        <w:jc w:val="both"/>
        <w:ind w:left="880" w:right="299"/>
        <w:spacing w:after="0" w:line="237" w:lineRule="auto"/>
        <w:rPr>
          <w:sz w:val="20"/>
          <w:szCs w:val="20"/>
          <w:color w:val="auto"/>
        </w:rPr>
      </w:pPr>
      <w:r>
        <w:rPr>
          <w:rFonts w:ascii="Arial" w:cs="Arial" w:eastAsia="Arial" w:hAnsi="Arial"/>
          <w:sz w:val="18"/>
          <w:szCs w:val="18"/>
          <w:color w:val="auto"/>
        </w:rPr>
        <w:t xml:space="preserve">Stockholders can vote their shares and submit questions via the Internet during the Annual Meeting by accessing the Annual Meeting website at </w:t>
      </w:r>
      <w:r>
        <w:rPr>
          <w:rFonts w:ascii="Arial" w:cs="Arial" w:eastAsia="Arial" w:hAnsi="Arial"/>
          <w:sz w:val="18"/>
          <w:szCs w:val="18"/>
          <w:i w:val="1"/>
          <w:iCs w:val="1"/>
          <w:color w:val="auto"/>
        </w:rPr>
        <w:t>virtualshareholdermeeting.com/ACMR2022</w:t>
      </w:r>
      <w:r>
        <w:rPr>
          <w:rFonts w:ascii="Arial" w:cs="Arial" w:eastAsia="Arial" w:hAnsi="Arial"/>
          <w:sz w:val="18"/>
          <w:szCs w:val="18"/>
          <w:color w:val="auto"/>
        </w:rPr>
        <w:t xml:space="preserve">. We will answer any timely submitted questions on a matter to be voted on at the Annual Meeting before voting is closed on the matter. Following adjournment of the formal business of the Annual Meeting, we will address appropriate general questions from stockholders regarding ACM Research in the order in which the questions are received. Questions relating to stockholder proposals or ACM Research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inappropriate language. If we receive substantially similar questions, we will group those questions together and provide a single response to avoid repetition. Additional information regarding the submission of questions during the Annual Meeting can be found in our 2022 Rules of Conduct and Procedure, a copy of which is attached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 Any material changes or updates to the 2022 Rules of Conduct and Procedure will be posted on our website and disclosed in a periodic report to the SEC on Form 8-K.</w:t>
      </w:r>
    </w:p>
    <w:p>
      <w:pPr>
        <w:spacing w:after="0" w:line="161" w:lineRule="exact"/>
        <w:rPr>
          <w:sz w:val="20"/>
          <w:szCs w:val="20"/>
          <w:color w:val="auto"/>
        </w:rPr>
      </w:pPr>
    </w:p>
    <w:p>
      <w:pPr>
        <w:jc w:val="both"/>
        <w:ind w:left="880" w:right="299"/>
        <w:spacing w:after="0" w:line="242" w:lineRule="auto"/>
        <w:rPr>
          <w:sz w:val="20"/>
          <w:szCs w:val="20"/>
          <w:color w:val="auto"/>
        </w:rPr>
      </w:pPr>
      <w:r>
        <w:rPr>
          <w:rFonts w:ascii="Arial" w:cs="Arial" w:eastAsia="Arial" w:hAnsi="Arial"/>
          <w:sz w:val="18"/>
          <w:szCs w:val="18"/>
          <w:color w:val="auto"/>
        </w:rPr>
        <w:t xml:space="preserve">Online check-in to the Annual Meeting webcast will begin at 6:45 a.m., Pacific time, and you should allow ample time to log into the webcast and test your computer audio system. During online check-in and continuing through the length of the Annual Meeting, we will have technicians standing by to assist you with any technical difficulties you may have accessing the virtual meeting. If you encounter any difficulties accessing the Annual Meeting during the check-in or at meeting time, you should call the technical support number available at </w:t>
      </w:r>
      <w:r>
        <w:rPr>
          <w:rFonts w:ascii="Arial" w:cs="Arial" w:eastAsia="Arial" w:hAnsi="Arial"/>
          <w:sz w:val="18"/>
          <w:szCs w:val="18"/>
          <w:i w:val="1"/>
          <w:iCs w:val="1"/>
          <w:color w:val="auto"/>
        </w:rPr>
        <w:t>virtualshareholdermeeting.com/ACMR2022</w:t>
      </w:r>
      <w:r>
        <w:rPr>
          <w:rFonts w:ascii="Arial" w:cs="Arial" w:eastAsia="Arial" w:hAnsi="Arial"/>
          <w:sz w:val="18"/>
          <w:szCs w:val="18"/>
          <w:color w:val="auto"/>
        </w:rPr>
        <w:t>.</w:t>
      </w:r>
    </w:p>
    <w:p>
      <w:pPr>
        <w:spacing w:after="0" w:line="138" w:lineRule="exact"/>
        <w:rPr>
          <w:sz w:val="20"/>
          <w:szCs w:val="20"/>
          <w:color w:val="auto"/>
        </w:rPr>
      </w:pPr>
    </w:p>
    <w:p>
      <w:pPr>
        <w:jc w:val="both"/>
        <w:ind w:left="880" w:right="319"/>
        <w:spacing w:after="0" w:line="247" w:lineRule="auto"/>
        <w:rPr>
          <w:sz w:val="20"/>
          <w:szCs w:val="20"/>
          <w:color w:val="auto"/>
        </w:rPr>
      </w:pPr>
      <w:r>
        <w:rPr>
          <w:rFonts w:ascii="Arial" w:cs="Arial" w:eastAsia="Arial" w:hAnsi="Arial"/>
          <w:sz w:val="18"/>
          <w:szCs w:val="18"/>
          <w:color w:val="auto"/>
        </w:rPr>
        <w:t xml:space="preserve">We have designed our virtual format to enhance, rather than constrain, stockholder access, participation and communication. For example, stockholders will be able to communicate with us during the Annual Meeting so they can ask questions. An audio replay of the Annual Meeting will be made publicly available at </w:t>
      </w:r>
      <w:r>
        <w:rPr>
          <w:rFonts w:ascii="Arial" w:cs="Arial" w:eastAsia="Arial" w:hAnsi="Arial"/>
          <w:sz w:val="18"/>
          <w:szCs w:val="18"/>
          <w:i w:val="1"/>
          <w:iCs w:val="1"/>
          <w:color w:val="auto"/>
        </w:rPr>
        <w:t>ir.acmrcsh.com/presentations</w:t>
      </w:r>
      <w:r>
        <w:rPr>
          <w:rFonts w:ascii="Arial" w:cs="Arial" w:eastAsia="Arial" w:hAnsi="Arial"/>
          <w:sz w:val="18"/>
          <w:szCs w:val="18"/>
          <w:color w:val="auto"/>
        </w:rPr>
        <w:t xml:space="preserve"> until our 2023 annual meeting of stockholders.</w:t>
      </w:r>
    </w:p>
    <w:p>
      <w:pPr>
        <w:spacing w:after="0" w:line="133" w:lineRule="exact"/>
        <w:rPr>
          <w:sz w:val="20"/>
          <w:szCs w:val="20"/>
          <w:color w:val="auto"/>
        </w:rPr>
      </w:pPr>
    </w:p>
    <w:p>
      <w:pPr>
        <w:jc w:val="both"/>
        <w:ind w:left="880" w:right="299"/>
        <w:spacing w:after="0" w:line="247" w:lineRule="auto"/>
        <w:rPr>
          <w:sz w:val="20"/>
          <w:szCs w:val="20"/>
          <w:color w:val="auto"/>
        </w:rPr>
      </w:pPr>
      <w:r>
        <w:rPr>
          <w:rFonts w:ascii="Arial" w:cs="Arial" w:eastAsia="Arial" w:hAnsi="Arial"/>
          <w:sz w:val="18"/>
          <w:szCs w:val="18"/>
          <w:color w:val="auto"/>
        </w:rPr>
        <w:t>This audio replay will include each stockholder question addressed during the Annual Meeting. We are utilizing technology from Broadridge Financial Solutions, Inc., or Broadridge, for the virtual meeting. The Broadridge platform is expected to accommodate most, if not all, stockholders. Both we and Broadridge will test the platform technology before going “live” for the Annual Meeting.</w:t>
      </w:r>
    </w:p>
    <w:p>
      <w:pPr>
        <w:spacing w:after="0" w:line="28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231775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99"/>
          </w:cols>
          <w:pgMar w:left="860" w:top="371"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Questions and Answers About the Annual Meeting</w:t>
      </w:r>
    </w:p>
    <w:p>
      <w:pPr>
        <w:spacing w:after="0" w:line="375"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When and where will the Annual Meeting be held?</w:t>
      </w:r>
    </w:p>
    <w:p>
      <w:pPr>
        <w:spacing w:after="0" w:line="166" w:lineRule="exact"/>
        <w:rPr>
          <w:sz w:val="20"/>
          <w:szCs w:val="20"/>
          <w:color w:val="auto"/>
        </w:rPr>
      </w:pPr>
    </w:p>
    <w:p>
      <w:pPr>
        <w:jc w:val="both"/>
        <w:ind w:left="640" w:right="299" w:hanging="348"/>
        <w:spacing w:after="0" w:line="253" w:lineRule="auto"/>
        <w:tabs>
          <w:tab w:leader="none" w:pos="640" w:val="left"/>
        </w:tabs>
        <w:numPr>
          <w:ilvl w:val="0"/>
          <w:numId w:val="6"/>
        </w:numPr>
        <w:rPr>
          <w:rFonts w:ascii="Arial" w:cs="Arial" w:eastAsia="Arial" w:hAnsi="Arial"/>
          <w:sz w:val="18"/>
          <w:szCs w:val="18"/>
          <w:b w:val="1"/>
          <w:bCs w:val="1"/>
          <w:color w:val="4C4C4C"/>
        </w:rPr>
      </w:pPr>
      <w:r>
        <w:rPr>
          <w:rFonts w:ascii="Arial" w:cs="Arial" w:eastAsia="Arial" w:hAnsi="Arial"/>
          <w:sz w:val="18"/>
          <w:szCs w:val="18"/>
          <w:color w:val="4C4C4C"/>
        </w:rPr>
        <w:t xml:space="preserve">This year the Annual Meeting of Stockholders of ACM Research, Inc., which we refer to as the Annual Meeting, will be held exclusively by webcast at </w:t>
      </w:r>
      <w:r>
        <w:rPr>
          <w:rFonts w:ascii="Arial" w:cs="Arial" w:eastAsia="Arial" w:hAnsi="Arial"/>
          <w:sz w:val="18"/>
          <w:szCs w:val="18"/>
          <w:i w:val="1"/>
          <w:iCs w:val="1"/>
          <w:color w:val="4C4C4C"/>
        </w:rPr>
        <w:t>virtualshareholdermeeting.com/ACMR2022,</w:t>
      </w:r>
      <w:r>
        <w:rPr>
          <w:rFonts w:ascii="Arial" w:cs="Arial" w:eastAsia="Arial" w:hAnsi="Arial"/>
          <w:sz w:val="18"/>
          <w:szCs w:val="18"/>
          <w:color w:val="4C4C4C"/>
        </w:rPr>
        <w:t xml:space="preserve"> beginning at 7 a.m., Pacific time, on June 30, 2022.</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Who may join the Annual Meeting?</w:t>
      </w:r>
    </w:p>
    <w:p>
      <w:pPr>
        <w:spacing w:after="0" w:line="180" w:lineRule="exact"/>
        <w:rPr>
          <w:sz w:val="20"/>
          <w:szCs w:val="20"/>
          <w:color w:val="auto"/>
        </w:rPr>
      </w:pPr>
    </w:p>
    <w:p>
      <w:pPr>
        <w:jc w:val="both"/>
        <w:ind w:left="640" w:right="299" w:hanging="348"/>
        <w:spacing w:after="0" w:line="244" w:lineRule="auto"/>
        <w:tabs>
          <w:tab w:leader="none" w:pos="640" w:val="left"/>
        </w:tabs>
        <w:numPr>
          <w:ilvl w:val="0"/>
          <w:numId w:val="7"/>
        </w:numPr>
        <w:rPr>
          <w:rFonts w:ascii="Arial" w:cs="Arial" w:eastAsia="Arial" w:hAnsi="Arial"/>
          <w:sz w:val="18"/>
          <w:szCs w:val="18"/>
          <w:b w:val="1"/>
          <w:bCs w:val="1"/>
          <w:color w:val="4C4C4C"/>
        </w:rPr>
      </w:pPr>
      <w:r>
        <w:rPr>
          <w:rFonts w:ascii="Arial" w:cs="Arial" w:eastAsia="Arial" w:hAnsi="Arial"/>
          <w:sz w:val="18"/>
          <w:szCs w:val="18"/>
          <w:color w:val="4C4C4C"/>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proxyholders should visit </w:t>
      </w:r>
      <w:r>
        <w:rPr>
          <w:rFonts w:ascii="Arial" w:cs="Arial" w:eastAsia="Arial" w:hAnsi="Arial"/>
          <w:sz w:val="18"/>
          <w:szCs w:val="18"/>
          <w:i w:val="1"/>
          <w:iCs w:val="1"/>
          <w:color w:val="4C4C4C"/>
        </w:rPr>
        <w:t xml:space="preserve">virtualshareholdermeeting.com/ACMR2022 </w:t>
      </w:r>
      <w:r>
        <w:rPr>
          <w:rFonts w:ascii="Arial" w:cs="Arial" w:eastAsia="Arial" w:hAnsi="Arial"/>
          <w:sz w:val="18"/>
          <w:szCs w:val="18"/>
          <w:color w:val="4C4C4C"/>
        </w:rPr>
        <w:t>and enter the 16-digit control number included on their</w:t>
      </w:r>
      <w:r>
        <w:rPr>
          <w:rFonts w:ascii="Arial" w:cs="Arial" w:eastAsia="Arial" w:hAnsi="Arial"/>
          <w:sz w:val="18"/>
          <w:szCs w:val="18"/>
          <w:i w:val="1"/>
          <w:iCs w:val="1"/>
          <w:color w:val="4C4C4C"/>
        </w:rPr>
        <w:t xml:space="preserve"> </w:t>
      </w:r>
      <w:r>
        <w:rPr>
          <w:rFonts w:ascii="Arial" w:cs="Arial" w:eastAsia="Arial" w:hAnsi="Arial"/>
          <w:sz w:val="18"/>
          <w:szCs w:val="18"/>
          <w:color w:val="4C4C4C"/>
        </w:rPr>
        <w:t>Notices of Internet Availability of Proxy Materials or proxy cards.</w:t>
      </w:r>
    </w:p>
    <w:p>
      <w:pPr>
        <w:spacing w:after="0" w:line="135" w:lineRule="exact"/>
        <w:rPr>
          <w:rFonts w:ascii="Arial" w:cs="Arial" w:eastAsia="Arial" w:hAnsi="Arial"/>
          <w:sz w:val="18"/>
          <w:szCs w:val="18"/>
          <w:b w:val="1"/>
          <w:bCs w:val="1"/>
          <w:color w:val="4C4C4C"/>
        </w:rPr>
      </w:pPr>
    </w:p>
    <w:p>
      <w:pPr>
        <w:ind w:left="660" w:right="319"/>
        <w:spacing w:after="0" w:line="271" w:lineRule="auto"/>
        <w:rPr>
          <w:rFonts w:ascii="Arial" w:cs="Arial" w:eastAsia="Arial" w:hAnsi="Arial"/>
          <w:sz w:val="18"/>
          <w:szCs w:val="18"/>
          <w:b w:val="1"/>
          <w:bCs w:val="1"/>
          <w:color w:val="4C4C4C"/>
        </w:rPr>
      </w:pPr>
      <w:r>
        <w:rPr>
          <w:rFonts w:ascii="Arial" w:cs="Arial" w:eastAsia="Arial" w:hAnsi="Arial"/>
          <w:sz w:val="18"/>
          <w:szCs w:val="18"/>
          <w:color w:val="4C4C4C"/>
        </w:rPr>
        <w:t>Online check-in to the Annual Meeting webcast will begin at 6:45 a.m., Pacific time. We encourage you to allow ample time to log in to the meeting webcast and test your computer audio system.</w:t>
      </w:r>
    </w:p>
    <w:p>
      <w:pPr>
        <w:spacing w:after="0" w:line="149" w:lineRule="exact"/>
        <w:rPr>
          <w:sz w:val="20"/>
          <w:szCs w:val="20"/>
          <w:color w:val="auto"/>
        </w:rPr>
      </w:pPr>
    </w:p>
    <w:p>
      <w:pPr>
        <w:ind w:left="640" w:right="579" w:hanging="348"/>
        <w:spacing w:after="0" w:line="270" w:lineRule="auto"/>
        <w:tabs>
          <w:tab w:leader="none" w:pos="640" w:val="left"/>
        </w:tabs>
        <w:numPr>
          <w:ilvl w:val="0"/>
          <w:numId w:val="8"/>
        </w:numPr>
        <w:rPr>
          <w:rFonts w:ascii="Arial" w:cs="Arial" w:eastAsia="Arial" w:hAnsi="Arial"/>
          <w:sz w:val="20"/>
          <w:szCs w:val="20"/>
          <w:b w:val="1"/>
          <w:bCs w:val="1"/>
          <w:color w:val="0079C1"/>
        </w:rPr>
      </w:pPr>
      <w:r>
        <w:rPr>
          <w:rFonts w:ascii="Arial" w:cs="Arial" w:eastAsia="Arial" w:hAnsi="Arial"/>
          <w:sz w:val="20"/>
          <w:szCs w:val="20"/>
          <w:b w:val="1"/>
          <w:bCs w:val="1"/>
          <w:color w:val="0079C1"/>
        </w:rPr>
        <w:t>What materials have been prepared for stockholders in connection with the Annual Meeting?</w:t>
      </w:r>
    </w:p>
    <w:p>
      <w:pPr>
        <w:spacing w:after="0" w:line="95" w:lineRule="exact"/>
        <w:rPr>
          <w:sz w:val="20"/>
          <w:szCs w:val="20"/>
          <w:color w:val="auto"/>
        </w:rPr>
      </w:pPr>
    </w:p>
    <w:p>
      <w:pPr>
        <w:ind w:left="640" w:hanging="348"/>
        <w:spacing w:after="0"/>
        <w:tabs>
          <w:tab w:leader="none" w:pos="640" w:val="left"/>
        </w:tabs>
        <w:numPr>
          <w:ilvl w:val="0"/>
          <w:numId w:val="9"/>
        </w:numPr>
        <w:rPr>
          <w:rFonts w:ascii="Arial" w:cs="Arial" w:eastAsia="Arial" w:hAnsi="Arial"/>
          <w:sz w:val="18"/>
          <w:szCs w:val="18"/>
          <w:b w:val="1"/>
          <w:bCs w:val="1"/>
          <w:color w:val="4C4C4C"/>
        </w:rPr>
      </w:pPr>
      <w:r>
        <w:rPr>
          <w:rFonts w:ascii="Arial" w:cs="Arial" w:eastAsia="Arial" w:hAnsi="Arial"/>
          <w:sz w:val="18"/>
          <w:szCs w:val="18"/>
          <w:color w:val="4C4C4C"/>
        </w:rPr>
        <w:t>We are furnishing you and other stockholders of record with the following proxy materials:</w:t>
      </w:r>
    </w:p>
    <w:p>
      <w:pPr>
        <w:spacing w:after="0" w:line="103" w:lineRule="exact"/>
        <w:rPr>
          <w:rFonts w:ascii="Arial" w:cs="Arial" w:eastAsia="Arial" w:hAnsi="Arial"/>
          <w:sz w:val="18"/>
          <w:szCs w:val="18"/>
          <w:b w:val="1"/>
          <w:bCs w:val="1"/>
          <w:color w:val="4C4C4C"/>
        </w:rPr>
      </w:pPr>
    </w:p>
    <w:p>
      <w:pPr>
        <w:jc w:val="both"/>
        <w:ind w:left="1000" w:right="319" w:hanging="348"/>
        <w:spacing w:after="0" w:line="253" w:lineRule="auto"/>
        <w:tabs>
          <w:tab w:leader="none" w:pos="1000" w:val="left"/>
        </w:tabs>
        <w:numPr>
          <w:ilvl w:val="1"/>
          <w:numId w:val="9"/>
        </w:numPr>
        <w:rPr>
          <w:rFonts w:ascii="Arial" w:cs="Arial" w:eastAsia="Arial" w:hAnsi="Arial"/>
          <w:sz w:val="18"/>
          <w:szCs w:val="18"/>
          <w:color w:val="4C4C4C"/>
        </w:rPr>
      </w:pPr>
      <w:r>
        <w:rPr>
          <w:rFonts w:ascii="Arial" w:cs="Arial" w:eastAsia="Arial" w:hAnsi="Arial"/>
          <w:sz w:val="18"/>
          <w:szCs w:val="18"/>
          <w:color w:val="4C4C4C"/>
        </w:rPr>
        <w:t>our 2021 Annual Report to Stockholders, which we refer to as the 2021 Annual Report and which includes our Annual Report on Form 10-K for the fiscal year ended December 31, 2021, as amended (including our audited consolidated financial statements for 2021, 2020 and 2019);</w:t>
      </w:r>
    </w:p>
    <w:p>
      <w:pPr>
        <w:spacing w:after="0" w:line="60" w:lineRule="exact"/>
        <w:rPr>
          <w:rFonts w:ascii="Arial" w:cs="Arial" w:eastAsia="Arial" w:hAnsi="Arial"/>
          <w:sz w:val="18"/>
          <w:szCs w:val="18"/>
          <w:color w:val="4C4C4C"/>
        </w:rPr>
      </w:pPr>
    </w:p>
    <w:p>
      <w:pPr>
        <w:jc w:val="both"/>
        <w:ind w:left="1000" w:right="319" w:hanging="348"/>
        <w:spacing w:after="0" w:line="253" w:lineRule="auto"/>
        <w:tabs>
          <w:tab w:leader="none" w:pos="1000" w:val="left"/>
        </w:tabs>
        <w:numPr>
          <w:ilvl w:val="1"/>
          <w:numId w:val="9"/>
        </w:numPr>
        <w:rPr>
          <w:rFonts w:ascii="Arial" w:cs="Arial" w:eastAsia="Arial" w:hAnsi="Arial"/>
          <w:sz w:val="18"/>
          <w:szCs w:val="18"/>
          <w:color w:val="4C4C4C"/>
        </w:rPr>
      </w:pPr>
      <w:r>
        <w:rPr>
          <w:rFonts w:ascii="Arial" w:cs="Arial" w:eastAsia="Arial" w:hAnsi="Arial"/>
          <w:sz w:val="18"/>
          <w:szCs w:val="18"/>
          <w:color w:val="4C4C4C"/>
        </w:rPr>
        <w:t>this Proxy Statement for the 2022 Annual Meeting, which we refer to as this Proxy Statement and which also includes a letter from our Chief Executive Officer and President to stockholders, and a Notice of 2022 Annual Meeting of Stockholders; and</w:t>
      </w:r>
    </w:p>
    <w:p>
      <w:pPr>
        <w:spacing w:after="0" w:line="60" w:lineRule="exact"/>
        <w:rPr>
          <w:rFonts w:ascii="Arial" w:cs="Arial" w:eastAsia="Arial" w:hAnsi="Arial"/>
          <w:sz w:val="18"/>
          <w:szCs w:val="18"/>
          <w:color w:val="4C4C4C"/>
        </w:rPr>
      </w:pPr>
    </w:p>
    <w:p>
      <w:pPr>
        <w:jc w:val="both"/>
        <w:ind w:left="1000" w:right="319" w:hanging="348"/>
        <w:spacing w:after="0" w:line="253" w:lineRule="auto"/>
        <w:tabs>
          <w:tab w:leader="none" w:pos="1000" w:val="left"/>
        </w:tabs>
        <w:numPr>
          <w:ilvl w:val="1"/>
          <w:numId w:val="9"/>
        </w:numPr>
        <w:rPr>
          <w:rFonts w:ascii="Arial" w:cs="Arial" w:eastAsia="Arial" w:hAnsi="Arial"/>
          <w:sz w:val="18"/>
          <w:szCs w:val="18"/>
          <w:color w:val="4C4C4C"/>
        </w:rPr>
      </w:pPr>
      <w:r>
        <w:rPr>
          <w:rFonts w:ascii="Arial" w:cs="Arial" w:eastAsia="Arial" w:hAnsi="Arial"/>
          <w:sz w:val="18"/>
          <w:szCs w:val="18"/>
          <w:color w:val="4C4C4C"/>
        </w:rPr>
        <w:t>a Notice of Internet Availability of Proxy Materials, which we refer to as the Notice of Internet Availability, which includes a control number for use in submitting proxies and accessing the Annual Meeting webcast.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4C4C4C"/>
        </w:rPr>
        <w:t>These materials were first mailed or made available to stockholders on or about May 20, 2022.</w:t>
      </w:r>
    </w:p>
    <w:p>
      <w:pPr>
        <w:spacing w:after="0" w:line="171" w:lineRule="exact"/>
        <w:rPr>
          <w:sz w:val="20"/>
          <w:szCs w:val="20"/>
          <w:color w:val="auto"/>
        </w:rPr>
      </w:pPr>
    </w:p>
    <w:p>
      <w:pPr>
        <w:jc w:val="both"/>
        <w:ind w:left="660" w:right="299"/>
        <w:spacing w:after="0"/>
        <w:rPr>
          <w:sz w:val="20"/>
          <w:szCs w:val="20"/>
          <w:color w:val="auto"/>
        </w:rPr>
      </w:pPr>
      <w:r>
        <w:rPr>
          <w:rFonts w:ascii="Arial" w:cs="Arial" w:eastAsia="Arial" w:hAnsi="Arial"/>
          <w:sz w:val="18"/>
          <w:szCs w:val="18"/>
          <w:color w:val="4C4C4C"/>
        </w:rPr>
        <w:t>If you request, in accordance with the instructions provided in the Notice of Internet Availability, a printed set of proxy materials, you will receive by mail, at no charge, printed copies of the 2021 Annual Report, this Proxy Statement, a proxy card for the Annual Meeting and a postage-paid, pre-addressed envelope to be used to return the completed proxy card. Your proxy card will include a control number for use in accessing the Annual Meeting webcast. If, in accordance with the instructions provided in the Notice of Internet Availability, you request that a set of proxy materials be emailed to you, you will receive by email, at no charge, electronic copies of the 2021 Annual Report and this Proxy Statement.</w:t>
      </w:r>
    </w:p>
    <w:p>
      <w:pPr>
        <w:spacing w:after="0" w:line="175" w:lineRule="exact"/>
        <w:rPr>
          <w:sz w:val="20"/>
          <w:szCs w:val="20"/>
          <w:color w:val="auto"/>
        </w:rPr>
      </w:pPr>
    </w:p>
    <w:p>
      <w:pPr>
        <w:ind w:left="640" w:right="599" w:hanging="348"/>
        <w:spacing w:after="0" w:line="270" w:lineRule="auto"/>
        <w:tabs>
          <w:tab w:leader="none" w:pos="640" w:val="left"/>
        </w:tabs>
        <w:numPr>
          <w:ilvl w:val="0"/>
          <w:numId w:val="10"/>
        </w:numPr>
        <w:rPr>
          <w:rFonts w:ascii="Arial" w:cs="Arial" w:eastAsia="Arial" w:hAnsi="Arial"/>
          <w:sz w:val="20"/>
          <w:szCs w:val="20"/>
          <w:b w:val="1"/>
          <w:bCs w:val="1"/>
          <w:color w:val="0079C1"/>
        </w:rPr>
      </w:pPr>
      <w:r>
        <w:rPr>
          <w:rFonts w:ascii="Arial" w:cs="Arial" w:eastAsia="Arial" w:hAnsi="Arial"/>
          <w:sz w:val="20"/>
          <w:szCs w:val="20"/>
          <w:b w:val="1"/>
          <w:bCs w:val="1"/>
          <w:color w:val="0079C1"/>
        </w:rPr>
        <w:t>Why was I mailed a Notice of Internet Availability, rather than a printed set of proxy materials?</w:t>
      </w:r>
    </w:p>
    <w:p>
      <w:pPr>
        <w:spacing w:after="0" w:line="108" w:lineRule="exact"/>
        <w:rPr>
          <w:sz w:val="20"/>
          <w:szCs w:val="20"/>
          <w:color w:val="auto"/>
        </w:rPr>
      </w:pPr>
    </w:p>
    <w:p>
      <w:pPr>
        <w:jc w:val="both"/>
        <w:ind w:left="640" w:right="299" w:hanging="348"/>
        <w:spacing w:after="0" w:line="242" w:lineRule="auto"/>
        <w:tabs>
          <w:tab w:leader="none" w:pos="640" w:val="left"/>
        </w:tabs>
        <w:numPr>
          <w:ilvl w:val="0"/>
          <w:numId w:val="11"/>
        </w:numPr>
        <w:rPr>
          <w:rFonts w:ascii="Arial" w:cs="Arial" w:eastAsia="Arial" w:hAnsi="Arial"/>
          <w:sz w:val="18"/>
          <w:szCs w:val="18"/>
          <w:b w:val="1"/>
          <w:bCs w:val="1"/>
          <w:color w:val="4C4C4C"/>
        </w:rPr>
      </w:pPr>
      <w:r>
        <w:rPr>
          <w:rFonts w:ascii="Arial" w:cs="Arial" w:eastAsia="Arial" w:hAnsi="Arial"/>
          <w:sz w:val="18"/>
          <w:szCs w:val="18"/>
          <w:color w:val="4C4C4C"/>
        </w:rPr>
        <w:t>In accordance with rules adopted by the SEC, we are furnishing the proxy materials to stockholders by providing access via the Internet, instead of mailing printed copies. This process expedites the delivery of proxy materials to our stockholders, lowers our costs and reduces the environmental impact of the Annual Meeting. The Notice of Internet Availability tells you how to access and review the proxy materials on the Internet and how to vote on the Internet. It also provides instructions you may follow to request paper or emailed copies of the proxy materials.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Are the proxy materials available via the Internet?</w:t>
      </w:r>
    </w:p>
    <w:p>
      <w:pPr>
        <w:spacing w:after="0" w:line="180" w:lineRule="exact"/>
        <w:rPr>
          <w:sz w:val="20"/>
          <w:szCs w:val="20"/>
          <w:color w:val="auto"/>
        </w:rPr>
      </w:pPr>
    </w:p>
    <w:p>
      <w:pPr>
        <w:jc w:val="both"/>
        <w:ind w:left="640" w:right="299" w:hanging="348"/>
        <w:spacing w:after="0" w:line="244" w:lineRule="auto"/>
        <w:tabs>
          <w:tab w:leader="none" w:pos="640" w:val="left"/>
        </w:tabs>
        <w:numPr>
          <w:ilvl w:val="0"/>
          <w:numId w:val="12"/>
        </w:numPr>
        <w:rPr>
          <w:rFonts w:ascii="Arial" w:cs="Arial" w:eastAsia="Arial" w:hAnsi="Arial"/>
          <w:sz w:val="18"/>
          <w:szCs w:val="18"/>
          <w:b w:val="1"/>
          <w:bCs w:val="1"/>
          <w:color w:val="4C4C4C"/>
        </w:rPr>
      </w:pPr>
      <w:r>
        <w:rPr>
          <w:rFonts w:ascii="Arial" w:cs="Arial" w:eastAsia="Arial" w:hAnsi="Arial"/>
          <w:sz w:val="18"/>
          <w:szCs w:val="18"/>
          <w:color w:val="4C4C4C"/>
        </w:rPr>
        <w:t xml:space="preserve">You can access and review the proxy materials for the Annual Meeting at </w:t>
      </w:r>
      <w:r>
        <w:rPr>
          <w:rFonts w:ascii="Arial" w:cs="Arial" w:eastAsia="Arial" w:hAnsi="Arial"/>
          <w:sz w:val="18"/>
          <w:szCs w:val="18"/>
          <w:i w:val="1"/>
          <w:iCs w:val="1"/>
          <w:color w:val="4C4C4C"/>
        </w:rPr>
        <w:t xml:space="preserve">ir.acmrcsh.com/corporate-governance/highlights </w:t>
      </w:r>
      <w:r>
        <w:rPr>
          <w:rFonts w:ascii="Arial" w:cs="Arial" w:eastAsia="Arial" w:hAnsi="Arial"/>
          <w:sz w:val="18"/>
          <w:szCs w:val="18"/>
          <w:color w:val="4C4C4C"/>
        </w:rPr>
        <w:t>or</w:t>
      </w:r>
      <w:r>
        <w:rPr>
          <w:rFonts w:ascii="Arial" w:cs="Arial" w:eastAsia="Arial" w:hAnsi="Arial"/>
          <w:sz w:val="18"/>
          <w:szCs w:val="18"/>
          <w:i w:val="1"/>
          <w:iCs w:val="1"/>
          <w:color w:val="4C4C4C"/>
        </w:rPr>
        <w:t xml:space="preserve"> proxyvote.com</w:t>
      </w:r>
      <w:r>
        <w:rPr>
          <w:rFonts w:ascii="Arial" w:cs="Arial" w:eastAsia="Arial" w:hAnsi="Arial"/>
          <w:sz w:val="18"/>
          <w:szCs w:val="18"/>
          <w:color w:val="4C4C4C"/>
        </w:rPr>
        <w:t>. In order to submit your proxies or access the Annual</w:t>
      </w:r>
      <w:r>
        <w:rPr>
          <w:rFonts w:ascii="Arial" w:cs="Arial" w:eastAsia="Arial" w:hAnsi="Arial"/>
          <w:sz w:val="18"/>
          <w:szCs w:val="18"/>
          <w:i w:val="1"/>
          <w:iCs w:val="1"/>
          <w:color w:val="4C4C4C"/>
        </w:rPr>
        <w:t xml:space="preserve"> </w:t>
      </w:r>
      <w:r>
        <w:rPr>
          <w:rFonts w:ascii="Arial" w:cs="Arial" w:eastAsia="Arial" w:hAnsi="Arial"/>
          <w:sz w:val="18"/>
          <w:szCs w:val="18"/>
          <w:color w:val="4C4C4C"/>
        </w:rPr>
        <w:t>Meeting webcast, however, you will need to refer to the Notice of Internet Availability or proxy card to obtain your 16-digit control number and other personal information needed to vote by proxy or virtually.</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What is a proxy?</w:t>
      </w:r>
    </w:p>
    <w:p>
      <w:pPr>
        <w:spacing w:after="0" w:line="166" w:lineRule="exact"/>
        <w:rPr>
          <w:sz w:val="20"/>
          <w:szCs w:val="20"/>
          <w:color w:val="auto"/>
        </w:rPr>
      </w:pPr>
    </w:p>
    <w:p>
      <w:pPr>
        <w:jc w:val="both"/>
        <w:ind w:left="640" w:right="299" w:hanging="348"/>
        <w:spacing w:after="0" w:line="253" w:lineRule="auto"/>
        <w:tabs>
          <w:tab w:leader="none" w:pos="640" w:val="left"/>
        </w:tabs>
        <w:numPr>
          <w:ilvl w:val="0"/>
          <w:numId w:val="13"/>
        </w:numPr>
        <w:rPr>
          <w:rFonts w:ascii="Arial" w:cs="Arial" w:eastAsia="Arial" w:hAnsi="Arial"/>
          <w:sz w:val="18"/>
          <w:szCs w:val="18"/>
          <w:b w:val="1"/>
          <w:bCs w:val="1"/>
          <w:color w:val="4C4C4C"/>
        </w:rPr>
      </w:pPr>
      <w:r>
        <w:rPr>
          <w:rFonts w:ascii="Arial" w:cs="Arial" w:eastAsia="Arial" w:hAnsi="Arial"/>
          <w:sz w:val="18"/>
          <w:szCs w:val="18"/>
          <w:color w:val="4C4C4C"/>
        </w:rPr>
        <w:t>The term “proxy,” when used with respect to stockholder, refers to either a person or persons legally authorized to act on the stockholder’s behalf or a format that allows the stockholder to vote without being virtually present at the Annual Meeting.</w:t>
      </w:r>
    </w:p>
    <w:p>
      <w:pPr>
        <w:spacing w:after="0" w:line="128" w:lineRule="exact"/>
        <w:rPr>
          <w:rFonts w:ascii="Arial" w:cs="Arial" w:eastAsia="Arial" w:hAnsi="Arial"/>
          <w:sz w:val="18"/>
          <w:szCs w:val="18"/>
          <w:b w:val="1"/>
          <w:bCs w:val="1"/>
          <w:color w:val="4C4C4C"/>
        </w:rPr>
      </w:pPr>
    </w:p>
    <w:p>
      <w:pPr>
        <w:jc w:val="both"/>
        <w:ind w:left="660" w:right="299"/>
        <w:spacing w:after="0"/>
        <w:rPr>
          <w:rFonts w:ascii="Arial" w:cs="Arial" w:eastAsia="Arial" w:hAnsi="Arial"/>
          <w:sz w:val="18"/>
          <w:szCs w:val="18"/>
          <w:b w:val="1"/>
          <w:bCs w:val="1"/>
          <w:color w:val="4C4C4C"/>
        </w:rPr>
      </w:pPr>
      <w:r>
        <w:rPr>
          <w:rFonts w:ascii="Arial" w:cs="Arial" w:eastAsia="Arial" w:hAnsi="Arial"/>
          <w:sz w:val="18"/>
          <w:szCs w:val="18"/>
          <w:color w:val="4C4C4C"/>
        </w:rPr>
        <w:t>Because it is important that as many stockholders as possible be represented at the Annual Meeting, the board of directors is asking that you review this Proxy Statement carefully and then vote by following the instructions set forth on the Notice of Internet Availability or proxy card. In voting prior to the Annual Meeting, you will deliver your proxy to the proxy holders, which means you will authorize the proxy holders to vote your shares at the Annual Meeting in the way you instruct. The proxy holders consist of David Wang and Mark McKechnie. All shares represented by valid proxies will be voted in accordance with the stockholder’s specific instructions.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What matters will the stockholders vote on at the Annual Meeting?</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47"/>
        </w:trPr>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4C4C4C"/>
                <w:w w:val="99"/>
              </w:rPr>
              <w:t xml:space="preserve">A:  </w:t>
            </w:r>
            <w:r>
              <w:rPr>
                <w:rFonts w:ascii="Arial" w:cs="Arial" w:eastAsia="Arial" w:hAnsi="Arial"/>
                <w:sz w:val="18"/>
                <w:szCs w:val="18"/>
                <w:color w:val="4C4C4C"/>
                <w:w w:val="99"/>
              </w:rPr>
              <w:t>Proposal </w:t>
            </w:r>
          </w:p>
        </w:tc>
        <w:tc>
          <w:tcPr>
            <w:tcW w:w="4320" w:type="dxa"/>
            <w:vAlign w:val="bottom"/>
            <w:gridSpan w:val="4"/>
          </w:tcPr>
          <w:p>
            <w:pPr>
              <w:ind w:left="220"/>
              <w:spacing w:after="0"/>
              <w:rPr>
                <w:sz w:val="20"/>
                <w:szCs w:val="20"/>
                <w:color w:val="auto"/>
              </w:rPr>
            </w:pPr>
            <w:r>
              <w:rPr>
                <w:rFonts w:ascii="Arial" w:cs="Arial" w:eastAsia="Arial" w:hAnsi="Arial"/>
                <w:sz w:val="18"/>
                <w:szCs w:val="18"/>
                <w:color w:val="4C4C4C"/>
              </w:rPr>
              <w:t>Election of the following five director nominees:</w:t>
            </w:r>
          </w:p>
        </w:tc>
        <w:tc>
          <w:tcPr>
            <w:tcW w:w="1500" w:type="dxa"/>
            <w:vAlign w:val="bottom"/>
          </w:tcPr>
          <w:p>
            <w:pPr>
              <w:spacing w:after="0"/>
              <w:rPr>
                <w:sz w:val="21"/>
                <w:szCs w:val="21"/>
                <w:color w:val="auto"/>
              </w:rPr>
            </w:pPr>
          </w:p>
        </w:tc>
      </w:tr>
      <w:tr>
        <w:trPr>
          <w:trHeight w:val="411"/>
        </w:trPr>
        <w:tc>
          <w:tcPr>
            <w:tcW w:w="13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3"/>
                <w:szCs w:val="13"/>
                <w:color w:val="4C4C4C"/>
                <w:w w:val="79"/>
              </w:rPr>
              <w:t>• </w:t>
            </w:r>
          </w:p>
        </w:tc>
        <w:tc>
          <w:tcPr>
            <w:tcW w:w="1740" w:type="dxa"/>
            <w:vAlign w:val="bottom"/>
          </w:tcPr>
          <w:p>
            <w:pPr>
              <w:ind w:left="60"/>
              <w:spacing w:after="0"/>
              <w:rPr>
                <w:sz w:val="20"/>
                <w:szCs w:val="20"/>
                <w:color w:val="auto"/>
              </w:rPr>
            </w:pPr>
            <w:r>
              <w:rPr>
                <w:rFonts w:ascii="Arial" w:cs="Arial" w:eastAsia="Arial" w:hAnsi="Arial"/>
                <w:sz w:val="18"/>
                <w:szCs w:val="18"/>
                <w:color w:val="4C4C4C"/>
              </w:rPr>
              <w:t>Chenming C. Hu</w:t>
            </w:r>
          </w:p>
        </w:tc>
        <w:tc>
          <w:tcPr>
            <w:tcW w:w="580" w:type="dxa"/>
            <w:vAlign w:val="bottom"/>
          </w:tcPr>
          <w:p>
            <w:pPr>
              <w:ind w:left="420"/>
              <w:spacing w:after="0"/>
              <w:rPr>
                <w:sz w:val="20"/>
                <w:szCs w:val="20"/>
                <w:color w:val="auto"/>
              </w:rPr>
            </w:pPr>
            <w:r>
              <w:rPr>
                <w:rFonts w:ascii="Arial" w:cs="Arial" w:eastAsia="Arial" w:hAnsi="Arial"/>
                <w:sz w:val="13"/>
                <w:szCs w:val="13"/>
                <w:color w:val="4C4C4C"/>
                <w:w w:val="79"/>
              </w:rPr>
              <w:t>• </w:t>
            </w:r>
          </w:p>
        </w:tc>
        <w:tc>
          <w:tcPr>
            <w:tcW w:w="1620" w:type="dxa"/>
            <w:vAlign w:val="bottom"/>
          </w:tcPr>
          <w:p>
            <w:pPr>
              <w:ind w:left="60"/>
              <w:spacing w:after="0"/>
              <w:rPr>
                <w:sz w:val="20"/>
                <w:szCs w:val="20"/>
                <w:color w:val="auto"/>
              </w:rPr>
            </w:pPr>
            <w:r>
              <w:rPr>
                <w:rFonts w:ascii="Arial" w:cs="Arial" w:eastAsia="Arial" w:hAnsi="Arial"/>
                <w:sz w:val="18"/>
                <w:szCs w:val="18"/>
                <w:color w:val="4C4C4C"/>
              </w:rPr>
              <w:t>Haiping Dun</w:t>
            </w:r>
          </w:p>
        </w:tc>
        <w:tc>
          <w:tcPr>
            <w:tcW w:w="1500" w:type="dxa"/>
            <w:vAlign w:val="bottom"/>
          </w:tcPr>
          <w:p>
            <w:pPr>
              <w:ind w:left="540"/>
              <w:spacing w:after="0"/>
              <w:rPr>
                <w:sz w:val="20"/>
                <w:szCs w:val="20"/>
                <w:color w:val="auto"/>
              </w:rPr>
            </w:pPr>
            <w:r>
              <w:rPr>
                <w:rFonts w:ascii="Arial" w:cs="Arial" w:eastAsia="Arial" w:hAnsi="Arial"/>
                <w:sz w:val="18"/>
                <w:szCs w:val="18"/>
                <w:color w:val="4C4C4C"/>
                <w:w w:val="84"/>
              </w:rPr>
              <w:t>•   Xiao Xing</w:t>
            </w:r>
          </w:p>
        </w:tc>
      </w:tr>
      <w:tr>
        <w:trPr>
          <w:trHeight w:val="418"/>
        </w:trPr>
        <w:tc>
          <w:tcPr>
            <w:tcW w:w="132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3"/>
                <w:szCs w:val="13"/>
                <w:color w:val="4C4C4C"/>
                <w:w w:val="79"/>
              </w:rPr>
              <w:t>• </w:t>
            </w:r>
          </w:p>
        </w:tc>
        <w:tc>
          <w:tcPr>
            <w:tcW w:w="1740" w:type="dxa"/>
            <w:vAlign w:val="bottom"/>
          </w:tcPr>
          <w:p>
            <w:pPr>
              <w:ind w:left="60"/>
              <w:spacing w:after="0"/>
              <w:rPr>
                <w:sz w:val="20"/>
                <w:szCs w:val="20"/>
                <w:color w:val="auto"/>
              </w:rPr>
            </w:pPr>
            <w:r>
              <w:rPr>
                <w:rFonts w:ascii="Arial" w:cs="Arial" w:eastAsia="Arial" w:hAnsi="Arial"/>
                <w:sz w:val="18"/>
                <w:szCs w:val="18"/>
                <w:color w:val="4C4C4C"/>
              </w:rPr>
              <w:t>David H. Wang</w:t>
            </w:r>
          </w:p>
        </w:tc>
        <w:tc>
          <w:tcPr>
            <w:tcW w:w="580" w:type="dxa"/>
            <w:vAlign w:val="bottom"/>
          </w:tcPr>
          <w:p>
            <w:pPr>
              <w:ind w:left="420"/>
              <w:spacing w:after="0"/>
              <w:rPr>
                <w:sz w:val="20"/>
                <w:szCs w:val="20"/>
                <w:color w:val="auto"/>
              </w:rPr>
            </w:pPr>
            <w:r>
              <w:rPr>
                <w:rFonts w:ascii="Arial" w:cs="Arial" w:eastAsia="Arial" w:hAnsi="Arial"/>
                <w:sz w:val="13"/>
                <w:szCs w:val="13"/>
                <w:color w:val="4C4C4C"/>
                <w:w w:val="79"/>
              </w:rPr>
              <w:t>• </w:t>
            </w:r>
          </w:p>
        </w:tc>
        <w:tc>
          <w:tcPr>
            <w:tcW w:w="1620" w:type="dxa"/>
            <w:vAlign w:val="bottom"/>
          </w:tcPr>
          <w:p>
            <w:pPr>
              <w:ind w:left="60"/>
              <w:spacing w:after="0"/>
              <w:rPr>
                <w:sz w:val="20"/>
                <w:szCs w:val="20"/>
                <w:color w:val="auto"/>
              </w:rPr>
            </w:pPr>
            <w:r>
              <w:rPr>
                <w:rFonts w:ascii="Arial" w:cs="Arial" w:eastAsia="Arial" w:hAnsi="Arial"/>
                <w:sz w:val="18"/>
                <w:szCs w:val="18"/>
                <w:color w:val="4C4C4C"/>
              </w:rPr>
              <w:t>Tracy Liu</w:t>
            </w:r>
          </w:p>
        </w:tc>
        <w:tc>
          <w:tcPr>
            <w:tcW w:w="1500" w:type="dxa"/>
            <w:vAlign w:val="bottom"/>
          </w:tcPr>
          <w:p>
            <w:pPr>
              <w:spacing w:after="0"/>
              <w:rPr>
                <w:sz w:val="24"/>
                <w:szCs w:val="24"/>
                <w:color w:val="auto"/>
              </w:rPr>
            </w:pPr>
          </w:p>
        </w:tc>
      </w:tr>
      <w:tr>
        <w:trPr>
          <w:trHeight w:val="418"/>
        </w:trPr>
        <w:tc>
          <w:tcPr>
            <w:tcW w:w="1320" w:type="dxa"/>
            <w:vAlign w:val="bottom"/>
          </w:tcPr>
          <w:p>
            <w:pPr>
              <w:jc w:val="right"/>
              <w:ind w:right="130"/>
              <w:spacing w:after="0"/>
              <w:rPr>
                <w:sz w:val="20"/>
                <w:szCs w:val="20"/>
                <w:color w:val="auto"/>
              </w:rPr>
            </w:pPr>
            <w:r>
              <w:rPr>
                <w:rFonts w:ascii="Arial" w:cs="Arial" w:eastAsia="Arial" w:hAnsi="Arial"/>
                <w:sz w:val="18"/>
                <w:szCs w:val="18"/>
                <w:color w:val="4C4C4C"/>
              </w:rPr>
              <w:t>Proposal </w:t>
            </w:r>
          </w:p>
        </w:tc>
        <w:tc>
          <w:tcPr>
            <w:tcW w:w="5820" w:type="dxa"/>
            <w:vAlign w:val="bottom"/>
            <w:gridSpan w:val="5"/>
          </w:tcPr>
          <w:p>
            <w:pPr>
              <w:ind w:left="220"/>
              <w:spacing w:after="0"/>
              <w:rPr>
                <w:sz w:val="20"/>
                <w:szCs w:val="20"/>
                <w:color w:val="auto"/>
              </w:rPr>
            </w:pPr>
            <w:r>
              <w:rPr>
                <w:rFonts w:ascii="Arial" w:cs="Arial" w:eastAsia="Arial" w:hAnsi="Arial"/>
                <w:sz w:val="18"/>
                <w:szCs w:val="18"/>
                <w:color w:val="4C4C4C"/>
              </w:rPr>
              <w:t>Ratification of appointment of our independent auditor for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-936625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-139065</wp:posOffset>
            </wp:positionV>
            <wp:extent cx="128905"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Who can vote at the Annual Meeting?</w:t>
      </w:r>
    </w:p>
    <w:p>
      <w:pPr>
        <w:spacing w:after="0" w:line="166" w:lineRule="exact"/>
        <w:rPr>
          <w:sz w:val="20"/>
          <w:szCs w:val="20"/>
          <w:color w:val="auto"/>
        </w:rPr>
      </w:pPr>
    </w:p>
    <w:p>
      <w:pPr>
        <w:jc w:val="both"/>
        <w:ind w:left="640" w:right="299" w:hanging="348"/>
        <w:spacing w:after="0" w:line="242" w:lineRule="auto"/>
        <w:tabs>
          <w:tab w:leader="none" w:pos="640" w:val="left"/>
        </w:tabs>
        <w:numPr>
          <w:ilvl w:val="0"/>
          <w:numId w:val="14"/>
        </w:numPr>
        <w:rPr>
          <w:rFonts w:ascii="Arial" w:cs="Arial" w:eastAsia="Arial" w:hAnsi="Arial"/>
          <w:sz w:val="18"/>
          <w:szCs w:val="18"/>
          <w:b w:val="1"/>
          <w:bCs w:val="1"/>
          <w:color w:val="4C4C4C"/>
        </w:rPr>
      </w:pPr>
      <w:r>
        <w:rPr>
          <w:rFonts w:ascii="Arial" w:cs="Arial" w:eastAsia="Arial" w:hAnsi="Arial"/>
          <w:sz w:val="18"/>
          <w:szCs w:val="18"/>
          <w:color w:val="4C4C4C"/>
        </w:rPr>
        <w:t>Stockholders of record of Class A and Class B common stock at 5 p.m., Eastern time, on May 3, 2022 the record date, will be entitled to vote at the Annual Meeting. As of the record date, there were outstanding a total of 54,074,653 shares of Class A common stock, each of which will be entitled to one vote on each proposal, and 5,086,812 shares of Class B common stock, each of which will be entitled to twenty votes on each proposal. As a result, up to a total of 155,810,893 votes can be cast on each proposal.</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What is a stockholder of record?</w:t>
      </w:r>
    </w:p>
    <w:p>
      <w:pPr>
        <w:spacing w:after="0" w:line="166" w:lineRule="exact"/>
        <w:rPr>
          <w:sz w:val="20"/>
          <w:szCs w:val="20"/>
          <w:color w:val="auto"/>
        </w:rPr>
      </w:pPr>
    </w:p>
    <w:p>
      <w:pPr>
        <w:ind w:left="640" w:right="319" w:hanging="348"/>
        <w:spacing w:after="0" w:line="271" w:lineRule="auto"/>
        <w:tabs>
          <w:tab w:leader="none" w:pos="640" w:val="left"/>
        </w:tabs>
        <w:numPr>
          <w:ilvl w:val="0"/>
          <w:numId w:val="15"/>
        </w:numPr>
        <w:rPr>
          <w:rFonts w:ascii="Arial" w:cs="Arial" w:eastAsia="Arial" w:hAnsi="Arial"/>
          <w:sz w:val="18"/>
          <w:szCs w:val="18"/>
          <w:b w:val="1"/>
          <w:bCs w:val="1"/>
          <w:color w:val="4C4C4C"/>
        </w:rPr>
      </w:pPr>
      <w:r>
        <w:rPr>
          <w:rFonts w:ascii="Arial" w:cs="Arial" w:eastAsia="Arial" w:hAnsi="Arial"/>
          <w:sz w:val="18"/>
          <w:szCs w:val="18"/>
          <w:color w:val="4C4C4C"/>
        </w:rPr>
        <w:t>A stockholder of record is a stockholder whose ownership of our common stock is reflected directly on the books and records of our transfer agent, Computershare Trust Company, N.A.</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What does it mean for a broker or other nominee to hold shares in “street name”?</w:t>
      </w:r>
    </w:p>
    <w:p>
      <w:pPr>
        <w:spacing w:after="0" w:line="180" w:lineRule="exact"/>
        <w:rPr>
          <w:sz w:val="20"/>
          <w:szCs w:val="20"/>
          <w:color w:val="auto"/>
        </w:rPr>
      </w:pPr>
    </w:p>
    <w:p>
      <w:pPr>
        <w:jc w:val="both"/>
        <w:ind w:left="640" w:right="299" w:hanging="348"/>
        <w:spacing w:after="0"/>
        <w:tabs>
          <w:tab w:leader="none" w:pos="640" w:val="left"/>
        </w:tabs>
        <w:numPr>
          <w:ilvl w:val="0"/>
          <w:numId w:val="16"/>
        </w:numPr>
        <w:rPr>
          <w:rFonts w:ascii="Arial" w:cs="Arial" w:eastAsia="Arial" w:hAnsi="Arial"/>
          <w:sz w:val="18"/>
          <w:szCs w:val="18"/>
          <w:b w:val="1"/>
          <w:bCs w:val="1"/>
          <w:color w:val="4C4C4C"/>
        </w:rPr>
      </w:pPr>
      <w:r>
        <w:rPr>
          <w:rFonts w:ascii="Arial" w:cs="Arial" w:eastAsia="Arial" w:hAnsi="Arial"/>
          <w:sz w:val="18"/>
          <w:szCs w:val="18"/>
          <w:color w:val="4C4C4C"/>
        </w:rPr>
        <w:t>If you beneficially own shares held in an account with a broker, bank or similar organization, that organization is the stockholder of record and is considered to hold those shares in “street name.” An organization that holds your beneficially owned shares in street name will vote in accordance with the instructions you provide. If you do not provide the organization with specific voting instructions with respect to a proposal, the organization’s authority to vote your shares will, under the rules of the Nasdaq Global Market or NASDAQ, depend upon whether the proposal is considered a “routine” or a non-routine matter.</w:t>
      </w:r>
    </w:p>
    <w:p>
      <w:pPr>
        <w:spacing w:after="0" w:line="76" w:lineRule="exact"/>
        <w:rPr>
          <w:rFonts w:ascii="Arial" w:cs="Arial" w:eastAsia="Arial" w:hAnsi="Arial"/>
          <w:sz w:val="18"/>
          <w:szCs w:val="18"/>
          <w:b w:val="1"/>
          <w:bCs w:val="1"/>
          <w:color w:val="4C4C4C"/>
        </w:rPr>
      </w:pPr>
    </w:p>
    <w:p>
      <w:pPr>
        <w:jc w:val="both"/>
        <w:ind w:left="1000" w:right="319" w:hanging="348"/>
        <w:spacing w:after="0" w:line="247" w:lineRule="auto"/>
        <w:tabs>
          <w:tab w:leader="none" w:pos="1000" w:val="left"/>
        </w:tabs>
        <w:numPr>
          <w:ilvl w:val="1"/>
          <w:numId w:val="16"/>
        </w:numPr>
        <w:rPr>
          <w:rFonts w:ascii="Arial" w:cs="Arial" w:eastAsia="Arial" w:hAnsi="Arial"/>
          <w:sz w:val="18"/>
          <w:szCs w:val="18"/>
          <w:color w:val="4C4C4C"/>
        </w:rPr>
      </w:pPr>
      <w:r>
        <w:rPr>
          <w:rFonts w:ascii="Arial" w:cs="Arial" w:eastAsia="Arial" w:hAnsi="Arial"/>
          <w:sz w:val="18"/>
          <w:szCs w:val="18"/>
          <w:color w:val="4C4C4C"/>
        </w:rPr>
        <w:t>The organization generally may vote your beneficially owned shares on routine items for which you have not provided voting instructions to the organization. The only routine matter expected to be voted on at the Annual Meeting is the ratification of the appointment of our independent auditor for 2022 (Proposal 2).</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1000" w:right="299" w:hanging="348"/>
        <w:spacing w:after="0" w:line="25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organization generally may not vote on non-routine matters, including Proposal 1. Instead, it will inform the inspector of election that it does not have the authority to vote on those matters. This is referred to as a “broker non-vote.”</w:t>
      </w:r>
    </w:p>
    <w:p>
      <w:pPr>
        <w:spacing w:after="0" w:line="142" w:lineRule="exact"/>
        <w:rPr>
          <w:sz w:val="20"/>
          <w:szCs w:val="20"/>
          <w:color w:val="auto"/>
        </w:rPr>
      </w:pPr>
    </w:p>
    <w:p>
      <w:pPr>
        <w:jc w:val="both"/>
        <w:ind w:left="660" w:right="319"/>
        <w:spacing w:after="0" w:line="253" w:lineRule="auto"/>
        <w:rPr>
          <w:sz w:val="20"/>
          <w:szCs w:val="20"/>
          <w:color w:val="auto"/>
        </w:rPr>
      </w:pPr>
      <w:r>
        <w:rPr>
          <w:rFonts w:ascii="Arial" w:cs="Arial" w:eastAsia="Arial" w:hAnsi="Arial"/>
          <w:sz w:val="18"/>
          <w:szCs w:val="18"/>
          <w:color w:val="auto"/>
        </w:rPr>
        <w:t>For the purpose of determining a quorum, we will treat as present at the Annual Meeting any proxies that are voted on either of the two proposals to be acted upon by the stockholders, including abstentions or proxies containing broker non-votes.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How do I vote my shares if I do not attend the Annual Meeting?</w:t>
      </w:r>
    </w:p>
    <w:p>
      <w:pPr>
        <w:spacing w:after="0" w:line="166" w:lineRule="exact"/>
        <w:rPr>
          <w:sz w:val="20"/>
          <w:szCs w:val="20"/>
          <w:color w:val="auto"/>
        </w:rPr>
      </w:pPr>
    </w:p>
    <w:p>
      <w:pPr>
        <w:ind w:left="640" w:hanging="348"/>
        <w:spacing w:after="0"/>
        <w:tabs>
          <w:tab w:leader="none" w:pos="640" w:val="left"/>
        </w:tabs>
        <w:numPr>
          <w:ilvl w:val="0"/>
          <w:numId w:val="18"/>
        </w:numPr>
        <w:rPr>
          <w:rFonts w:ascii="Arial" w:cs="Arial" w:eastAsia="Arial" w:hAnsi="Arial"/>
          <w:sz w:val="18"/>
          <w:szCs w:val="18"/>
          <w:b w:val="1"/>
          <w:bCs w:val="1"/>
          <w:color w:val="4C4C4C"/>
        </w:rPr>
      </w:pPr>
      <w:r>
        <w:rPr>
          <w:rFonts w:ascii="Arial" w:cs="Arial" w:eastAsia="Arial" w:hAnsi="Arial"/>
          <w:sz w:val="18"/>
          <w:szCs w:val="18"/>
          <w:b w:val="1"/>
          <w:bCs w:val="1"/>
          <w:color w:val="4C4C4C"/>
        </w:rPr>
        <w:t xml:space="preserve">If you are a stockholder of record, </w:t>
      </w:r>
      <w:r>
        <w:rPr>
          <w:rFonts w:ascii="Arial" w:cs="Arial" w:eastAsia="Arial" w:hAnsi="Arial"/>
          <w:sz w:val="18"/>
          <w:szCs w:val="18"/>
          <w:color w:val="4C4C4C"/>
        </w:rPr>
        <w:t>you may vote prior to the Annual Meeting as follows:</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4C4C4C"/>
              </w:rPr>
              <w:t xml:space="preserve">•  </w:t>
            </w:r>
            <w:r>
              <w:rPr>
                <w:rFonts w:ascii="Arial" w:cs="Arial" w:eastAsia="Arial" w:hAnsi="Arial"/>
                <w:sz w:val="18"/>
                <w:szCs w:val="18"/>
                <w:i w:val="1"/>
                <w:iCs w:val="1"/>
                <w:color w:val="4C4C4C"/>
              </w:rPr>
              <w:t>Via the</w:t>
            </w:r>
          </w:p>
        </w:tc>
        <w:tc>
          <w:tcPr>
            <w:tcW w:w="6920" w:type="dxa"/>
            <w:vAlign w:val="bottom"/>
            <w:gridSpan w:val="2"/>
          </w:tcPr>
          <w:p>
            <w:pPr>
              <w:ind w:left="380"/>
              <w:spacing w:after="0"/>
              <w:rPr>
                <w:sz w:val="20"/>
                <w:szCs w:val="20"/>
                <w:color w:val="auto"/>
              </w:rPr>
            </w:pPr>
            <w:r>
              <w:rPr>
                <w:rFonts w:ascii="Arial" w:cs="Arial" w:eastAsia="Arial" w:hAnsi="Arial"/>
                <w:sz w:val="18"/>
                <w:szCs w:val="18"/>
                <w:color w:val="4C4C4C"/>
              </w:rPr>
              <w:t xml:space="preserve">You may vote via the Internet by going to </w:t>
            </w:r>
            <w:r>
              <w:rPr>
                <w:rFonts w:ascii="Arial" w:cs="Arial" w:eastAsia="Arial" w:hAnsi="Arial"/>
                <w:sz w:val="18"/>
                <w:szCs w:val="18"/>
                <w:i w:val="1"/>
                <w:iCs w:val="1"/>
                <w:color w:val="4C4C4C"/>
              </w:rPr>
              <w:t>proxyvote.com</w:t>
            </w:r>
            <w:r>
              <w:rPr>
                <w:rFonts w:ascii="Arial" w:cs="Arial" w:eastAsia="Arial" w:hAnsi="Arial"/>
                <w:sz w:val="18"/>
                <w:szCs w:val="18"/>
                <w:color w:val="4C4C4C"/>
              </w:rPr>
              <w:t>, in accordance with the</w:t>
            </w:r>
          </w:p>
        </w:tc>
      </w:tr>
      <w:tr>
        <w:trPr>
          <w:trHeight w:val="203"/>
        </w:trPr>
        <w:tc>
          <w:tcPr>
            <w:tcW w:w="1120" w:type="dxa"/>
            <w:vAlign w:val="bottom"/>
          </w:tcPr>
          <w:p>
            <w:pPr>
              <w:ind w:left="200"/>
              <w:spacing w:after="0" w:line="202" w:lineRule="exact"/>
              <w:rPr>
                <w:sz w:val="20"/>
                <w:szCs w:val="20"/>
                <w:color w:val="auto"/>
              </w:rPr>
            </w:pPr>
            <w:r>
              <w:rPr>
                <w:rFonts w:ascii="Arial" w:cs="Arial" w:eastAsia="Arial" w:hAnsi="Arial"/>
                <w:sz w:val="18"/>
                <w:szCs w:val="18"/>
                <w:i w:val="1"/>
                <w:iCs w:val="1"/>
                <w:color w:val="4C4C4C"/>
              </w:rPr>
              <w:t>Internet:</w:t>
            </w:r>
          </w:p>
        </w:tc>
        <w:tc>
          <w:tcPr>
            <w:tcW w:w="2180" w:type="dxa"/>
            <w:vAlign w:val="bottom"/>
          </w:tcPr>
          <w:p>
            <w:pPr>
              <w:ind w:left="380"/>
              <w:spacing w:after="0" w:line="202" w:lineRule="exact"/>
              <w:rPr>
                <w:sz w:val="20"/>
                <w:szCs w:val="20"/>
                <w:color w:val="auto"/>
              </w:rPr>
            </w:pPr>
            <w:r>
              <w:rPr>
                <w:rFonts w:ascii="Arial" w:cs="Arial" w:eastAsia="Arial" w:hAnsi="Arial"/>
                <w:sz w:val="18"/>
                <w:szCs w:val="18"/>
                <w:color w:val="4C4C4C"/>
              </w:rPr>
              <w:t>voting instructions on</w:t>
            </w:r>
          </w:p>
        </w:tc>
        <w:tc>
          <w:tcPr>
            <w:tcW w:w="4740" w:type="dxa"/>
            <w:vAlign w:val="bottom"/>
          </w:tcPr>
          <w:p>
            <w:pPr>
              <w:ind w:left="40"/>
              <w:spacing w:after="0" w:line="202" w:lineRule="exact"/>
              <w:rPr>
                <w:sz w:val="20"/>
                <w:szCs w:val="20"/>
                <w:color w:val="auto"/>
              </w:rPr>
            </w:pPr>
            <w:r>
              <w:rPr>
                <w:rFonts w:ascii="Arial" w:cs="Arial" w:eastAsia="Arial" w:hAnsi="Arial"/>
                <w:sz w:val="18"/>
                <w:szCs w:val="18"/>
                <w:color w:val="4C4C4C"/>
              </w:rPr>
              <w:t>the Notice of Internet Availability or proxy card. Internet</w:t>
            </w:r>
          </w:p>
        </w:tc>
      </w:tr>
      <w:tr>
        <w:trPr>
          <w:trHeight w:val="203"/>
        </w:trPr>
        <w:tc>
          <w:tcPr>
            <w:tcW w:w="11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2180" w:type="dxa"/>
            <w:vAlign w:val="bottom"/>
          </w:tcPr>
          <w:p>
            <w:pPr>
              <w:ind w:left="260"/>
              <w:spacing w:after="0" w:line="202" w:lineRule="exact"/>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7"/>
                <w:szCs w:val="17"/>
                <w:color w:val="4C4C4C"/>
              </w:rPr>
              <w:t>voting</w:t>
            </w:r>
            <w:r>
              <w:rPr>
                <w:rFonts w:ascii="Arial" w:cs="Arial" w:eastAsia="Arial" w:hAnsi="Arial"/>
                <w:sz w:val="18"/>
                <w:szCs w:val="18"/>
                <w:color w:val="4C4C4C"/>
              </w:rPr>
              <w:t>is available 24</w:t>
            </w:r>
          </w:p>
        </w:tc>
        <w:tc>
          <w:tcPr>
            <w:tcW w:w="4740" w:type="dxa"/>
            <w:vAlign w:val="bottom"/>
          </w:tcPr>
          <w:p>
            <w:pPr>
              <w:ind w:left="40"/>
              <w:spacing w:after="0" w:line="202" w:lineRule="exact"/>
              <w:rPr>
                <w:sz w:val="20"/>
                <w:szCs w:val="20"/>
                <w:color w:val="auto"/>
              </w:rPr>
            </w:pPr>
            <w:r>
              <w:rPr>
                <w:rFonts w:ascii="Arial" w:cs="Arial" w:eastAsia="Arial" w:hAnsi="Arial"/>
                <w:sz w:val="18"/>
                <w:szCs w:val="18"/>
                <w:color w:val="4C4C4C"/>
              </w:rPr>
              <w:t>hours a day until 11:59 p.m., Eastern time, on June 29,</w:t>
            </w:r>
          </w:p>
        </w:tc>
      </w:tr>
      <w:tr>
        <w:trPr>
          <w:trHeight w:val="203"/>
        </w:trPr>
        <w:tc>
          <w:tcPr>
            <w:tcW w:w="1120" w:type="dxa"/>
            <w:vAlign w:val="bottom"/>
          </w:tcPr>
          <w:p>
            <w:pPr>
              <w:spacing w:after="0"/>
              <w:rPr>
                <w:sz w:val="17"/>
                <w:szCs w:val="17"/>
                <w:color w:val="auto"/>
              </w:rPr>
            </w:pPr>
          </w:p>
        </w:tc>
        <w:tc>
          <w:tcPr>
            <w:tcW w:w="6920" w:type="dxa"/>
            <w:vAlign w:val="bottom"/>
            <w:gridSpan w:val="2"/>
          </w:tcPr>
          <w:p>
            <w:pPr>
              <w:ind w:left="380"/>
              <w:spacing w:after="0" w:line="202" w:lineRule="exact"/>
              <w:rPr>
                <w:sz w:val="20"/>
                <w:szCs w:val="20"/>
                <w:color w:val="auto"/>
              </w:rPr>
            </w:pPr>
            <w:r>
              <w:rPr>
                <w:rFonts w:ascii="Arial" w:cs="Arial" w:eastAsia="Arial" w:hAnsi="Arial"/>
                <w:sz w:val="18"/>
                <w:szCs w:val="18"/>
                <w:color w:val="4C4C4C"/>
                <w:w w:val="99"/>
              </w:rPr>
              <w:t>2022. You will be given the opportunity to confirm that your instructions have been</w:t>
            </w:r>
          </w:p>
        </w:tc>
      </w:tr>
      <w:tr>
        <w:trPr>
          <w:trHeight w:val="239"/>
        </w:trPr>
        <w:tc>
          <w:tcPr>
            <w:tcW w:w="1120" w:type="dxa"/>
            <w:vAlign w:val="bottom"/>
          </w:tcPr>
          <w:p>
            <w:pPr>
              <w:spacing w:after="0"/>
              <w:rPr>
                <w:sz w:val="20"/>
                <w:szCs w:val="20"/>
                <w:color w:val="auto"/>
              </w:rPr>
            </w:pPr>
          </w:p>
        </w:tc>
        <w:tc>
          <w:tcPr>
            <w:tcW w:w="2180" w:type="dxa"/>
            <w:vAlign w:val="bottom"/>
          </w:tcPr>
          <w:p>
            <w:pPr>
              <w:ind w:left="380"/>
              <w:spacing w:after="0"/>
              <w:rPr>
                <w:sz w:val="20"/>
                <w:szCs w:val="20"/>
                <w:color w:val="auto"/>
              </w:rPr>
            </w:pPr>
            <w:r>
              <w:rPr>
                <w:rFonts w:ascii="Arial" w:cs="Arial" w:eastAsia="Arial" w:hAnsi="Arial"/>
                <w:sz w:val="18"/>
                <w:szCs w:val="18"/>
                <w:color w:val="4C4C4C"/>
              </w:rPr>
              <w:t>recorded properly.</w:t>
            </w:r>
          </w:p>
        </w:tc>
        <w:tc>
          <w:tcPr>
            <w:tcW w:w="4740" w:type="dxa"/>
            <w:vAlign w:val="bottom"/>
          </w:tcPr>
          <w:p>
            <w:pPr>
              <w:spacing w:after="0"/>
              <w:rPr>
                <w:sz w:val="20"/>
                <w:szCs w:val="20"/>
                <w:color w:val="auto"/>
              </w:rPr>
            </w:pPr>
          </w:p>
        </w:tc>
      </w:tr>
    </w:tbl>
    <w:p>
      <w:pPr>
        <w:spacing w:after="0" w:line="72" w:lineRule="exact"/>
        <w:rPr>
          <w:sz w:val="20"/>
          <w:szCs w:val="20"/>
          <w:color w:val="auto"/>
        </w:rPr>
      </w:pPr>
    </w:p>
    <w:p>
      <w:pPr>
        <w:jc w:val="right"/>
        <w:ind w:left="2160" w:right="319" w:hanging="1508"/>
        <w:spacing w:after="0" w:line="245" w:lineRule="auto"/>
        <w:tabs>
          <w:tab w:leader="none" w:pos="864" w:val="left"/>
        </w:tabs>
        <w:numPr>
          <w:ilvl w:val="0"/>
          <w:numId w:val="19"/>
        </w:numPr>
        <w:rPr>
          <w:rFonts w:ascii="Arial" w:cs="Arial" w:eastAsia="Arial" w:hAnsi="Arial"/>
          <w:sz w:val="18"/>
          <w:szCs w:val="18"/>
          <w:color w:val="4C4C4C"/>
        </w:rPr>
      </w:pPr>
      <w:r>
        <w:rPr>
          <w:rFonts w:ascii="Arial" w:cs="Arial" w:eastAsia="Arial" w:hAnsi="Arial"/>
          <w:sz w:val="18"/>
          <w:szCs w:val="18"/>
          <w:i w:val="1"/>
          <w:iCs w:val="1"/>
          <w:color w:val="4C4C4C"/>
        </w:rPr>
        <w:t>By Telephone</w:t>
      </w:r>
      <w:r>
        <w:rPr>
          <w:rFonts w:ascii="Arial" w:cs="Arial" w:eastAsia="Arial" w:hAnsi="Arial"/>
          <w:sz w:val="18"/>
          <w:szCs w:val="18"/>
          <w:color w:val="4C4C4C"/>
        </w:rPr>
        <w:t>:  You may vote by calling +1.800.690.6903 and following the instructions provided</w:t>
      </w:r>
      <w:r>
        <w:rPr>
          <w:rFonts w:ascii="Arial" w:cs="Arial" w:eastAsia="Arial" w:hAnsi="Arial"/>
          <w:sz w:val="18"/>
          <w:szCs w:val="18"/>
          <w:i w:val="1"/>
          <w:iCs w:val="1"/>
          <w:color w:val="4C4C4C"/>
        </w:rPr>
        <w:t xml:space="preserve"> </w:t>
      </w:r>
      <w:r>
        <w:rPr>
          <w:rFonts w:ascii="Arial" w:cs="Arial" w:eastAsia="Arial" w:hAnsi="Arial"/>
          <w:sz w:val="18"/>
          <w:szCs w:val="18"/>
          <w:color w:val="4C4C4C"/>
        </w:rPr>
        <w:t>on the telephone line. Telephone voting is available 24 hours a day until 11:59</w:t>
      </w:r>
    </w:p>
    <w:tbl>
      <w:tblPr>
        <w:tblLayout w:type="fixed"/>
        <w:tblInd w:w="660" w:type="dxa"/>
        <w:tblCellMar>
          <w:top w:w="0" w:type="dxa"/>
          <w:left w:w="0" w:type="dxa"/>
          <w:bottom w:w="0" w:type="dxa"/>
          <w:right w:w="0" w:type="dxa"/>
        </w:tblCellMar>
      </w:tblPr>
      <w:tr>
        <w:trPr>
          <w:trHeight w:val="185"/>
        </w:trPr>
        <w:tc>
          <w:tcPr>
            <w:tcW w:w="110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6940" w:type="dxa"/>
            <w:vAlign w:val="bottom"/>
          </w:tcPr>
          <w:p>
            <w:pPr>
              <w:jc w:val="right"/>
              <w:spacing w:after="0" w:line="185" w:lineRule="exact"/>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7"/>
                <w:szCs w:val="17"/>
                <w:color w:val="4C4C4C"/>
              </w:rPr>
              <w:t>p.m., Eastern time, on June 29, 2022. Easy-to-follow voice prompts will allow you</w:t>
            </w:r>
          </w:p>
        </w:tc>
      </w:tr>
      <w:tr>
        <w:trPr>
          <w:trHeight w:val="203"/>
        </w:trPr>
        <w:tc>
          <w:tcPr>
            <w:tcW w:w="1100" w:type="dxa"/>
            <w:vAlign w:val="bottom"/>
          </w:tcPr>
          <w:p>
            <w:pPr>
              <w:spacing w:after="0"/>
              <w:rPr>
                <w:sz w:val="17"/>
                <w:szCs w:val="17"/>
                <w:color w:val="auto"/>
              </w:rPr>
            </w:pPr>
          </w:p>
        </w:tc>
        <w:tc>
          <w:tcPr>
            <w:tcW w:w="6940" w:type="dxa"/>
            <w:vAlign w:val="bottom"/>
          </w:tcPr>
          <w:p>
            <w:pPr>
              <w:jc w:val="right"/>
              <w:spacing w:after="0" w:line="202" w:lineRule="exact"/>
              <w:rPr>
                <w:sz w:val="20"/>
                <w:szCs w:val="20"/>
                <w:color w:val="auto"/>
              </w:rPr>
            </w:pPr>
            <w:r>
              <w:rPr>
                <w:rFonts w:ascii="Arial" w:cs="Arial" w:eastAsia="Arial" w:hAnsi="Arial"/>
                <w:sz w:val="18"/>
                <w:szCs w:val="18"/>
                <w:color w:val="4C4C4C"/>
              </w:rPr>
              <w:t>to vote your shares and confirm that your instructions have been recorded</w:t>
            </w:r>
          </w:p>
        </w:tc>
      </w:tr>
      <w:tr>
        <w:trPr>
          <w:trHeight w:val="239"/>
        </w:trPr>
        <w:tc>
          <w:tcPr>
            <w:tcW w:w="1100" w:type="dxa"/>
            <w:vAlign w:val="bottom"/>
          </w:tcPr>
          <w:p>
            <w:pPr>
              <w:spacing w:after="0"/>
              <w:rPr>
                <w:sz w:val="20"/>
                <w:szCs w:val="20"/>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4C4C4C"/>
              </w:rPr>
              <w:t>properly.</w:t>
            </w:r>
          </w:p>
        </w:tc>
      </w:tr>
      <w:tr>
        <w:trPr>
          <w:trHeight w:val="274"/>
        </w:trPr>
        <w:tc>
          <w:tcPr>
            <w:tcW w:w="1100" w:type="dxa"/>
            <w:vAlign w:val="bottom"/>
          </w:tcPr>
          <w:p>
            <w:pPr>
              <w:spacing w:after="0"/>
              <w:rPr>
                <w:sz w:val="20"/>
                <w:szCs w:val="20"/>
                <w:color w:val="auto"/>
              </w:rPr>
            </w:pPr>
            <w:r>
              <w:rPr>
                <w:rFonts w:ascii="Arial" w:cs="Arial" w:eastAsia="Arial" w:hAnsi="Arial"/>
                <w:sz w:val="18"/>
                <w:szCs w:val="18"/>
                <w:color w:val="4C4C4C"/>
              </w:rPr>
              <w:t xml:space="preserve">•  </w:t>
            </w:r>
            <w:r>
              <w:rPr>
                <w:rFonts w:ascii="Arial" w:cs="Arial" w:eastAsia="Arial" w:hAnsi="Arial"/>
                <w:sz w:val="18"/>
                <w:szCs w:val="18"/>
                <w:i w:val="1"/>
                <w:iCs w:val="1"/>
                <w:color w:val="4C4C4C"/>
              </w:rPr>
              <w:t>By Mail</w:t>
            </w:r>
            <w:r>
              <w:rPr>
                <w:rFonts w:ascii="Arial" w:cs="Arial" w:eastAsia="Arial" w:hAnsi="Arial"/>
                <w:sz w:val="18"/>
                <w:szCs w:val="18"/>
                <w:color w:val="4C4C4C"/>
              </w:rPr>
              <w:t>:</w:t>
            </w:r>
          </w:p>
        </w:tc>
        <w:tc>
          <w:tcPr>
            <w:tcW w:w="6940" w:type="dxa"/>
            <w:vAlign w:val="bottom"/>
          </w:tcPr>
          <w:p>
            <w:pPr>
              <w:jc w:val="right"/>
              <w:spacing w:after="0"/>
              <w:rPr>
                <w:sz w:val="20"/>
                <w:szCs w:val="20"/>
                <w:color w:val="auto"/>
              </w:rPr>
            </w:pPr>
            <w:r>
              <w:rPr>
                <w:rFonts w:ascii="Arial" w:cs="Arial" w:eastAsia="Arial" w:hAnsi="Arial"/>
                <w:sz w:val="18"/>
                <w:szCs w:val="18"/>
                <w:color w:val="4C4C4C"/>
              </w:rPr>
              <w:t>If you obtain a proxy card by mail, you may vote by returning the completed and</w:t>
            </w:r>
          </w:p>
        </w:tc>
      </w:tr>
      <w:tr>
        <w:trPr>
          <w:trHeight w:val="203"/>
        </w:trPr>
        <w:tc>
          <w:tcPr>
            <w:tcW w:w="110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69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7"/>
                <w:szCs w:val="17"/>
                <w:color w:val="4C4C4C"/>
              </w:rPr>
              <w:t>signed proxy card in a postage-paid return envelope that will be provided with the</w:t>
            </w:r>
          </w:p>
        </w:tc>
      </w:tr>
      <w:tr>
        <w:trPr>
          <w:trHeight w:val="239"/>
        </w:trPr>
        <w:tc>
          <w:tcPr>
            <w:tcW w:w="1100" w:type="dxa"/>
            <w:vAlign w:val="bottom"/>
          </w:tcPr>
          <w:p>
            <w:pPr>
              <w:spacing w:after="0"/>
              <w:rPr>
                <w:sz w:val="20"/>
                <w:szCs w:val="20"/>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4C4C4C"/>
              </w:rPr>
              <w:t>proxy card.</w:t>
            </w:r>
          </w:p>
        </w:tc>
      </w:tr>
    </w:tbl>
    <w:p>
      <w:pPr>
        <w:spacing w:after="0" w:line="207" w:lineRule="exact"/>
        <w:rPr>
          <w:sz w:val="20"/>
          <w:szCs w:val="20"/>
          <w:color w:val="auto"/>
        </w:rPr>
      </w:pPr>
    </w:p>
    <w:p>
      <w:pPr>
        <w:jc w:val="both"/>
        <w:ind w:left="660" w:right="299"/>
        <w:spacing w:after="0" w:line="271" w:lineRule="auto"/>
        <w:rPr>
          <w:sz w:val="20"/>
          <w:szCs w:val="20"/>
          <w:color w:val="auto"/>
        </w:rPr>
      </w:pPr>
      <w:r>
        <w:rPr>
          <w:rFonts w:ascii="Arial" w:cs="Arial" w:eastAsia="Arial" w:hAnsi="Arial"/>
          <w:sz w:val="18"/>
          <w:szCs w:val="18"/>
          <w:b w:val="1"/>
          <w:bCs w:val="1"/>
          <w:color w:val="4C4C4C"/>
        </w:rPr>
        <w:t xml:space="preserve">If you hold shares in street name, </w:t>
      </w:r>
      <w:r>
        <w:rPr>
          <w:rFonts w:ascii="Arial" w:cs="Arial" w:eastAsia="Arial" w:hAnsi="Arial"/>
          <w:sz w:val="18"/>
          <w:szCs w:val="18"/>
          <w:color w:val="4C4C4C"/>
        </w:rPr>
        <w:t>you may vote by following the voting instructions provided by</w:t>
      </w:r>
      <w:r>
        <w:rPr>
          <w:rFonts w:ascii="Arial" w:cs="Arial" w:eastAsia="Arial" w:hAnsi="Arial"/>
          <w:sz w:val="18"/>
          <w:szCs w:val="18"/>
          <w:b w:val="1"/>
          <w:bCs w:val="1"/>
          <w:color w:val="4C4C4C"/>
        </w:rPr>
        <w:t xml:space="preserve"> </w:t>
      </w:r>
      <w:r>
        <w:rPr>
          <w:rFonts w:ascii="Arial" w:cs="Arial" w:eastAsia="Arial" w:hAnsi="Arial"/>
          <w:sz w:val="18"/>
          <w:szCs w:val="18"/>
          <w:color w:val="4C4C4C"/>
        </w:rPr>
        <w:t>your bank, broker or other nominee. In general, you may vote prior to the Annual Meeting as follows:</w:t>
      </w:r>
    </w:p>
    <w:p>
      <w:pPr>
        <w:spacing w:after="0" w:line="10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4C4C4C"/>
              </w:rPr>
              <w:t xml:space="preserve">•  </w:t>
            </w:r>
            <w:r>
              <w:rPr>
                <w:rFonts w:ascii="Arial" w:cs="Arial" w:eastAsia="Arial" w:hAnsi="Arial"/>
                <w:sz w:val="18"/>
                <w:szCs w:val="18"/>
                <w:i w:val="1"/>
                <w:iCs w:val="1"/>
                <w:color w:val="4C4C4C"/>
              </w:rPr>
              <w:t>Via the</w:t>
            </w:r>
          </w:p>
        </w:tc>
        <w:tc>
          <w:tcPr>
            <w:tcW w:w="6920" w:type="dxa"/>
            <w:vAlign w:val="bottom"/>
            <w:gridSpan w:val="2"/>
          </w:tcPr>
          <w:p>
            <w:pPr>
              <w:ind w:left="380"/>
              <w:spacing w:after="0"/>
              <w:rPr>
                <w:sz w:val="20"/>
                <w:szCs w:val="20"/>
                <w:color w:val="auto"/>
              </w:rPr>
            </w:pPr>
            <w:r>
              <w:rPr>
                <w:rFonts w:ascii="Arial" w:cs="Arial" w:eastAsia="Arial" w:hAnsi="Arial"/>
                <w:sz w:val="18"/>
                <w:szCs w:val="18"/>
                <w:color w:val="4C4C4C"/>
              </w:rPr>
              <w:t xml:space="preserve">You may vote via the Internet by going to </w:t>
            </w:r>
            <w:r>
              <w:rPr>
                <w:rFonts w:ascii="Arial" w:cs="Arial" w:eastAsia="Arial" w:hAnsi="Arial"/>
                <w:sz w:val="18"/>
                <w:szCs w:val="18"/>
                <w:i w:val="1"/>
                <w:iCs w:val="1"/>
                <w:color w:val="4C4C4C"/>
              </w:rPr>
              <w:t>proxyvote.com</w:t>
            </w:r>
            <w:r>
              <w:rPr>
                <w:rFonts w:ascii="Arial" w:cs="Arial" w:eastAsia="Arial" w:hAnsi="Arial"/>
                <w:sz w:val="18"/>
                <w:szCs w:val="18"/>
                <w:color w:val="4C4C4C"/>
              </w:rPr>
              <w:t>, in accordance with the</w:t>
            </w:r>
          </w:p>
        </w:tc>
      </w:tr>
      <w:tr>
        <w:trPr>
          <w:trHeight w:val="203"/>
        </w:trPr>
        <w:tc>
          <w:tcPr>
            <w:tcW w:w="1120" w:type="dxa"/>
            <w:vAlign w:val="bottom"/>
          </w:tcPr>
          <w:p>
            <w:pPr>
              <w:ind w:left="200"/>
              <w:spacing w:after="0" w:line="202" w:lineRule="exact"/>
              <w:rPr>
                <w:sz w:val="20"/>
                <w:szCs w:val="20"/>
                <w:color w:val="auto"/>
              </w:rPr>
            </w:pPr>
            <w:r>
              <w:rPr>
                <w:rFonts w:ascii="Arial" w:cs="Arial" w:eastAsia="Arial" w:hAnsi="Arial"/>
                <w:sz w:val="18"/>
                <w:szCs w:val="18"/>
                <w:i w:val="1"/>
                <w:iCs w:val="1"/>
                <w:color w:val="4C4C4C"/>
              </w:rPr>
              <w:t>Internet:</w:t>
            </w:r>
          </w:p>
        </w:tc>
        <w:tc>
          <w:tcPr>
            <w:tcW w:w="2180" w:type="dxa"/>
            <w:vAlign w:val="bottom"/>
          </w:tcPr>
          <w:p>
            <w:pPr>
              <w:ind w:left="380"/>
              <w:spacing w:after="0" w:line="202" w:lineRule="exact"/>
              <w:rPr>
                <w:sz w:val="20"/>
                <w:szCs w:val="20"/>
                <w:color w:val="auto"/>
              </w:rPr>
            </w:pPr>
            <w:r>
              <w:rPr>
                <w:rFonts w:ascii="Arial" w:cs="Arial" w:eastAsia="Arial" w:hAnsi="Arial"/>
                <w:sz w:val="18"/>
                <w:szCs w:val="18"/>
                <w:color w:val="4C4C4C"/>
              </w:rPr>
              <w:t>voting instructions on</w:t>
            </w:r>
          </w:p>
        </w:tc>
        <w:tc>
          <w:tcPr>
            <w:tcW w:w="4740" w:type="dxa"/>
            <w:vAlign w:val="bottom"/>
          </w:tcPr>
          <w:p>
            <w:pPr>
              <w:ind w:left="40"/>
              <w:spacing w:after="0" w:line="202" w:lineRule="exact"/>
              <w:rPr>
                <w:sz w:val="20"/>
                <w:szCs w:val="20"/>
                <w:color w:val="auto"/>
              </w:rPr>
            </w:pPr>
            <w:r>
              <w:rPr>
                <w:rFonts w:ascii="Arial" w:cs="Arial" w:eastAsia="Arial" w:hAnsi="Arial"/>
                <w:sz w:val="18"/>
                <w:szCs w:val="18"/>
                <w:color w:val="4C4C4C"/>
              </w:rPr>
              <w:t>the Notice of Internet Availability or proxy card. Internet</w:t>
            </w:r>
          </w:p>
        </w:tc>
      </w:tr>
      <w:tr>
        <w:trPr>
          <w:trHeight w:val="203"/>
        </w:trPr>
        <w:tc>
          <w:tcPr>
            <w:tcW w:w="11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2180" w:type="dxa"/>
            <w:vAlign w:val="bottom"/>
          </w:tcPr>
          <w:p>
            <w:pPr>
              <w:ind w:left="260"/>
              <w:spacing w:after="0" w:line="202" w:lineRule="exact"/>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7"/>
                <w:szCs w:val="17"/>
                <w:color w:val="4C4C4C"/>
              </w:rPr>
              <w:t>voting</w:t>
            </w:r>
            <w:r>
              <w:rPr>
                <w:rFonts w:ascii="Arial" w:cs="Arial" w:eastAsia="Arial" w:hAnsi="Arial"/>
                <w:sz w:val="18"/>
                <w:szCs w:val="18"/>
                <w:color w:val="4C4C4C"/>
              </w:rPr>
              <w:t>is available 24</w:t>
            </w:r>
          </w:p>
        </w:tc>
        <w:tc>
          <w:tcPr>
            <w:tcW w:w="4740" w:type="dxa"/>
            <w:vAlign w:val="bottom"/>
          </w:tcPr>
          <w:p>
            <w:pPr>
              <w:ind w:left="40"/>
              <w:spacing w:after="0" w:line="202" w:lineRule="exact"/>
              <w:rPr>
                <w:sz w:val="20"/>
                <w:szCs w:val="20"/>
                <w:color w:val="auto"/>
              </w:rPr>
            </w:pPr>
            <w:r>
              <w:rPr>
                <w:rFonts w:ascii="Arial" w:cs="Arial" w:eastAsia="Arial" w:hAnsi="Arial"/>
                <w:sz w:val="18"/>
                <w:szCs w:val="18"/>
                <w:color w:val="4C4C4C"/>
              </w:rPr>
              <w:t>hours a day until 11:59 p.m., Eastern time, on June 29,</w:t>
            </w:r>
          </w:p>
        </w:tc>
      </w:tr>
      <w:tr>
        <w:trPr>
          <w:trHeight w:val="203"/>
        </w:trPr>
        <w:tc>
          <w:tcPr>
            <w:tcW w:w="1120" w:type="dxa"/>
            <w:vAlign w:val="bottom"/>
          </w:tcPr>
          <w:p>
            <w:pPr>
              <w:spacing w:after="0"/>
              <w:rPr>
                <w:sz w:val="17"/>
                <w:szCs w:val="17"/>
                <w:color w:val="auto"/>
              </w:rPr>
            </w:pPr>
          </w:p>
        </w:tc>
        <w:tc>
          <w:tcPr>
            <w:tcW w:w="6920" w:type="dxa"/>
            <w:vAlign w:val="bottom"/>
            <w:gridSpan w:val="2"/>
          </w:tcPr>
          <w:p>
            <w:pPr>
              <w:ind w:left="380"/>
              <w:spacing w:after="0" w:line="202" w:lineRule="exact"/>
              <w:rPr>
                <w:sz w:val="20"/>
                <w:szCs w:val="20"/>
                <w:color w:val="auto"/>
              </w:rPr>
            </w:pPr>
            <w:r>
              <w:rPr>
                <w:rFonts w:ascii="Arial" w:cs="Arial" w:eastAsia="Arial" w:hAnsi="Arial"/>
                <w:sz w:val="18"/>
                <w:szCs w:val="18"/>
                <w:color w:val="4C4C4C"/>
                <w:w w:val="99"/>
              </w:rPr>
              <w:t>2022. You will be given the opportunity to confirm that your instructions have been</w:t>
            </w:r>
          </w:p>
        </w:tc>
      </w:tr>
      <w:tr>
        <w:trPr>
          <w:trHeight w:val="239"/>
        </w:trPr>
        <w:tc>
          <w:tcPr>
            <w:tcW w:w="1120" w:type="dxa"/>
            <w:vAlign w:val="bottom"/>
          </w:tcPr>
          <w:p>
            <w:pPr>
              <w:spacing w:after="0"/>
              <w:rPr>
                <w:sz w:val="20"/>
                <w:szCs w:val="20"/>
                <w:color w:val="auto"/>
              </w:rPr>
            </w:pPr>
          </w:p>
        </w:tc>
        <w:tc>
          <w:tcPr>
            <w:tcW w:w="2180" w:type="dxa"/>
            <w:vAlign w:val="bottom"/>
          </w:tcPr>
          <w:p>
            <w:pPr>
              <w:ind w:left="380"/>
              <w:spacing w:after="0"/>
              <w:rPr>
                <w:sz w:val="20"/>
                <w:szCs w:val="20"/>
                <w:color w:val="auto"/>
              </w:rPr>
            </w:pPr>
            <w:r>
              <w:rPr>
                <w:rFonts w:ascii="Arial" w:cs="Arial" w:eastAsia="Arial" w:hAnsi="Arial"/>
                <w:sz w:val="18"/>
                <w:szCs w:val="18"/>
                <w:color w:val="4C4C4C"/>
              </w:rPr>
              <w:t>recorded properly.</w:t>
            </w:r>
          </w:p>
        </w:tc>
        <w:tc>
          <w:tcPr>
            <w:tcW w:w="4740" w:type="dxa"/>
            <w:vAlign w:val="bottom"/>
          </w:tcPr>
          <w:p>
            <w:pPr>
              <w:spacing w:after="0"/>
              <w:rPr>
                <w:sz w:val="20"/>
                <w:szCs w:val="20"/>
                <w:color w:val="auto"/>
              </w:rPr>
            </w:pPr>
          </w:p>
        </w:tc>
      </w:tr>
    </w:tbl>
    <w:p>
      <w:pPr>
        <w:spacing w:after="0" w:line="72" w:lineRule="exact"/>
        <w:rPr>
          <w:sz w:val="20"/>
          <w:szCs w:val="20"/>
          <w:color w:val="auto"/>
        </w:rPr>
      </w:pPr>
    </w:p>
    <w:p>
      <w:pPr>
        <w:jc w:val="right"/>
        <w:ind w:left="2160" w:right="319" w:hanging="1508"/>
        <w:spacing w:after="0" w:line="227" w:lineRule="auto"/>
        <w:tabs>
          <w:tab w:leader="none" w:pos="864" w:val="left"/>
        </w:tabs>
        <w:numPr>
          <w:ilvl w:val="0"/>
          <w:numId w:val="20"/>
        </w:numPr>
        <w:rPr>
          <w:rFonts w:ascii="Arial" w:cs="Arial" w:eastAsia="Arial" w:hAnsi="Arial"/>
          <w:sz w:val="18"/>
          <w:szCs w:val="18"/>
          <w:color w:val="4C4C4C"/>
        </w:rPr>
      </w:pPr>
      <w:r>
        <w:rPr>
          <w:rFonts w:ascii="Arial" w:cs="Arial" w:eastAsia="Arial" w:hAnsi="Arial"/>
          <w:sz w:val="18"/>
          <w:szCs w:val="18"/>
          <w:i w:val="1"/>
          <w:iCs w:val="1"/>
          <w:color w:val="4C4C4C"/>
        </w:rPr>
        <w:t xml:space="preserve">By Telephone:  </w:t>
      </w:r>
      <w:r>
        <w:rPr>
          <w:rFonts w:ascii="Arial" w:cs="Arial" w:eastAsia="Arial" w:hAnsi="Arial"/>
          <w:sz w:val="18"/>
          <w:szCs w:val="18"/>
          <w:color w:val="4C4C4C"/>
        </w:rPr>
        <w:t>You may vote by calling +1.800.690.6903 and following the instructions provided</w:t>
      </w:r>
      <w:r>
        <w:rPr>
          <w:rFonts w:ascii="Arial" w:cs="Arial" w:eastAsia="Arial" w:hAnsi="Arial"/>
          <w:sz w:val="18"/>
          <w:szCs w:val="18"/>
          <w:i w:val="1"/>
          <w:iCs w:val="1"/>
          <w:color w:val="4C4C4C"/>
        </w:rPr>
        <w:t xml:space="preserve"> </w:t>
      </w:r>
      <w:r>
        <w:rPr>
          <w:rFonts w:ascii="Arial" w:cs="Arial" w:eastAsia="Arial" w:hAnsi="Arial"/>
          <w:sz w:val="18"/>
          <w:szCs w:val="18"/>
          <w:color w:val="4C4C4C"/>
        </w:rPr>
        <w:t>on the telephone line. Telephone voting is available 24 hours a day until 11:59</w:t>
      </w:r>
    </w:p>
    <w:tbl>
      <w:tblPr>
        <w:tblLayout w:type="fixed"/>
        <w:tblInd w:w="7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7280" w:type="dxa"/>
            <w:vAlign w:val="bottom"/>
          </w:tcPr>
          <w:p>
            <w:pPr>
              <w:jc w:val="center"/>
              <w:ind w:left="530"/>
              <w:spacing w:after="0"/>
              <w:rPr>
                <w:sz w:val="20"/>
                <w:szCs w:val="20"/>
                <w:color w:val="auto"/>
              </w:rPr>
            </w:pPr>
            <w:r>
              <w:rPr>
                <w:rFonts w:ascii="Times New Roman" w:cs="Times New Roman" w:eastAsia="Times New Roman" w:hAnsi="Times New Roman"/>
                <w:sz w:val="7"/>
                <w:szCs w:val="7"/>
                <w:color w:val="000000"/>
                <w:vertAlign w:val="superscript"/>
              </w:rPr>
              <w:t>​   ​</w:t>
            </w:r>
            <w:r>
              <w:rPr>
                <w:rFonts w:ascii="Arial" w:cs="Arial" w:eastAsia="Arial" w:hAnsi="Arial"/>
                <w:sz w:val="18"/>
                <w:szCs w:val="18"/>
                <w:color w:val="4C4C4C"/>
              </w:rPr>
              <w:t xml:space="preserve">   p.m., Eastern time, on June 29, 2022. Easy-to-follow voice prompts allow you to</w:t>
            </w:r>
          </w:p>
        </w:tc>
      </w:tr>
      <w:tr>
        <w:trPr>
          <w:trHeight w:val="239"/>
        </w:trPr>
        <w:tc>
          <w:tcPr>
            <w:tcW w:w="680" w:type="dxa"/>
            <w:vAlign w:val="bottom"/>
          </w:tcPr>
          <w:p>
            <w:pPr>
              <w:spacing w:after="0"/>
              <w:rPr>
                <w:sz w:val="20"/>
                <w:szCs w:val="20"/>
                <w:color w:val="auto"/>
              </w:rPr>
            </w:pPr>
          </w:p>
        </w:tc>
        <w:tc>
          <w:tcPr>
            <w:tcW w:w="7280" w:type="dxa"/>
            <w:vAlign w:val="bottom"/>
          </w:tcPr>
          <w:p>
            <w:pPr>
              <w:jc w:val="center"/>
              <w:ind w:left="510"/>
              <w:spacing w:after="0"/>
              <w:rPr>
                <w:sz w:val="20"/>
                <w:szCs w:val="20"/>
                <w:color w:val="auto"/>
              </w:rPr>
            </w:pPr>
            <w:r>
              <w:rPr>
                <w:rFonts w:ascii="Arial" w:cs="Arial" w:eastAsia="Arial" w:hAnsi="Arial"/>
                <w:sz w:val="18"/>
                <w:szCs w:val="18"/>
                <w:color w:val="4C4C4C"/>
                <w:w w:val="99"/>
              </w:rPr>
              <w:t>vote your shares and confirm that your instructions have been recorded properly.</w:t>
            </w:r>
          </w:p>
        </w:tc>
      </w:tr>
    </w:tbl>
    <w:p>
      <w:pPr>
        <w:spacing w:after="0" w:line="193" w:lineRule="exact"/>
        <w:rPr>
          <w:sz w:val="20"/>
          <w:szCs w:val="20"/>
          <w:color w:val="auto"/>
        </w:rPr>
      </w:pPr>
    </w:p>
    <w:p>
      <w:pPr>
        <w:jc w:val="both"/>
        <w:ind w:left="660" w:right="319"/>
        <w:spacing w:after="0" w:line="271" w:lineRule="auto"/>
        <w:rPr>
          <w:sz w:val="20"/>
          <w:szCs w:val="20"/>
          <w:color w:val="auto"/>
        </w:rPr>
      </w:pPr>
      <w:r>
        <w:rPr>
          <w:rFonts w:ascii="Arial" w:cs="Arial" w:eastAsia="Arial" w:hAnsi="Arial"/>
          <w:sz w:val="18"/>
          <w:szCs w:val="18"/>
          <w:color w:val="4C4C4C"/>
        </w:rPr>
        <w:t>For your information, voting via the Internet is the least expensive to ACM, followed by telephone voting, with voting by mail being the most expensive.</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Can I vote at the Annual Meeting?</w:t>
      </w:r>
    </w:p>
    <w:p>
      <w:pPr>
        <w:spacing w:after="0" w:line="180" w:lineRule="exact"/>
        <w:rPr>
          <w:sz w:val="20"/>
          <w:szCs w:val="20"/>
          <w:color w:val="auto"/>
        </w:rPr>
      </w:pPr>
    </w:p>
    <w:p>
      <w:pPr>
        <w:jc w:val="both"/>
        <w:ind w:left="640" w:right="299" w:hanging="348"/>
        <w:spacing w:after="0" w:line="253" w:lineRule="auto"/>
        <w:tabs>
          <w:tab w:leader="none" w:pos="640" w:val="left"/>
        </w:tabs>
        <w:numPr>
          <w:ilvl w:val="0"/>
          <w:numId w:val="21"/>
        </w:numPr>
        <w:rPr>
          <w:rFonts w:ascii="Arial" w:cs="Arial" w:eastAsia="Arial" w:hAnsi="Arial"/>
          <w:sz w:val="18"/>
          <w:szCs w:val="18"/>
          <w:b w:val="1"/>
          <w:bCs w:val="1"/>
          <w:color w:val="4C4C4C"/>
        </w:rPr>
      </w:pPr>
      <w:r>
        <w:rPr>
          <w:rFonts w:ascii="Arial" w:cs="Arial" w:eastAsia="Arial" w:hAnsi="Arial"/>
          <w:sz w:val="18"/>
          <w:szCs w:val="18"/>
          <w:color w:val="4C4C4C"/>
        </w:rPr>
        <w:t>If you are a stockholder of record, you may vote virtually at the Annual Meeting, whether or not you previously voted. If your shares are held in street name, you must obtain a written proxy, executed in your favor, from the stockholder of record to be able to vote at the Annual Meeting.</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Can I ask questions at the Annual Meeting?</w:t>
      </w:r>
    </w:p>
    <w:p>
      <w:pPr>
        <w:spacing w:after="0" w:line="166" w:lineRule="exact"/>
        <w:rPr>
          <w:sz w:val="20"/>
          <w:szCs w:val="20"/>
          <w:color w:val="auto"/>
        </w:rPr>
      </w:pPr>
    </w:p>
    <w:p>
      <w:pPr>
        <w:jc w:val="both"/>
        <w:ind w:left="640" w:right="299" w:hanging="348"/>
        <w:spacing w:after="0" w:line="239" w:lineRule="auto"/>
        <w:tabs>
          <w:tab w:leader="none" w:pos="640" w:val="left"/>
        </w:tabs>
        <w:numPr>
          <w:ilvl w:val="0"/>
          <w:numId w:val="22"/>
        </w:numPr>
        <w:rPr>
          <w:rFonts w:ascii="Arial" w:cs="Arial" w:eastAsia="Arial" w:hAnsi="Arial"/>
          <w:sz w:val="18"/>
          <w:szCs w:val="18"/>
          <w:b w:val="1"/>
          <w:bCs w:val="1"/>
          <w:color w:val="4C4C4C"/>
        </w:rPr>
      </w:pPr>
      <w:r>
        <w:rPr>
          <w:rFonts w:ascii="Arial" w:cs="Arial" w:eastAsia="Arial" w:hAnsi="Arial"/>
          <w:sz w:val="18"/>
          <w:szCs w:val="18"/>
          <w:color w:val="4C4C4C"/>
        </w:rPr>
        <w:t xml:space="preserve">You may submit questions via the Internet during the Annual Meeting by participating in the webcast at </w:t>
      </w:r>
      <w:r>
        <w:rPr>
          <w:rFonts w:ascii="Arial" w:cs="Arial" w:eastAsia="Arial" w:hAnsi="Arial"/>
          <w:sz w:val="18"/>
          <w:szCs w:val="18"/>
          <w:i w:val="1"/>
          <w:iCs w:val="1"/>
          <w:color w:val="4C4C4C"/>
        </w:rPr>
        <w:t>virtualshareholdermeeting.com/ACMR2022</w:t>
      </w:r>
      <w:r>
        <w:rPr>
          <w:rFonts w:ascii="Arial" w:cs="Arial" w:eastAsia="Arial" w:hAnsi="Arial"/>
          <w:sz w:val="18"/>
          <w:szCs w:val="18"/>
          <w:color w:val="4C4C4C"/>
        </w:rPr>
        <w:t>. We will answer any timely submitted questions on a matter to be voted on at the Annual Meeting before voting is closed on the matter. Following adjournment of the formal business of the Annual Meeting, we will address appropriate general questions from stockholders regarding ACM in the order in which the questions are received. Questions relating to the stockholder proposals or ACM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660" w:right="299"/>
        <w:spacing w:after="0" w:line="247" w:lineRule="auto"/>
        <w:rPr>
          <w:sz w:val="20"/>
          <w:szCs w:val="20"/>
          <w:color w:val="auto"/>
        </w:rPr>
      </w:pPr>
      <w:r>
        <w:rPr>
          <w:rFonts w:ascii="Arial" w:cs="Arial" w:eastAsia="Arial" w:hAnsi="Arial"/>
          <w:sz w:val="18"/>
          <w:szCs w:val="18"/>
          <w:color w:val="auto"/>
        </w:rPr>
        <w:t xml:space="preserve">inappropriate language. If we receive substantially similar questions, we will group those questions together and provide a single response to avoid repetition. Additional information regarding the submission of questions during the Annual Meeting can be found in our 2022 Rules of Conduct and Procedure, a copy of which is attached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w:t>
      </w:r>
      <w:r>
        <w:rPr>
          <w:rFonts w:ascii="Arial" w:cs="Arial" w:eastAsia="Arial" w:hAnsi="Arial"/>
          <w:sz w:val="18"/>
          <w:szCs w:val="18"/>
          <w:i w:val="1"/>
          <w:iCs w:val="1"/>
          <w:color w:val="auto"/>
        </w:rPr>
        <w:t>.</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Why is the Annual Meeting being conducted as a virtual meeting?</w:t>
      </w:r>
    </w:p>
    <w:p>
      <w:pPr>
        <w:spacing w:after="0" w:line="180" w:lineRule="exact"/>
        <w:rPr>
          <w:sz w:val="20"/>
          <w:szCs w:val="20"/>
          <w:color w:val="auto"/>
        </w:rPr>
      </w:pPr>
    </w:p>
    <w:p>
      <w:pPr>
        <w:jc w:val="both"/>
        <w:ind w:left="640" w:right="299" w:hanging="348"/>
        <w:spacing w:after="0"/>
        <w:tabs>
          <w:tab w:leader="none" w:pos="640" w:val="left"/>
        </w:tabs>
        <w:numPr>
          <w:ilvl w:val="0"/>
          <w:numId w:val="23"/>
        </w:numPr>
        <w:rPr>
          <w:rFonts w:ascii="Arial" w:cs="Arial" w:eastAsia="Arial" w:hAnsi="Arial"/>
          <w:sz w:val="18"/>
          <w:szCs w:val="18"/>
          <w:b w:val="1"/>
          <w:bCs w:val="1"/>
          <w:color w:val="4C4C4C"/>
        </w:rPr>
      </w:pPr>
      <w:r>
        <w:rPr>
          <w:rFonts w:ascii="Arial" w:cs="Arial" w:eastAsia="Arial" w:hAnsi="Arial"/>
          <w:sz w:val="18"/>
          <w:szCs w:val="18"/>
          <w:color w:val="4C4C4C"/>
        </w:rPr>
        <w:t>The board of directors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internet-connected devices, including smart phones and tablet, laptop or desktop computers. The virtual meeting format also will allow stockholders to maintain their own personal safety in light of the ongoing public health risks attributable to the COVID-19 (Coronavirus) pandemic.</w:t>
      </w:r>
    </w:p>
    <w:p>
      <w:pPr>
        <w:spacing w:after="0" w:line="139" w:lineRule="exact"/>
        <w:rPr>
          <w:rFonts w:ascii="Arial" w:cs="Arial" w:eastAsia="Arial" w:hAnsi="Arial"/>
          <w:sz w:val="18"/>
          <w:szCs w:val="18"/>
          <w:b w:val="1"/>
          <w:bCs w:val="1"/>
          <w:color w:val="4C4C4C"/>
        </w:rPr>
      </w:pPr>
    </w:p>
    <w:p>
      <w:pPr>
        <w:jc w:val="both"/>
        <w:ind w:left="660" w:right="299"/>
        <w:spacing w:after="0" w:line="244" w:lineRule="auto"/>
        <w:rPr>
          <w:rFonts w:ascii="Arial" w:cs="Arial" w:eastAsia="Arial" w:hAnsi="Arial"/>
          <w:sz w:val="18"/>
          <w:szCs w:val="18"/>
          <w:b w:val="1"/>
          <w:bCs w:val="1"/>
          <w:color w:val="4C4C4C"/>
        </w:rPr>
      </w:pPr>
      <w:r>
        <w:rPr>
          <w:rFonts w:ascii="Arial" w:cs="Arial" w:eastAsia="Arial" w:hAnsi="Arial"/>
          <w:sz w:val="18"/>
          <w:szCs w:val="18"/>
          <w:color w:val="4C4C4C"/>
        </w:rPr>
        <w:t>We will be able to engage with all stockholders as opposed to just those who can afford to travel to an in-person meeting. The virtual format allows stockholders to submit questions and comments during the meeting. We are utilizing technology from Broadridge, a leading virtual meeting solution. The Broadridge platform is expected to accommodate most, if not all, stockholders. Both we and Broadridge will test the platform technology before going “live” for the Annual Meeting.</w:t>
      </w:r>
    </w:p>
    <w:p>
      <w:pPr>
        <w:spacing w:after="0" w:line="172" w:lineRule="exact"/>
        <w:rPr>
          <w:sz w:val="20"/>
          <w:szCs w:val="20"/>
          <w:color w:val="auto"/>
        </w:rPr>
      </w:pPr>
    </w:p>
    <w:p>
      <w:pPr>
        <w:ind w:left="640" w:right="699" w:hanging="348"/>
        <w:spacing w:after="0" w:line="270" w:lineRule="auto"/>
        <w:tabs>
          <w:tab w:leader="none" w:pos="640" w:val="left"/>
        </w:tabs>
        <w:numPr>
          <w:ilvl w:val="0"/>
          <w:numId w:val="24"/>
        </w:numPr>
        <w:rPr>
          <w:rFonts w:ascii="Arial" w:cs="Arial" w:eastAsia="Arial" w:hAnsi="Arial"/>
          <w:sz w:val="20"/>
          <w:szCs w:val="20"/>
          <w:b w:val="1"/>
          <w:bCs w:val="1"/>
          <w:color w:val="0079C1"/>
        </w:rPr>
      </w:pPr>
      <w:r>
        <w:rPr>
          <w:rFonts w:ascii="Arial" w:cs="Arial" w:eastAsia="Arial" w:hAnsi="Arial"/>
          <w:sz w:val="20"/>
          <w:szCs w:val="20"/>
          <w:b w:val="1"/>
          <w:bCs w:val="1"/>
          <w:color w:val="0079C1"/>
        </w:rPr>
        <w:t>If I am unable to participate in the live audio webcast of the Annual Meeting, may I listen at a later date?</w:t>
      </w:r>
    </w:p>
    <w:p>
      <w:pPr>
        <w:spacing w:after="0" w:line="95" w:lineRule="exact"/>
        <w:rPr>
          <w:sz w:val="20"/>
          <w:szCs w:val="20"/>
          <w:color w:val="auto"/>
        </w:rPr>
      </w:pPr>
    </w:p>
    <w:p>
      <w:pPr>
        <w:jc w:val="both"/>
        <w:ind w:left="640" w:right="299" w:hanging="348"/>
        <w:spacing w:after="0" w:line="247" w:lineRule="auto"/>
        <w:tabs>
          <w:tab w:leader="none" w:pos="640" w:val="left"/>
        </w:tabs>
        <w:numPr>
          <w:ilvl w:val="0"/>
          <w:numId w:val="25"/>
        </w:numPr>
        <w:rPr>
          <w:rFonts w:ascii="Arial" w:cs="Arial" w:eastAsia="Arial" w:hAnsi="Arial"/>
          <w:sz w:val="18"/>
          <w:szCs w:val="18"/>
          <w:b w:val="1"/>
          <w:bCs w:val="1"/>
          <w:color w:val="4C4C4C"/>
        </w:rPr>
      </w:pPr>
      <w:r>
        <w:rPr>
          <w:rFonts w:ascii="Arial" w:cs="Arial" w:eastAsia="Arial" w:hAnsi="Arial"/>
          <w:sz w:val="18"/>
          <w:szCs w:val="18"/>
          <w:color w:val="4C4C4C"/>
        </w:rPr>
        <w:t xml:space="preserve">An audio replay of the Annual Meeting will be posted and publicly available at </w:t>
      </w:r>
      <w:r>
        <w:rPr>
          <w:rFonts w:ascii="Arial" w:cs="Arial" w:eastAsia="Arial" w:hAnsi="Arial"/>
          <w:sz w:val="18"/>
          <w:szCs w:val="18"/>
          <w:i w:val="1"/>
          <w:iCs w:val="1"/>
          <w:color w:val="4C4C4C"/>
        </w:rPr>
        <w:t xml:space="preserve">ir.acmrcsh.com/presentations </w:t>
      </w:r>
      <w:r>
        <w:rPr>
          <w:rFonts w:ascii="Arial" w:cs="Arial" w:eastAsia="Arial" w:hAnsi="Arial"/>
          <w:sz w:val="18"/>
          <w:szCs w:val="18"/>
          <w:color w:val="4C4C4C"/>
        </w:rPr>
        <w:t>following the Annual Meeting and will remain publicly available until our</w:t>
      </w:r>
      <w:r>
        <w:rPr>
          <w:rFonts w:ascii="Arial" w:cs="Arial" w:eastAsia="Arial" w:hAnsi="Arial"/>
          <w:sz w:val="18"/>
          <w:szCs w:val="18"/>
          <w:i w:val="1"/>
          <w:iCs w:val="1"/>
          <w:color w:val="4C4C4C"/>
        </w:rPr>
        <w:t xml:space="preserve"> </w:t>
      </w:r>
      <w:r>
        <w:rPr>
          <w:rFonts w:ascii="Arial" w:cs="Arial" w:eastAsia="Arial" w:hAnsi="Arial"/>
          <w:sz w:val="18"/>
          <w:szCs w:val="18"/>
          <w:color w:val="4C4C4C"/>
        </w:rPr>
        <w:t>next annual meeting of stockholders in 2023. This audio replay will cover the entire Annual Meeting, including each stockholder question addressed during the Annual Meeting.</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May I change my vote or revoke my proxy?</w:t>
      </w:r>
    </w:p>
    <w:p>
      <w:pPr>
        <w:spacing w:after="0" w:line="180" w:lineRule="exact"/>
        <w:rPr>
          <w:sz w:val="20"/>
          <w:szCs w:val="20"/>
          <w:color w:val="auto"/>
        </w:rPr>
      </w:pPr>
    </w:p>
    <w:p>
      <w:pPr>
        <w:ind w:left="640" w:right="299" w:hanging="348"/>
        <w:spacing w:after="0" w:line="271" w:lineRule="auto"/>
        <w:tabs>
          <w:tab w:leader="none" w:pos="640" w:val="left"/>
        </w:tabs>
        <w:numPr>
          <w:ilvl w:val="0"/>
          <w:numId w:val="26"/>
        </w:numPr>
        <w:rPr>
          <w:rFonts w:ascii="Arial" w:cs="Arial" w:eastAsia="Arial" w:hAnsi="Arial"/>
          <w:sz w:val="18"/>
          <w:szCs w:val="18"/>
          <w:b w:val="1"/>
          <w:bCs w:val="1"/>
          <w:color w:val="4C4C4C"/>
        </w:rPr>
      </w:pPr>
      <w:r>
        <w:rPr>
          <w:rFonts w:ascii="Arial" w:cs="Arial" w:eastAsia="Arial" w:hAnsi="Arial"/>
          <w:sz w:val="18"/>
          <w:szCs w:val="18"/>
          <w:color w:val="4C4C4C"/>
        </w:rPr>
        <w:t>If you are a stockholder of record and previously delivered a proxy, you may subsequently change or revoke your proxy at any time before it is exercised by:</w:t>
      </w:r>
    </w:p>
    <w:p>
      <w:pPr>
        <w:spacing w:after="0" w:line="45" w:lineRule="exact"/>
        <w:rPr>
          <w:rFonts w:ascii="Arial" w:cs="Arial" w:eastAsia="Arial" w:hAnsi="Arial"/>
          <w:sz w:val="18"/>
          <w:szCs w:val="18"/>
          <w:b w:val="1"/>
          <w:bCs w:val="1"/>
          <w:color w:val="4C4C4C"/>
        </w:rPr>
      </w:pPr>
    </w:p>
    <w:p>
      <w:pPr>
        <w:ind w:left="1000" w:hanging="348"/>
        <w:spacing w:after="0"/>
        <w:tabs>
          <w:tab w:leader="none" w:pos="1000" w:val="left"/>
        </w:tabs>
        <w:numPr>
          <w:ilvl w:val="1"/>
          <w:numId w:val="26"/>
        </w:numPr>
        <w:rPr>
          <w:rFonts w:ascii="Arial" w:cs="Arial" w:eastAsia="Arial" w:hAnsi="Arial"/>
          <w:sz w:val="18"/>
          <w:szCs w:val="18"/>
          <w:color w:val="4C4C4C"/>
        </w:rPr>
      </w:pPr>
      <w:r>
        <w:rPr>
          <w:rFonts w:ascii="Arial" w:cs="Arial" w:eastAsia="Arial" w:hAnsi="Arial"/>
          <w:sz w:val="18"/>
          <w:szCs w:val="18"/>
          <w:color w:val="4C4C4C"/>
        </w:rPr>
        <w:t>voting via the Internet or telephone at a later time;</w:t>
      </w:r>
    </w:p>
    <w:p>
      <w:pPr>
        <w:spacing w:after="0" w:line="103" w:lineRule="exact"/>
        <w:rPr>
          <w:rFonts w:ascii="Arial" w:cs="Arial" w:eastAsia="Arial" w:hAnsi="Arial"/>
          <w:sz w:val="18"/>
          <w:szCs w:val="18"/>
          <w:color w:val="4C4C4C"/>
        </w:rPr>
      </w:pPr>
    </w:p>
    <w:p>
      <w:pPr>
        <w:ind w:left="1000" w:hanging="348"/>
        <w:spacing w:after="0"/>
        <w:tabs>
          <w:tab w:leader="none" w:pos="1000" w:val="left"/>
        </w:tabs>
        <w:numPr>
          <w:ilvl w:val="1"/>
          <w:numId w:val="26"/>
        </w:numPr>
        <w:rPr>
          <w:rFonts w:ascii="Arial" w:cs="Arial" w:eastAsia="Arial" w:hAnsi="Arial"/>
          <w:sz w:val="18"/>
          <w:szCs w:val="18"/>
          <w:color w:val="4C4C4C"/>
        </w:rPr>
      </w:pPr>
      <w:r>
        <w:rPr>
          <w:rFonts w:ascii="Arial" w:cs="Arial" w:eastAsia="Arial" w:hAnsi="Arial"/>
          <w:sz w:val="18"/>
          <w:szCs w:val="18"/>
          <w:color w:val="4C4C4C"/>
        </w:rPr>
        <w:t>submitting a completed and signed proxy card with a later date; or</w:t>
      </w:r>
    </w:p>
    <w:p>
      <w:pPr>
        <w:spacing w:after="0" w:line="103" w:lineRule="exact"/>
        <w:rPr>
          <w:rFonts w:ascii="Arial" w:cs="Arial" w:eastAsia="Arial" w:hAnsi="Arial"/>
          <w:sz w:val="18"/>
          <w:szCs w:val="18"/>
          <w:color w:val="4C4C4C"/>
        </w:rPr>
      </w:pPr>
    </w:p>
    <w:p>
      <w:pPr>
        <w:ind w:left="1000" w:hanging="348"/>
        <w:spacing w:after="0"/>
        <w:tabs>
          <w:tab w:leader="none" w:pos="1000" w:val="left"/>
        </w:tabs>
        <w:numPr>
          <w:ilvl w:val="1"/>
          <w:numId w:val="26"/>
        </w:numPr>
        <w:rPr>
          <w:rFonts w:ascii="Arial" w:cs="Arial" w:eastAsia="Arial" w:hAnsi="Arial"/>
          <w:sz w:val="18"/>
          <w:szCs w:val="18"/>
          <w:color w:val="4C4C4C"/>
        </w:rPr>
      </w:pPr>
      <w:r>
        <w:rPr>
          <w:rFonts w:ascii="Arial" w:cs="Arial" w:eastAsia="Arial" w:hAnsi="Arial"/>
          <w:sz w:val="18"/>
          <w:szCs w:val="18"/>
          <w:color w:val="4C4C4C"/>
        </w:rPr>
        <w:t>voting via the Internet at the Annual Meeting.</w:t>
      </w:r>
    </w:p>
    <w:p>
      <w:pPr>
        <w:spacing w:after="0" w:line="171" w:lineRule="exact"/>
        <w:rPr>
          <w:sz w:val="20"/>
          <w:szCs w:val="20"/>
          <w:color w:val="auto"/>
        </w:rPr>
      </w:pPr>
    </w:p>
    <w:p>
      <w:pPr>
        <w:ind w:left="660" w:right="319"/>
        <w:spacing w:after="0" w:line="271" w:lineRule="auto"/>
        <w:rPr>
          <w:sz w:val="20"/>
          <w:szCs w:val="20"/>
          <w:color w:val="auto"/>
        </w:rPr>
      </w:pPr>
      <w:r>
        <w:rPr>
          <w:rFonts w:ascii="Arial" w:cs="Arial" w:eastAsia="Arial" w:hAnsi="Arial"/>
          <w:sz w:val="18"/>
          <w:szCs w:val="18"/>
          <w:color w:val="4C4C4C"/>
        </w:rPr>
        <w:t>If you are a beneficial owner of shares held in street name, you should contact your bank, broker or other nominee for instructions as to whether, and how, you can change or revoke your proxy.</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What happens if I do not give specific voting instructions?</w:t>
      </w:r>
    </w:p>
    <w:p>
      <w:pPr>
        <w:spacing w:after="0" w:line="166" w:lineRule="exact"/>
        <w:rPr>
          <w:sz w:val="20"/>
          <w:szCs w:val="20"/>
          <w:color w:val="auto"/>
        </w:rPr>
      </w:pPr>
    </w:p>
    <w:p>
      <w:pPr>
        <w:jc w:val="both"/>
        <w:ind w:left="640" w:right="299" w:hanging="348"/>
        <w:spacing w:after="0" w:line="247" w:lineRule="auto"/>
        <w:tabs>
          <w:tab w:leader="none" w:pos="640" w:val="left"/>
        </w:tabs>
        <w:numPr>
          <w:ilvl w:val="0"/>
          <w:numId w:val="27"/>
        </w:numPr>
        <w:rPr>
          <w:rFonts w:ascii="Arial" w:cs="Arial" w:eastAsia="Arial" w:hAnsi="Arial"/>
          <w:sz w:val="18"/>
          <w:szCs w:val="18"/>
          <w:b w:val="1"/>
          <w:bCs w:val="1"/>
          <w:color w:val="4C4C4C"/>
        </w:rPr>
      </w:pPr>
      <w:r>
        <w:rPr>
          <w:rFonts w:ascii="Arial" w:cs="Arial" w:eastAsia="Arial" w:hAnsi="Arial"/>
          <w:sz w:val="18"/>
          <w:szCs w:val="18"/>
          <w:color w:val="4C4C4C"/>
        </w:rPr>
        <w:t>If you are a stockholder of record and you return a proxy card without giving specific voting instructions, the proxy holders will vote your shares in the manner recommended by the board on each of the proposals presented in this Proxy Statement and as the proxy holders may determine in their discretion on any other matters properly presented for a vote at the Annual Meeting.</w:t>
      </w:r>
    </w:p>
    <w:p>
      <w:pPr>
        <w:spacing w:after="0" w:line="146" w:lineRule="exact"/>
        <w:rPr>
          <w:rFonts w:ascii="Arial" w:cs="Arial" w:eastAsia="Arial" w:hAnsi="Arial"/>
          <w:sz w:val="18"/>
          <w:szCs w:val="18"/>
          <w:b w:val="1"/>
          <w:bCs w:val="1"/>
          <w:color w:val="4C4C4C"/>
        </w:rPr>
      </w:pPr>
    </w:p>
    <w:p>
      <w:pPr>
        <w:jc w:val="both"/>
        <w:ind w:left="660" w:right="299"/>
        <w:spacing w:after="0" w:line="247" w:lineRule="auto"/>
        <w:rPr>
          <w:rFonts w:ascii="Arial" w:cs="Arial" w:eastAsia="Arial" w:hAnsi="Arial"/>
          <w:sz w:val="18"/>
          <w:szCs w:val="18"/>
          <w:b w:val="1"/>
          <w:bCs w:val="1"/>
          <w:color w:val="4C4C4C"/>
        </w:rPr>
      </w:pPr>
      <w:r>
        <w:rPr>
          <w:rFonts w:ascii="Arial" w:cs="Arial" w:eastAsia="Arial" w:hAnsi="Arial"/>
          <w:sz w:val="18"/>
          <w:szCs w:val="18"/>
          <w:color w:val="4C4C4C"/>
        </w:rPr>
        <w:t>If you are a beneficial owner of shares held in street name and do not provide specific voting instructions to the broker, bank or other organization that is the stockholder of record of your shares, the organization generally may vote on routine, but not non-routine, matters. The only routine matter expected to be voted on at the Annual</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660" w:right="299"/>
        <w:spacing w:after="0" w:line="247" w:lineRule="auto"/>
        <w:rPr>
          <w:sz w:val="20"/>
          <w:szCs w:val="20"/>
          <w:color w:val="auto"/>
        </w:rPr>
      </w:pPr>
      <w:r>
        <w:rPr>
          <w:rFonts w:ascii="Arial" w:cs="Arial" w:eastAsia="Arial" w:hAnsi="Arial"/>
          <w:sz w:val="18"/>
          <w:szCs w:val="18"/>
          <w:color w:val="auto"/>
        </w:rPr>
        <w:t>Meeting is the ratification of the appointment of our independent auditor for 2022 (Proposal 2). If the organization does not receive instructions from you on how to vote your shares on Proposals 1, your shares will be subject to a broker non-vote and no vote will be cast on those matters. See “</w:t>
      </w:r>
      <w:r>
        <w:rPr>
          <w:rFonts w:ascii="Arial" w:cs="Arial" w:eastAsia="Arial" w:hAnsi="Arial"/>
          <w:sz w:val="18"/>
          <w:szCs w:val="18"/>
          <w:i w:val="1"/>
          <w:iCs w:val="1"/>
          <w:color w:val="4694D0"/>
        </w:rPr>
        <w:t>Q. What</w:t>
      </w:r>
      <w:r>
        <w:rPr>
          <w:rFonts w:ascii="Arial" w:cs="Arial" w:eastAsia="Arial" w:hAnsi="Arial"/>
          <w:sz w:val="18"/>
          <w:szCs w:val="18"/>
          <w:color w:val="auto"/>
        </w:rPr>
        <w:t xml:space="preserve"> </w:t>
      </w:r>
      <w:r>
        <w:rPr>
          <w:rFonts w:ascii="Arial" w:cs="Arial" w:eastAsia="Arial" w:hAnsi="Arial"/>
          <w:sz w:val="18"/>
          <w:szCs w:val="18"/>
          <w:i w:val="1"/>
          <w:iCs w:val="1"/>
          <w:color w:val="4694D0"/>
        </w:rPr>
        <w:t>does it mean for a broker or other nominee to hold shares in ‘street name’?</w:t>
      </w:r>
      <w:r>
        <w:rPr>
          <w:rFonts w:ascii="Arial" w:cs="Arial" w:eastAsia="Arial" w:hAnsi="Arial"/>
          <w:sz w:val="18"/>
          <w:szCs w:val="18"/>
          <w:color w:val="4C4C4C"/>
        </w:rPr>
        <w:t>” above.</w:t>
      </w:r>
    </w:p>
    <w:p>
      <w:pPr>
        <w:spacing w:after="0" w:line="169" w:lineRule="exact"/>
        <w:rPr>
          <w:sz w:val="20"/>
          <w:szCs w:val="20"/>
          <w:color w:val="auto"/>
        </w:rPr>
      </w:pPr>
    </w:p>
    <w:p>
      <w:pPr>
        <w:ind w:left="640" w:right="719" w:hanging="348"/>
        <w:spacing w:after="0" w:line="270" w:lineRule="auto"/>
        <w:tabs>
          <w:tab w:leader="none" w:pos="640" w:val="left"/>
        </w:tabs>
        <w:numPr>
          <w:ilvl w:val="0"/>
          <w:numId w:val="28"/>
        </w:numPr>
        <w:rPr>
          <w:rFonts w:ascii="Arial" w:cs="Arial" w:eastAsia="Arial" w:hAnsi="Arial"/>
          <w:sz w:val="20"/>
          <w:szCs w:val="20"/>
          <w:b w:val="1"/>
          <w:bCs w:val="1"/>
          <w:color w:val="0079C1"/>
        </w:rPr>
      </w:pPr>
      <w:r>
        <w:rPr>
          <w:rFonts w:ascii="Arial" w:cs="Arial" w:eastAsia="Arial" w:hAnsi="Arial"/>
          <w:sz w:val="20"/>
          <w:szCs w:val="20"/>
          <w:b w:val="1"/>
          <w:bCs w:val="1"/>
          <w:color w:val="0079C1"/>
        </w:rPr>
        <w:t>What should I do if, during check-in or the meeting, I have technical difficulties or trouble accessing the virtual meeting website?</w:t>
      </w:r>
    </w:p>
    <w:p>
      <w:pPr>
        <w:spacing w:after="0" w:line="108" w:lineRule="exact"/>
        <w:rPr>
          <w:sz w:val="20"/>
          <w:szCs w:val="20"/>
          <w:color w:val="auto"/>
        </w:rPr>
      </w:pPr>
    </w:p>
    <w:p>
      <w:pPr>
        <w:jc w:val="both"/>
        <w:ind w:left="640" w:right="299" w:hanging="348"/>
        <w:spacing w:after="0" w:line="242" w:lineRule="auto"/>
        <w:tabs>
          <w:tab w:leader="none" w:pos="640" w:val="left"/>
        </w:tabs>
        <w:numPr>
          <w:ilvl w:val="0"/>
          <w:numId w:val="29"/>
        </w:numPr>
        <w:rPr>
          <w:rFonts w:ascii="Arial" w:cs="Arial" w:eastAsia="Arial" w:hAnsi="Arial"/>
          <w:sz w:val="18"/>
          <w:szCs w:val="18"/>
          <w:b w:val="1"/>
          <w:bCs w:val="1"/>
          <w:color w:val="4C4C4C"/>
        </w:rPr>
      </w:pPr>
      <w:r>
        <w:rPr>
          <w:rFonts w:ascii="Arial" w:cs="Arial" w:eastAsia="Arial" w:hAnsi="Arial"/>
          <w:sz w:val="18"/>
          <w:szCs w:val="18"/>
          <w:color w:val="4C4C4C"/>
        </w:rPr>
        <w:t xml:space="preserve">Online check-in to the Annual Meeting webcast will begin at 6:45 a.m., Pacific time.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Annual Meeting. If you encounter any difficulties accessing the Annual Meeting during the check-in or at meeting time, you should call the technical support number available at </w:t>
      </w:r>
      <w:r>
        <w:rPr>
          <w:rFonts w:ascii="Arial" w:cs="Arial" w:eastAsia="Arial" w:hAnsi="Arial"/>
          <w:sz w:val="18"/>
          <w:szCs w:val="18"/>
          <w:i w:val="1"/>
          <w:iCs w:val="1"/>
          <w:color w:val="4C4C4C"/>
        </w:rPr>
        <w:t>proxyvote.com</w:t>
      </w:r>
      <w:r>
        <w:rPr>
          <w:rFonts w:ascii="Arial" w:cs="Arial" w:eastAsia="Arial" w:hAnsi="Arial"/>
          <w:sz w:val="18"/>
          <w:szCs w:val="18"/>
          <w:color w:val="4C4C4C"/>
        </w:rPr>
        <w: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0079C1"/>
        </w:rPr>
        <w:t>Q: What if other matters are presented at the Annual Meeting?</w:t>
      </w:r>
    </w:p>
    <w:p>
      <w:pPr>
        <w:spacing w:after="0" w:line="166" w:lineRule="exact"/>
        <w:rPr>
          <w:sz w:val="20"/>
          <w:szCs w:val="20"/>
          <w:color w:val="auto"/>
        </w:rPr>
      </w:pPr>
    </w:p>
    <w:p>
      <w:pPr>
        <w:jc w:val="both"/>
        <w:ind w:left="640" w:right="299" w:hanging="348"/>
        <w:spacing w:after="0" w:line="244" w:lineRule="auto"/>
        <w:tabs>
          <w:tab w:leader="none" w:pos="640" w:val="left"/>
        </w:tabs>
        <w:numPr>
          <w:ilvl w:val="0"/>
          <w:numId w:val="30"/>
        </w:numPr>
        <w:rPr>
          <w:rFonts w:ascii="Arial" w:cs="Arial" w:eastAsia="Arial" w:hAnsi="Arial"/>
          <w:sz w:val="18"/>
          <w:szCs w:val="18"/>
          <w:b w:val="1"/>
          <w:bCs w:val="1"/>
          <w:color w:val="4C4C4C"/>
        </w:rPr>
      </w:pPr>
      <w:r>
        <w:rPr>
          <w:rFonts w:ascii="Arial" w:cs="Arial" w:eastAsia="Arial" w:hAnsi="Arial"/>
          <w:sz w:val="18"/>
          <w:szCs w:val="18"/>
          <w:color w:val="4C4C4C"/>
        </w:rPr>
        <w:t>If a stockholder of record provides a proxy by voting in any manner described in this Proxy Statement, the proxy holders will have the discretion to vote on any matters, other than the two proposals presented in this Proxy Statement, that are properly presented for consideration at the Annual Meeting. We are not currently aware of any other matters to be presented for consideration at the Annual Meeting.</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Vote Required for Election or Approval</w:t>
      </w:r>
    </w:p>
    <w:p>
      <w:pPr>
        <w:spacing w:after="0" w:line="38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Introduction</w:t>
      </w:r>
    </w:p>
    <w:p>
      <w:pPr>
        <w:spacing w:after="0" w:line="189"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Our only voting securities are the outstanding shares of Class A and Class B common stock, which we refer to collectively as common stock. As of the record date, which is 5 p.m., Eastern time, on May 3, 2022, there were outstanding 54,074,653 shares of Class A common stock, each of which will be entitled to one vote on each proposal, and 5,086,812 shares of Class B common stock, each of which will be entitled to twenty votes on each proposal. Based on the number of votes for each share of Class A and Class B common stock, up to a total of 155,810,893 votes can be cast on each proposal.</w:t>
      </w:r>
    </w:p>
    <w:p>
      <w:pPr>
        <w:spacing w:after="0" w:line="138"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Only stockholders of record as of the record date will be entitled to notice of, and to vote at, the Annual Meeting. A majority of the votes attributable to outstanding shares of common stock present virtually or represented by proxy and entitled to vote on any matters to be considered at the Annual Meeting will constitute a quorum for the transaction of business at the Annual Meeting. For the purpose of determining a quorum, we will treat as present at the Annual Meeting any proxies that are voted on any matter to be acted upon by the stockholders, as well as abstentions or any proxies containing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219710</wp:posOffset>
            </wp:positionV>
            <wp:extent cx="248285" cy="248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36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0079C1"/>
        </w:rPr>
        <w:t>Election of Directors</w:t>
      </w:r>
    </w:p>
    <w:p>
      <w:pPr>
        <w:spacing w:after="0" w:line="200" w:lineRule="exact"/>
        <w:rPr>
          <w:sz w:val="20"/>
          <w:szCs w:val="20"/>
          <w:color w:val="auto"/>
        </w:rPr>
      </w:pPr>
    </w:p>
    <w:p>
      <w:pPr>
        <w:spacing w:after="0" w:line="205"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4C4C4C"/>
        </w:rPr>
        <w:t>Each director will be elected by plurality of the votes present in person or represented by proxy at the Annual Meeting and entitled to vote in the election of directors. Broker non-votes will not have any effect on the outcome of the election of directors, since broker non-votes are not counted as “votes cast.” Votes to “withhold” will have an effect on the outcome of the proposal only in that under our Director Resignation Policy, approved by the board of directors in October 2017, if a director receives more votes to “withhold” than “for,” such director shall promptly offer his resignation for consideration to the nominating and governance committee, which will make a recommendation to the board whether to accept or reject the resignation, or whether other action should be taken. The board will consider and act on the recommendation of the nominating and governance committee and will promptly, if required, publicly disclose its decision and the rationale behind it. The director who offers his or her resignation will not participate in the decision of the nominating and governance committee or the board. If the board accepts such resignation, then the board may fill the vacancy resulting from that resignation or may reduce the number of directors that constitutes the entire board so that no vacancy exists.</w:t>
      </w:r>
    </w:p>
    <w:p>
      <w:pPr>
        <w:spacing w:after="0" w:line="140"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Under our certificate of incorporation, our bylaws and the Delaware General Corporation Law, a director holds office until a successor is elected and qualified or until his or her earlier resignation or removal. Each of the nominees currently serves as one of our directors. If any of the nominees is not elected at the Annual Meeting, then the Bylaws provide that the director shall offer to resign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216535</wp:posOffset>
            </wp:positionV>
            <wp:extent cx="248285" cy="248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3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0079C1"/>
        </w:rPr>
        <w:t>Ratification of Appointment of Independent Auditor for 2022</w:t>
      </w:r>
    </w:p>
    <w:p>
      <w:pPr>
        <w:spacing w:after="0" w:line="200" w:lineRule="exact"/>
        <w:rPr>
          <w:sz w:val="20"/>
          <w:szCs w:val="20"/>
          <w:color w:val="auto"/>
        </w:rPr>
      </w:pPr>
    </w:p>
    <w:p>
      <w:pPr>
        <w:spacing w:after="0" w:line="205"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The ratification of Armanino LLP as our independent auditor for the year ending December 31, 2022 must be approved by affirmative votes constituting a majority of the votes entitled to be voted and present virtually or represented by proxy at the Annual Meeting. Abstentions will count as votes against this proposal, because shares with respect to which the stockholder abstains will be deemed present and entitled to vote. Because this proposal is considered a routine matter, discretionary votes by brokers will be counted.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Corporate Governance</w:t>
      </w:r>
    </w:p>
    <w:p>
      <w:pPr>
        <w:spacing w:after="0" w:line="39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Board of Directors Overview</w:t>
      </w:r>
    </w:p>
    <w:p>
      <w:pPr>
        <w:spacing w:after="0" w:line="175"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4C4C4C"/>
        </w:rPr>
        <w:t>Under the Delaware General Corporation Law and our bylaws, our business and affairs are managed by or under the direction of the board of directors, which selectively delegates responsibilities to its standing committees.</w:t>
      </w:r>
    </w:p>
    <w:p>
      <w:pPr>
        <w:spacing w:after="0" w:line="14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 xml:space="preserve">The board has adopted and operates under Governance Guidelines that reflect our current governance practices in accordance with applicable statutory and regulatory requirements, including those of the SEC and Nasdaq. The Governance Guidelines are available on our website at </w:t>
      </w:r>
      <w:r>
        <w:rPr>
          <w:rFonts w:ascii="Arial" w:cs="Arial" w:eastAsia="Arial" w:hAnsi="Arial"/>
          <w:sz w:val="18"/>
          <w:szCs w:val="18"/>
          <w:i w:val="1"/>
          <w:iCs w:val="1"/>
          <w:color w:val="4C4C4C"/>
        </w:rPr>
        <w:t>ir.acmrcsh.com/static-files/3446be5b-f608-4932-86c9-d9eff14ca2ac</w:t>
      </w:r>
      <w:r>
        <w:rPr>
          <w:rFonts w:ascii="Arial" w:cs="Arial" w:eastAsia="Arial" w:hAnsi="Arial"/>
          <w:sz w:val="18"/>
          <w:szCs w:val="18"/>
          <w:color w:val="4C4C4C"/>
        </w:rPr>
        <w:t>. Under the Governance Guidelines, we expect directors to</w:t>
      </w:r>
      <w:r>
        <w:rPr>
          <w:rFonts w:ascii="Arial" w:cs="Arial" w:eastAsia="Arial" w:hAnsi="Arial"/>
          <w:sz w:val="18"/>
          <w:szCs w:val="18"/>
          <w:i w:val="1"/>
          <w:iCs w:val="1"/>
          <w:color w:val="4C4C4C"/>
        </w:rPr>
        <w:t xml:space="preserve"> </w:t>
      </w:r>
      <w:r>
        <w:rPr>
          <w:rFonts w:ascii="Arial" w:cs="Arial" w:eastAsia="Arial" w:hAnsi="Arial"/>
          <w:sz w:val="18"/>
          <w:szCs w:val="18"/>
          <w:color w:val="4C4C4C"/>
        </w:rPr>
        <w:t>regularly attend meetings of the board and of all committees on which they serve and to review the materials sent to them in advance of those meetings. We expect director nominees for election at each annual meeting of stockholders to participate in the Annual Meeting. All of our current directors attended our 2021 Annual Meeting of Stockholders.</w:t>
      </w:r>
    </w:p>
    <w:p>
      <w:pPr>
        <w:spacing w:after="0" w:line="140" w:lineRule="exact"/>
        <w:rPr>
          <w:sz w:val="20"/>
          <w:szCs w:val="20"/>
          <w:color w:val="auto"/>
        </w:rPr>
      </w:pPr>
    </w:p>
    <w:p>
      <w:pPr>
        <w:jc w:val="both"/>
        <w:ind w:left="300" w:right="319"/>
        <w:spacing w:after="0" w:line="244" w:lineRule="auto"/>
        <w:rPr>
          <w:sz w:val="20"/>
          <w:szCs w:val="20"/>
          <w:color w:val="auto"/>
        </w:rPr>
      </w:pPr>
      <w:r>
        <w:rPr>
          <w:rFonts w:ascii="Arial" w:cs="Arial" w:eastAsia="Arial" w:hAnsi="Arial"/>
          <w:sz w:val="18"/>
          <w:szCs w:val="18"/>
          <w:color w:val="4C4C4C"/>
        </w:rPr>
        <w:t>The board generally expects to hold four regular meetings per year and to meet on other occasions when circumstances require. Directors spend additional time preparing for board and committee meetings, and we may call upon directors for advice between meetings. We encourage our directors to attend director education programs. The board held five meetings in 2021. All of our current directors attended all of the board meetings in 2021.</w:t>
      </w:r>
    </w:p>
    <w:p>
      <w:pPr>
        <w:spacing w:after="0" w:line="136"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4C4C4C"/>
        </w:rPr>
        <w:t>The Governance Guidelines provide that the board will meet in executive session at least twice a year without management in attendance. The Lead Director presides at each executive session.</w:t>
      </w:r>
    </w:p>
    <w:p>
      <w:pPr>
        <w:spacing w:after="0" w:line="127"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4C4C4C"/>
        </w:rPr>
        <w:t>The board maintains an audit committee, a compensation committee, and a nominating and governance committee. The board has adopted charters for each of the committees, and those charters are to be reviewed annually by the committees and the board. Our website provides access to:</w:t>
      </w:r>
    </w:p>
    <w:p>
      <w:pPr>
        <w:spacing w:after="0" w:line="61" w:lineRule="exact"/>
        <w:rPr>
          <w:sz w:val="20"/>
          <w:szCs w:val="20"/>
          <w:color w:val="auto"/>
        </w:rPr>
      </w:pPr>
    </w:p>
    <w:p>
      <w:pPr>
        <w:ind w:left="660" w:right="2279" w:hanging="368"/>
        <w:spacing w:after="0" w:line="271" w:lineRule="auto"/>
        <w:tabs>
          <w:tab w:leader="none" w:pos="651" w:val="left"/>
        </w:tabs>
        <w:numPr>
          <w:ilvl w:val="0"/>
          <w:numId w:val="31"/>
        </w:numPr>
        <w:rPr>
          <w:rFonts w:ascii="Arial" w:cs="Arial" w:eastAsia="Arial" w:hAnsi="Arial"/>
          <w:sz w:val="18"/>
          <w:szCs w:val="18"/>
          <w:color w:val="4C4C4C"/>
        </w:rPr>
      </w:pPr>
      <w:r>
        <w:rPr>
          <w:rFonts w:ascii="Arial" w:cs="Arial" w:eastAsia="Arial" w:hAnsi="Arial"/>
          <w:sz w:val="18"/>
          <w:szCs w:val="18"/>
          <w:color w:val="4C4C4C"/>
        </w:rPr>
        <w:t xml:space="preserve">the audit committee charter at: </w:t>
      </w:r>
      <w:r>
        <w:rPr>
          <w:rFonts w:ascii="Arial" w:cs="Arial" w:eastAsia="Arial" w:hAnsi="Arial"/>
          <w:sz w:val="18"/>
          <w:szCs w:val="18"/>
          <w:i w:val="1"/>
          <w:iCs w:val="1"/>
          <w:color w:val="4C4C4C"/>
        </w:rPr>
        <w:t>media.corporate-ir.net/media_files/IROL/25/254659/acm-ac-charter-final.pdf</w:t>
      </w:r>
      <w:r>
        <w:rPr>
          <w:rFonts w:ascii="Arial" w:cs="Arial" w:eastAsia="Arial" w:hAnsi="Arial"/>
          <w:sz w:val="18"/>
          <w:szCs w:val="18"/>
          <w:color w:val="4C4C4C"/>
        </w:rPr>
        <w:t>;</w:t>
      </w:r>
    </w:p>
    <w:p>
      <w:pPr>
        <w:spacing w:after="0" w:line="45" w:lineRule="exact"/>
        <w:rPr>
          <w:rFonts w:ascii="Arial" w:cs="Arial" w:eastAsia="Arial" w:hAnsi="Arial"/>
          <w:sz w:val="18"/>
          <w:szCs w:val="18"/>
          <w:color w:val="4C4C4C"/>
        </w:rPr>
      </w:pPr>
    </w:p>
    <w:p>
      <w:pPr>
        <w:ind w:left="660" w:right="1939" w:hanging="368"/>
        <w:spacing w:after="0" w:line="271" w:lineRule="auto"/>
        <w:tabs>
          <w:tab w:leader="none" w:pos="651" w:val="left"/>
        </w:tabs>
        <w:numPr>
          <w:ilvl w:val="0"/>
          <w:numId w:val="31"/>
        </w:numPr>
        <w:rPr>
          <w:rFonts w:ascii="Arial" w:cs="Arial" w:eastAsia="Arial" w:hAnsi="Arial"/>
          <w:sz w:val="18"/>
          <w:szCs w:val="18"/>
          <w:color w:val="4C4C4C"/>
        </w:rPr>
      </w:pPr>
      <w:r>
        <w:rPr>
          <w:rFonts w:ascii="Arial" w:cs="Arial" w:eastAsia="Arial" w:hAnsi="Arial"/>
          <w:sz w:val="18"/>
          <w:szCs w:val="18"/>
          <w:color w:val="4C4C4C"/>
        </w:rPr>
        <w:t xml:space="preserve">the compensation committee charter at: </w:t>
      </w:r>
      <w:r>
        <w:rPr>
          <w:rFonts w:ascii="Arial" w:cs="Arial" w:eastAsia="Arial" w:hAnsi="Arial"/>
          <w:sz w:val="18"/>
          <w:szCs w:val="18"/>
          <w:i w:val="1"/>
          <w:iCs w:val="1"/>
          <w:color w:val="4C4C4C"/>
        </w:rPr>
        <w:t>media.corporate-ir.net/media_files/IROL/25/254659/acm-cc-charter-final.pdf</w:t>
      </w:r>
      <w:r>
        <w:rPr>
          <w:rFonts w:ascii="Arial" w:cs="Arial" w:eastAsia="Arial" w:hAnsi="Arial"/>
          <w:sz w:val="18"/>
          <w:szCs w:val="18"/>
          <w:color w:val="4C4C4C"/>
        </w:rPr>
        <w:t>; and</w:t>
      </w:r>
    </w:p>
    <w:p>
      <w:pPr>
        <w:spacing w:after="0" w:line="45" w:lineRule="exact"/>
        <w:rPr>
          <w:rFonts w:ascii="Arial" w:cs="Arial" w:eastAsia="Arial" w:hAnsi="Arial"/>
          <w:sz w:val="18"/>
          <w:szCs w:val="18"/>
          <w:color w:val="4C4C4C"/>
        </w:rPr>
      </w:pPr>
    </w:p>
    <w:p>
      <w:pPr>
        <w:ind w:left="660" w:right="2839" w:hanging="368"/>
        <w:spacing w:after="0" w:line="301" w:lineRule="auto"/>
        <w:tabs>
          <w:tab w:leader="none" w:pos="651" w:val="left"/>
        </w:tabs>
        <w:numPr>
          <w:ilvl w:val="0"/>
          <w:numId w:val="31"/>
        </w:numPr>
        <w:rPr>
          <w:rFonts w:ascii="Arial" w:cs="Arial" w:eastAsia="Arial" w:hAnsi="Arial"/>
          <w:sz w:val="17"/>
          <w:szCs w:val="17"/>
          <w:color w:val="4C4C4C"/>
        </w:rPr>
      </w:pPr>
      <w:r>
        <w:rPr>
          <w:rFonts w:ascii="Arial" w:cs="Arial" w:eastAsia="Arial" w:hAnsi="Arial"/>
          <w:sz w:val="17"/>
          <w:szCs w:val="17"/>
          <w:color w:val="4C4C4C"/>
        </w:rPr>
        <w:t xml:space="preserve">the nominating and governance committee charter at: </w:t>
      </w:r>
      <w:r>
        <w:rPr>
          <w:rFonts w:ascii="Arial" w:cs="Arial" w:eastAsia="Arial" w:hAnsi="Arial"/>
          <w:sz w:val="17"/>
          <w:szCs w:val="17"/>
          <w:i w:val="1"/>
          <w:iCs w:val="1"/>
          <w:color w:val="4C4C4C"/>
        </w:rPr>
        <w:t>ir.acmrcsh.com/static-files/03f9c6d2-908e-4c59-b7da-8e227707e5a7</w:t>
      </w:r>
      <w:r>
        <w:rPr>
          <w:rFonts w:ascii="Arial" w:cs="Arial" w:eastAsia="Arial" w:hAnsi="Arial"/>
          <w:sz w:val="17"/>
          <w:szCs w:val="17"/>
          <w:color w:val="4C4C4C"/>
        </w:rPr>
        <w:t>.</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The functions and responsibilities of the committees are described in the sections below.</w:t>
      </w:r>
    </w:p>
    <w:p>
      <w:pPr>
        <w:spacing w:after="0" w:line="185"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So long as the outstanding shares of Class B common stock represent a majority of the combined voting power of Class A and Class B common stock voting together, all directors will be elected for annual terms and we will not have a classified board. If outstanding shares of Class B common stock represent less than a majority of the combined voting power of common stock at any time, we thereafter will have a classified board consisting of three classes of approximately equal size, each serving staggered three-year terms. Our directors would be allocated by the then-current board among the three classes.</w:t>
      </w:r>
    </w:p>
    <w:p>
      <w:pPr>
        <w:spacing w:after="0" w:line="138"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The board has adopted Communications Policies pursuant to which our Chief Executive Officer, our Chief Financial Officer and their designees are the only individuals authorized to communicate on our behalf with the media, industry and trade organizations, market professionals and stockholders. The Communications Policies were designed to limit the persons whose statements trigger our public disclosure obligations under Regulation FD of the SEC. By limiting the number of spokespersons, the Communications Policies help ensure that all communications to members of the public are made by persons who are fully informed about both our company and the guidelines and risks applicable to external communications, and they reduce the risk of inconsistent statements to the public.</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Independence of Directors</w:t>
      </w:r>
    </w:p>
    <w:p>
      <w:pPr>
        <w:spacing w:after="0" w:line="189"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4C4C4C"/>
        </w:rPr>
        <w:t>The board of directors must consist of a majority of independent directors not only under the requirements of Nasdaq but also under the Governance Guidelines.</w:t>
      </w:r>
    </w:p>
    <w:p>
      <w:pPr>
        <w:spacing w:after="0" w:line="113"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4C4C4C"/>
        </w:rPr>
        <w:t>Under Nasdaq rules, independent directors must comprise a majority of a listed company’s board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or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or any other board committee: (a) accept, directly or indirectly, any consulting, advisory or other compensatory fee from the listed company or any of its subsidiaries, other than compensation for board service; or (b) be an affiliated person of the listed company or any of its subsidiaries.</w:t>
      </w:r>
    </w:p>
    <w:p>
      <w:pPr>
        <w:spacing w:after="0" w:line="145"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In order to be considered independent for purposes of Rule 10C-1 under the Securities Exchange Act, each member of the compensation committee must be a member of the board of the listed company and must otherwise be independent. In determining independence requirements for members of compensation committees, the national securities exchanges and national securities associations are to consider relevant factors, including: (a) the source of compensation of a member of the board of a listed company, including any consulting, advisory or other compensatory fee paid by the listed company to such member; and (b) whether a member of the board of a listed company is affiliated with the listed company, a subsidiary of the listed company or an affiliate of a subsidiary of the listed company.</w:t>
      </w:r>
    </w:p>
    <w:p>
      <w:pPr>
        <w:spacing w:after="0" w:line="15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 xml:space="preserve">The board annually reviews the independence of all non-employee directors. In April 2018 the board established categorical standards consistent with the corporate governance standards of Nasdaq to assist the board in making determinations of the independence of board members. A copy of our Standards for Director Independence is posted on our website at </w:t>
      </w:r>
      <w:r>
        <w:rPr>
          <w:rFonts w:ascii="Arial" w:cs="Arial" w:eastAsia="Arial" w:hAnsi="Arial"/>
          <w:sz w:val="18"/>
          <w:szCs w:val="18"/>
          <w:i w:val="1"/>
          <w:iCs w:val="1"/>
          <w:color w:val="4C4C4C"/>
        </w:rPr>
        <w:t>ir.acmrcsh.com/static-files/4211086b-a968-414e-888d-007c1906489d</w:t>
      </w:r>
      <w:r>
        <w:rPr>
          <w:rFonts w:ascii="Arial" w:cs="Arial" w:eastAsia="Arial" w:hAnsi="Arial"/>
          <w:sz w:val="18"/>
          <w:szCs w:val="18"/>
          <w:color w:val="4C4C4C"/>
        </w:rPr>
        <w:t>. These categorical standards require that, to be independent, a director may not have a</w:t>
      </w:r>
      <w:r>
        <w:rPr>
          <w:rFonts w:ascii="Arial" w:cs="Arial" w:eastAsia="Arial" w:hAnsi="Arial"/>
          <w:sz w:val="18"/>
          <w:szCs w:val="18"/>
          <w:i w:val="1"/>
          <w:iCs w:val="1"/>
          <w:color w:val="4C4C4C"/>
        </w:rPr>
        <w:t xml:space="preserve"> </w:t>
      </w:r>
      <w:r>
        <w:rPr>
          <w:rFonts w:ascii="Arial" w:cs="Arial" w:eastAsia="Arial" w:hAnsi="Arial"/>
          <w:sz w:val="18"/>
          <w:szCs w:val="18"/>
          <w:color w:val="4C4C4C"/>
        </w:rPr>
        <w:t>material relationship with ACM. Even if a director meets all categorical standards for independence, the board reviews other relationships with ACM in order to conclude that each independent director has no material relationship with ACM either directly or indirectly.</w:t>
      </w:r>
    </w:p>
    <w:p>
      <w:pPr>
        <w:spacing w:after="0" w:line="140"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4C4C4C"/>
        </w:rPr>
        <w:t>Based upon information requested from and provided by each director nominee concerning the director nominee’s background, employment and affiliations, including family relationships, the board has determined that Haiping Dun, Chenming Hu and Tracy Liu, as well as new director nominee Xiao Xing, qualify as independent directors in accordance with the rules of Nasdaq and Rules 10C-1 and 10A-3 under the Securities Exchange Act. The board also determined that Yinan Xiang, who is not standing for re-election at the Annual Meeting, qualified as an independent director in accordance with the rules of Nasdaq and Rules 10C-1 and 10A-3 under the Securities Exchange Act, during her board service. The independent members of the board hold separate regularly scheduled executive session meetings at which only independent directors are present.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Code of Business Conduct</w:t>
      </w:r>
    </w:p>
    <w:p>
      <w:pPr>
        <w:spacing w:after="0" w:line="189"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 xml:space="preserve">We have a Code of Business Conduct applicable to all directors, officers and employees of ACM Research and our subsidiaries. We have posted the Code of Business Conduct on our website at </w:t>
      </w:r>
      <w:r>
        <w:rPr>
          <w:rFonts w:ascii="Arial" w:cs="Arial" w:eastAsia="Arial" w:hAnsi="Arial"/>
          <w:sz w:val="18"/>
          <w:szCs w:val="18"/>
          <w:i w:val="1"/>
          <w:iCs w:val="1"/>
          <w:color w:val="4C4C4C"/>
        </w:rPr>
        <w:t>ir.acmrcsh.com/static-files/fdff1cd1-dfea-4a25-a8a6-ae2394fa5d53</w:t>
      </w:r>
      <w:r>
        <w:rPr>
          <w:rFonts w:ascii="Arial" w:cs="Arial" w:eastAsia="Arial" w:hAnsi="Arial"/>
          <w:sz w:val="18"/>
          <w:szCs w:val="18"/>
          <w:color w:val="4C4C4C"/>
        </w:rPr>
        <w:t>. We will post any amendments to the</w:t>
      </w:r>
      <w:r>
        <w:rPr>
          <w:rFonts w:ascii="Arial" w:cs="Arial" w:eastAsia="Arial" w:hAnsi="Arial"/>
          <w:sz w:val="18"/>
          <w:szCs w:val="18"/>
          <w:i w:val="1"/>
          <w:iCs w:val="1"/>
          <w:color w:val="4C4C4C"/>
        </w:rPr>
        <w:t xml:space="preserve"> </w:t>
      </w:r>
      <w:r>
        <w:rPr>
          <w:rFonts w:ascii="Arial" w:cs="Arial" w:eastAsia="Arial" w:hAnsi="Arial"/>
          <w:sz w:val="18"/>
          <w:szCs w:val="18"/>
          <w:color w:val="4C4C4C"/>
        </w:rPr>
        <w:t>Code of Business Conduct on our website. In accordance with the requirements of the SEC and Nasdaq, we will also post waivers applicable to any of our officers or directors from provisions of the Code of Business Conduct on our website. We have not granted any such waivers to date.</w:t>
      </w:r>
    </w:p>
    <w:p>
      <w:pPr>
        <w:spacing w:after="0" w:line="138"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4C4C4C"/>
        </w:rPr>
        <w:t xml:space="preserve">We have implemented whistleblower procedures, which establish format protocols for receiving and handling complaints from employees. Any concerns regarding accounting or auditing matters reported under these procedures are to be communicated promptly to the audit committee of the board of directors. A copy of the whistleblower policy can be viewed on the investor relations portion of our website at </w:t>
      </w:r>
      <w:r>
        <w:rPr>
          <w:rFonts w:ascii="Arial" w:cs="Arial" w:eastAsia="Arial" w:hAnsi="Arial"/>
          <w:sz w:val="18"/>
          <w:szCs w:val="18"/>
          <w:i w:val="1"/>
          <w:iCs w:val="1"/>
          <w:color w:val="4C4C4C"/>
        </w:rPr>
        <w:t>https://ir.acmrcsh.com/static-files/3925389c-ac5f-4c8c-8584-53a41e78e4ce</w:t>
      </w:r>
      <w:r>
        <w:rPr>
          <w:rFonts w:ascii="Arial" w:cs="Arial" w:eastAsia="Arial" w:hAnsi="Arial"/>
          <w:sz w:val="18"/>
          <w:szCs w:val="18"/>
          <w:color w:val="4C4C4C"/>
        </w:rPr>
        <w:t>.</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Employee, Officer and Director Hedging</w:t>
      </w:r>
    </w:p>
    <w:p>
      <w:pPr>
        <w:spacing w:after="0" w:line="175"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 xml:space="preserve">It is our policy that all employees and directors, as well as their family members, must not hedge or pledge our securities they hold directly. An exception to prohibition may be granted where a person wishes to pledge our securities as collateral for a loan, upon approval by our Chief Financial Officer, if certain other conditions are met. The prohibition on hedging is included in our Restated Insider Trading Policy. A copy of our Restated Insider Trading Policy can be viewed on the investor relations portion of our website at </w:t>
      </w:r>
      <w:r>
        <w:rPr>
          <w:rFonts w:ascii="Arial" w:cs="Arial" w:eastAsia="Arial" w:hAnsi="Arial"/>
          <w:sz w:val="18"/>
          <w:szCs w:val="18"/>
          <w:i w:val="1"/>
          <w:iCs w:val="1"/>
          <w:color w:val="4C4C4C"/>
        </w:rPr>
        <w:t>https://ir.acmrcsh.com/static-files/88b7e2ab-7ac4-4f50-8935-1bef66dd52b0</w:t>
      </w:r>
      <w:r>
        <w:rPr>
          <w:rFonts w:ascii="Arial" w:cs="Arial" w:eastAsia="Arial" w:hAnsi="Arial"/>
          <w:sz w:val="18"/>
          <w:szCs w:val="18"/>
          <w:color w:val="4C4C4C"/>
        </w:rPr>
        <w:t>.</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Board Oversight of Risk</w:t>
      </w:r>
    </w:p>
    <w:p>
      <w:pPr>
        <w:spacing w:after="0" w:line="175"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4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4C4C4C"/>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Board Leadership Structure</w:t>
      </w:r>
    </w:p>
    <w:p>
      <w:pPr>
        <w:spacing w:after="0" w:line="189"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4C4C4C"/>
        </w:rPr>
        <w:t>The board of directors recognizes that it is important to determine an optimal board leadership structure to ensure the independent oversight of management as the company continues to grow. We do not have a policy on whether the offices of Chair of the Board and Chief Executive Officer should be separate and, if they are to be separate, whether the Chair of the Board should be selected from among the independent directors or should be an employee. The board has determined that it is in our best interests to have both a Chair of the Board and a Lead Director. The board has appointed David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The board believes that this is the appropriate leadership structure for us at this time and will allow the board to fulfill its role with appropriate independence.</w:t>
      </w:r>
    </w:p>
    <w:p>
      <w:pPr>
        <w:spacing w:after="0" w:line="14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4C4C4C"/>
        </w:rPr>
        <w:t>The board has concluded that our current leadership structure is appropriate at this time. The board will continue to periodically review our leadership structure, however, and may make such changes in the future as it deems appropriate.</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Audit Committee</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The principal responsibilities of the audit committee include:</w:t>
      </w:r>
    </w:p>
    <w:p>
      <w:pPr>
        <w:spacing w:after="0" w:line="104" w:lineRule="exact"/>
        <w:rPr>
          <w:sz w:val="20"/>
          <w:szCs w:val="20"/>
          <w:color w:val="auto"/>
        </w:rPr>
      </w:pPr>
    </w:p>
    <w:p>
      <w:pPr>
        <w:ind w:left="640" w:right="299" w:hanging="348"/>
        <w:spacing w:after="0" w:line="271" w:lineRule="auto"/>
        <w:tabs>
          <w:tab w:leader="none" w:pos="640" w:val="left"/>
        </w:tabs>
        <w:numPr>
          <w:ilvl w:val="0"/>
          <w:numId w:val="32"/>
        </w:numPr>
        <w:rPr>
          <w:rFonts w:ascii="Arial" w:cs="Arial" w:eastAsia="Arial" w:hAnsi="Arial"/>
          <w:sz w:val="18"/>
          <w:szCs w:val="18"/>
          <w:color w:val="4C4C4C"/>
        </w:rPr>
      </w:pPr>
      <w:r>
        <w:rPr>
          <w:rFonts w:ascii="Arial" w:cs="Arial" w:eastAsia="Arial" w:hAnsi="Arial"/>
          <w:sz w:val="18"/>
          <w:szCs w:val="18"/>
          <w:color w:val="4C4C4C"/>
        </w:rPr>
        <w:t>appointing, approving the compensation of, and assessing the independence of our registered public accounting firm;</w:t>
      </w:r>
    </w:p>
    <w:p>
      <w:pPr>
        <w:spacing w:after="0" w:line="45" w:lineRule="exact"/>
        <w:rPr>
          <w:rFonts w:ascii="Arial" w:cs="Arial" w:eastAsia="Arial" w:hAnsi="Arial"/>
          <w:sz w:val="18"/>
          <w:szCs w:val="18"/>
          <w:color w:val="4C4C4C"/>
        </w:rPr>
      </w:pPr>
    </w:p>
    <w:p>
      <w:pPr>
        <w:ind w:left="640" w:right="319" w:hanging="348"/>
        <w:spacing w:after="0" w:line="271" w:lineRule="auto"/>
        <w:tabs>
          <w:tab w:leader="none" w:pos="640" w:val="left"/>
        </w:tabs>
        <w:numPr>
          <w:ilvl w:val="0"/>
          <w:numId w:val="32"/>
        </w:numPr>
        <w:rPr>
          <w:rFonts w:ascii="Arial" w:cs="Arial" w:eastAsia="Arial" w:hAnsi="Arial"/>
          <w:sz w:val="18"/>
          <w:szCs w:val="18"/>
          <w:color w:val="4C4C4C"/>
        </w:rPr>
      </w:pPr>
      <w:r>
        <w:rPr>
          <w:rFonts w:ascii="Arial" w:cs="Arial" w:eastAsia="Arial" w:hAnsi="Arial"/>
          <w:sz w:val="18"/>
          <w:szCs w:val="18"/>
          <w:color w:val="4C4C4C"/>
        </w:rPr>
        <w:t>overseeing the work of our registered public accounting firm, including through the receipt and consideration of reports from such firm;</w:t>
      </w:r>
    </w:p>
    <w:p>
      <w:pPr>
        <w:spacing w:after="0" w:line="45" w:lineRule="exact"/>
        <w:rPr>
          <w:rFonts w:ascii="Arial" w:cs="Arial" w:eastAsia="Arial" w:hAnsi="Arial"/>
          <w:sz w:val="18"/>
          <w:szCs w:val="18"/>
          <w:color w:val="4C4C4C"/>
        </w:rPr>
      </w:pPr>
    </w:p>
    <w:p>
      <w:pPr>
        <w:ind w:left="640" w:right="319" w:hanging="348"/>
        <w:spacing w:after="0" w:line="271" w:lineRule="auto"/>
        <w:tabs>
          <w:tab w:leader="none" w:pos="640" w:val="left"/>
        </w:tabs>
        <w:numPr>
          <w:ilvl w:val="0"/>
          <w:numId w:val="32"/>
        </w:numPr>
        <w:rPr>
          <w:rFonts w:ascii="Arial" w:cs="Arial" w:eastAsia="Arial" w:hAnsi="Arial"/>
          <w:sz w:val="18"/>
          <w:szCs w:val="18"/>
          <w:color w:val="4C4C4C"/>
        </w:rPr>
      </w:pPr>
      <w:r>
        <w:rPr>
          <w:rFonts w:ascii="Arial" w:cs="Arial" w:eastAsia="Arial" w:hAnsi="Arial"/>
          <w:sz w:val="18"/>
          <w:szCs w:val="18"/>
          <w:color w:val="4C4C4C"/>
        </w:rPr>
        <w:t>reviewing and discussing with management and the registered public accounting firm our annual and quarterly financial statements and related disclosures;</w:t>
      </w:r>
    </w:p>
    <w:p>
      <w:pPr>
        <w:spacing w:after="0" w:line="45" w:lineRule="exact"/>
        <w:rPr>
          <w:rFonts w:ascii="Arial" w:cs="Arial" w:eastAsia="Arial" w:hAnsi="Arial"/>
          <w:sz w:val="18"/>
          <w:szCs w:val="18"/>
          <w:color w:val="4C4C4C"/>
        </w:rPr>
      </w:pPr>
    </w:p>
    <w:p>
      <w:pPr>
        <w:ind w:left="640" w:hanging="348"/>
        <w:spacing w:after="0"/>
        <w:tabs>
          <w:tab w:leader="none" w:pos="640" w:val="left"/>
        </w:tabs>
        <w:numPr>
          <w:ilvl w:val="0"/>
          <w:numId w:val="32"/>
        </w:numPr>
        <w:rPr>
          <w:rFonts w:ascii="Arial" w:cs="Arial" w:eastAsia="Arial" w:hAnsi="Arial"/>
          <w:sz w:val="18"/>
          <w:szCs w:val="18"/>
          <w:color w:val="4C4C4C"/>
        </w:rPr>
      </w:pPr>
      <w:r>
        <w:rPr>
          <w:rFonts w:ascii="Arial" w:cs="Arial" w:eastAsia="Arial" w:hAnsi="Arial"/>
          <w:sz w:val="18"/>
          <w:szCs w:val="18"/>
          <w:color w:val="4C4C4C"/>
        </w:rPr>
        <w:t>monitoring our internal control over financial reporting and our disclosure controls and procedures;</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32"/>
        </w:numPr>
        <w:rPr>
          <w:rFonts w:ascii="Arial" w:cs="Arial" w:eastAsia="Arial" w:hAnsi="Arial"/>
          <w:sz w:val="18"/>
          <w:szCs w:val="18"/>
          <w:color w:val="4C4C4C"/>
        </w:rPr>
      </w:pPr>
      <w:r>
        <w:rPr>
          <w:rFonts w:ascii="Arial" w:cs="Arial" w:eastAsia="Arial" w:hAnsi="Arial"/>
          <w:sz w:val="18"/>
          <w:szCs w:val="18"/>
          <w:color w:val="4C4C4C"/>
        </w:rPr>
        <w:t>meeting independently with our registered public accounting firm and management;</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32"/>
        </w:numPr>
        <w:rPr>
          <w:rFonts w:ascii="Arial" w:cs="Arial" w:eastAsia="Arial" w:hAnsi="Arial"/>
          <w:sz w:val="18"/>
          <w:szCs w:val="18"/>
          <w:color w:val="4C4C4C"/>
        </w:rPr>
      </w:pPr>
      <w:r>
        <w:rPr>
          <w:rFonts w:ascii="Arial" w:cs="Arial" w:eastAsia="Arial" w:hAnsi="Arial"/>
          <w:sz w:val="18"/>
          <w:szCs w:val="18"/>
          <w:color w:val="4C4C4C"/>
        </w:rPr>
        <w:t>furnishing the audit committee report required by SEC rules;</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32"/>
        </w:numPr>
        <w:rPr>
          <w:rFonts w:ascii="Arial" w:cs="Arial" w:eastAsia="Arial" w:hAnsi="Arial"/>
          <w:sz w:val="18"/>
          <w:szCs w:val="18"/>
          <w:color w:val="4C4C4C"/>
        </w:rPr>
      </w:pPr>
      <w:r>
        <w:rPr>
          <w:rFonts w:ascii="Arial" w:cs="Arial" w:eastAsia="Arial" w:hAnsi="Arial"/>
          <w:sz w:val="18"/>
          <w:szCs w:val="18"/>
          <w:color w:val="4C4C4C"/>
        </w:rPr>
        <w:t>reviewing and reassessing the adequacy of our conflict of interest policy; and</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32"/>
        </w:numPr>
        <w:rPr>
          <w:rFonts w:ascii="Arial" w:cs="Arial" w:eastAsia="Arial" w:hAnsi="Arial"/>
          <w:sz w:val="18"/>
          <w:szCs w:val="18"/>
          <w:color w:val="4C4C4C"/>
        </w:rPr>
      </w:pPr>
      <w:r>
        <w:rPr>
          <w:rFonts w:ascii="Arial" w:cs="Arial" w:eastAsia="Arial" w:hAnsi="Arial"/>
          <w:sz w:val="18"/>
          <w:szCs w:val="18"/>
          <w:color w:val="4C4C4C"/>
        </w:rPr>
        <w:t>overseeing our risk assessment and risk management policies.</w:t>
      </w:r>
    </w:p>
    <w:p>
      <w:pPr>
        <w:spacing w:after="0" w:line="185"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4C4C4C"/>
        </w:rPr>
        <w:t>Our independent auditor is ultimately accountable to the audit committee. The audit committee has the ultimate authority and responsibility to select, evaluate, approve terms of retention and compensation of, and, where appropriate, replace the independent auditor.</w:t>
      </w:r>
    </w:p>
    <w:p>
      <w:pPr>
        <w:spacing w:after="0" w:line="128"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4C4C4C"/>
        </w:rPr>
        <w:t>The current members of the audit committee are Tracy Liu, who serves as chair, Haiping Dun and Yinan Xiang. Ms. Liu and Dr. Dun are standing for re-election at the Annual Meeting. Subject to her election at the Annual Meeting, Xiao Xing will join the audit committee immediately following the Annual Meeting. The board of directors has determined that each of the current audit committee members, as well as Ms. Xing, is financially literate and is a “non-employee director” as defined in Rule 16b-3 promulgated under the Securities Exchange Act. The board also determined that each of the current members of the audit committee, as well as Ms. Xing, is independent, as defined in the listing standards of Nasdaq, and is an “outside director” as that term is defined in Internal Revenue Code Section 162(m). The board has also determined that Ms. Liu is an audit committee financial expert in accordance with the standards of the SEC. The audit committee held five meetings in 2021. All members attended all of the audit committee meetings held in 2021, except that Ms. Xiang attended 60% of those meetings.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Nominating and Governance Committee</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The principal responsibilities of the nominating and governance committee include:</w:t>
      </w:r>
    </w:p>
    <w:p>
      <w:pPr>
        <w:spacing w:after="0" w:line="104" w:lineRule="exact"/>
        <w:rPr>
          <w:sz w:val="20"/>
          <w:szCs w:val="20"/>
          <w:color w:val="auto"/>
        </w:rPr>
      </w:pPr>
    </w:p>
    <w:p>
      <w:pPr>
        <w:jc w:val="both"/>
        <w:ind w:left="640" w:right="319" w:hanging="348"/>
        <w:spacing w:after="0" w:line="253" w:lineRule="auto"/>
        <w:tabs>
          <w:tab w:leader="none" w:pos="640" w:val="left"/>
        </w:tabs>
        <w:numPr>
          <w:ilvl w:val="0"/>
          <w:numId w:val="33"/>
        </w:numPr>
        <w:rPr>
          <w:rFonts w:ascii="Arial" w:cs="Arial" w:eastAsia="Arial" w:hAnsi="Arial"/>
          <w:sz w:val="18"/>
          <w:szCs w:val="18"/>
          <w:color w:val="4C4C4C"/>
        </w:rPr>
      </w:pPr>
      <w:r>
        <w:rPr>
          <w:rFonts w:ascii="Arial" w:cs="Arial" w:eastAsia="Arial" w:hAnsi="Arial"/>
          <w:sz w:val="18"/>
          <w:szCs w:val="18"/>
          <w:color w:val="4C4C4C"/>
        </w:rPr>
        <w:t>identifying, evaluating, and making recommendations to the board of directors and our stockholders concerning nominees for election to the board, to each of the board’s committees and as committee chairs;</w:t>
      </w:r>
    </w:p>
    <w:p>
      <w:pPr>
        <w:spacing w:after="0" w:line="60" w:lineRule="exact"/>
        <w:rPr>
          <w:rFonts w:ascii="Arial" w:cs="Arial" w:eastAsia="Arial" w:hAnsi="Arial"/>
          <w:sz w:val="18"/>
          <w:szCs w:val="18"/>
          <w:color w:val="4C4C4C"/>
        </w:rPr>
      </w:pPr>
    </w:p>
    <w:p>
      <w:pPr>
        <w:ind w:left="640" w:right="319" w:hanging="348"/>
        <w:spacing w:after="0" w:line="271" w:lineRule="auto"/>
        <w:tabs>
          <w:tab w:leader="none" w:pos="640" w:val="left"/>
        </w:tabs>
        <w:numPr>
          <w:ilvl w:val="0"/>
          <w:numId w:val="33"/>
        </w:numPr>
        <w:rPr>
          <w:rFonts w:ascii="Arial" w:cs="Arial" w:eastAsia="Arial" w:hAnsi="Arial"/>
          <w:sz w:val="18"/>
          <w:szCs w:val="18"/>
          <w:color w:val="4C4C4C"/>
        </w:rPr>
      </w:pPr>
      <w:r>
        <w:rPr>
          <w:rFonts w:ascii="Arial" w:cs="Arial" w:eastAsia="Arial" w:hAnsi="Arial"/>
          <w:sz w:val="18"/>
          <w:szCs w:val="18"/>
          <w:color w:val="4C4C4C"/>
        </w:rPr>
        <w:t>annually reviewing the performance and effectiveness of the board and developing and overseeing a performance evaluation process;</w:t>
      </w:r>
    </w:p>
    <w:p>
      <w:pPr>
        <w:spacing w:after="0" w:line="45" w:lineRule="exact"/>
        <w:rPr>
          <w:rFonts w:ascii="Arial" w:cs="Arial" w:eastAsia="Arial" w:hAnsi="Arial"/>
          <w:sz w:val="18"/>
          <w:szCs w:val="18"/>
          <w:color w:val="4C4C4C"/>
        </w:rPr>
      </w:pPr>
    </w:p>
    <w:p>
      <w:pPr>
        <w:ind w:left="640" w:right="319" w:hanging="348"/>
        <w:spacing w:after="0" w:line="271" w:lineRule="auto"/>
        <w:tabs>
          <w:tab w:leader="none" w:pos="640" w:val="left"/>
        </w:tabs>
        <w:numPr>
          <w:ilvl w:val="0"/>
          <w:numId w:val="33"/>
        </w:numPr>
        <w:rPr>
          <w:rFonts w:ascii="Arial" w:cs="Arial" w:eastAsia="Arial" w:hAnsi="Arial"/>
          <w:sz w:val="18"/>
          <w:szCs w:val="18"/>
          <w:color w:val="4C4C4C"/>
        </w:rPr>
      </w:pPr>
      <w:r>
        <w:rPr>
          <w:rFonts w:ascii="Arial" w:cs="Arial" w:eastAsia="Arial" w:hAnsi="Arial"/>
          <w:sz w:val="18"/>
          <w:szCs w:val="18"/>
          <w:color w:val="4C4C4C"/>
        </w:rPr>
        <w:t>annually evaluating the performance of management, the board and each board committee against their duties and responsibilities relating to corporate governance;</w:t>
      </w:r>
    </w:p>
    <w:p>
      <w:pPr>
        <w:spacing w:after="0" w:line="45" w:lineRule="exact"/>
        <w:rPr>
          <w:rFonts w:ascii="Arial" w:cs="Arial" w:eastAsia="Arial" w:hAnsi="Arial"/>
          <w:sz w:val="18"/>
          <w:szCs w:val="18"/>
          <w:color w:val="4C4C4C"/>
        </w:rPr>
      </w:pPr>
    </w:p>
    <w:p>
      <w:pPr>
        <w:ind w:left="640" w:hanging="348"/>
        <w:spacing w:after="0"/>
        <w:tabs>
          <w:tab w:leader="none" w:pos="640" w:val="left"/>
        </w:tabs>
        <w:numPr>
          <w:ilvl w:val="0"/>
          <w:numId w:val="33"/>
        </w:numPr>
        <w:rPr>
          <w:rFonts w:ascii="Arial" w:cs="Arial" w:eastAsia="Arial" w:hAnsi="Arial"/>
          <w:sz w:val="18"/>
          <w:szCs w:val="18"/>
          <w:color w:val="4C4C4C"/>
        </w:rPr>
      </w:pPr>
      <w:r>
        <w:rPr>
          <w:rFonts w:ascii="Arial" w:cs="Arial" w:eastAsia="Arial" w:hAnsi="Arial"/>
          <w:sz w:val="18"/>
          <w:szCs w:val="18"/>
          <w:color w:val="4C4C4C"/>
        </w:rPr>
        <w:t>annually evaluating adequacy of our corporate governance structure, policies and procedures; and</w:t>
      </w:r>
    </w:p>
    <w:p>
      <w:pPr>
        <w:spacing w:after="0" w:line="103" w:lineRule="exact"/>
        <w:rPr>
          <w:rFonts w:ascii="Arial" w:cs="Arial" w:eastAsia="Arial" w:hAnsi="Arial"/>
          <w:sz w:val="18"/>
          <w:szCs w:val="18"/>
          <w:color w:val="4C4C4C"/>
        </w:rPr>
      </w:pPr>
    </w:p>
    <w:p>
      <w:pPr>
        <w:ind w:left="640" w:right="319" w:hanging="348"/>
        <w:spacing w:after="0" w:line="271" w:lineRule="auto"/>
        <w:tabs>
          <w:tab w:leader="none" w:pos="640" w:val="left"/>
        </w:tabs>
        <w:numPr>
          <w:ilvl w:val="0"/>
          <w:numId w:val="33"/>
        </w:numPr>
        <w:rPr>
          <w:rFonts w:ascii="Arial" w:cs="Arial" w:eastAsia="Arial" w:hAnsi="Arial"/>
          <w:sz w:val="18"/>
          <w:szCs w:val="18"/>
          <w:color w:val="4C4C4C"/>
        </w:rPr>
      </w:pPr>
      <w:r>
        <w:rPr>
          <w:rFonts w:ascii="Arial" w:cs="Arial" w:eastAsia="Arial" w:hAnsi="Arial"/>
          <w:sz w:val="18"/>
          <w:szCs w:val="18"/>
          <w:color w:val="4C4C4C"/>
        </w:rPr>
        <w:t>providing reports to the board regarding the committee’s nominations for election to the board and appointments to the board’s committees.</w:t>
      </w:r>
    </w:p>
    <w:p>
      <w:pPr>
        <w:spacing w:after="0" w:line="11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4C4C4C"/>
        </w:rPr>
        <w:t>The current members of the nominating and governance committee are Chenming Hu, who serves as chair, and Tracy Liu. Both members are standing for re-election at the Annual Meeting. The board has determined that each of Dr. Hu and Ms. Liu is independent, as defined in the listing standards of Nasdaq.</w:t>
      </w:r>
    </w:p>
    <w:p>
      <w:pPr>
        <w:spacing w:after="0" w:line="14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The nominating and governance committee has the sole authority to retain, oversee and terminate any consulting or search firm to be used to identify director candidates or assist in evaluating director compensation and to approve any such firm’s fees and retention terms. The nominating and governance committee held one meeting in 2021, which was attended by both of the members.</w:t>
      </w:r>
    </w:p>
    <w:p>
      <w:pPr>
        <w:spacing w:after="0" w:line="133"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4C4C4C"/>
        </w:rPr>
        <w:t xml:space="preserve">The nominating and governance committee will consider director nominees recommended by our stockholders in accordance with our Policy and Procedure for Stockholder Nominations to the Board adopted by the nominating and governance committee and approved by the board in April 2018, a copy of which is posted on our website at </w:t>
      </w:r>
      <w:r>
        <w:rPr>
          <w:rFonts w:ascii="Arial" w:cs="Arial" w:eastAsia="Arial" w:hAnsi="Arial"/>
          <w:sz w:val="18"/>
          <w:szCs w:val="18"/>
          <w:i w:val="1"/>
          <w:iCs w:val="1"/>
          <w:color w:val="4C4C4C"/>
        </w:rPr>
        <w:t>ir.acmrcsh.com/static-files/01b22d4f-d523-4d9e-a1ac-56030666adad</w:t>
      </w:r>
      <w:r>
        <w:rPr>
          <w:rFonts w:ascii="Arial" w:cs="Arial" w:eastAsia="Arial" w:hAnsi="Arial"/>
          <w:sz w:val="18"/>
          <w:szCs w:val="18"/>
          <w:color w:val="4C4C4C"/>
        </w:rPr>
        <w:t>. Recommendations should be submitted to our Corporate Secretary in writing at ACM Research, Inc., 42307 Osgood Road, Suite I, Fremont, California 94539, along with additional required information about the nominee and the stockholder making the recommendation. Information on qualifications for nominations to the board and procedures for stockholder nominations to the board is included below under “Proposal 1. Election of Directors—Director Qualifications” and “—Identifying and Evaluating Nominees for Directors.”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Compensation Committee</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The principal responsibilities of the compensation committee include:</w:t>
      </w:r>
    </w:p>
    <w:p>
      <w:pPr>
        <w:spacing w:after="0" w:line="104" w:lineRule="exact"/>
        <w:rPr>
          <w:sz w:val="20"/>
          <w:szCs w:val="20"/>
          <w:color w:val="auto"/>
        </w:rPr>
      </w:pPr>
    </w:p>
    <w:p>
      <w:pPr>
        <w:jc w:val="both"/>
        <w:ind w:left="640" w:right="319" w:hanging="348"/>
        <w:spacing w:after="0" w:line="253" w:lineRule="auto"/>
        <w:tabs>
          <w:tab w:leader="none" w:pos="640" w:val="left"/>
        </w:tabs>
        <w:numPr>
          <w:ilvl w:val="0"/>
          <w:numId w:val="34"/>
        </w:numPr>
        <w:rPr>
          <w:rFonts w:ascii="Arial" w:cs="Arial" w:eastAsia="Arial" w:hAnsi="Arial"/>
          <w:sz w:val="18"/>
          <w:szCs w:val="18"/>
          <w:color w:val="4C4C4C"/>
        </w:rPr>
      </w:pPr>
      <w:r>
        <w:rPr>
          <w:rFonts w:ascii="Arial" w:cs="Arial" w:eastAsia="Arial" w:hAnsi="Arial"/>
          <w:sz w:val="18"/>
          <w:szCs w:val="18"/>
          <w:color w:val="4C4C4C"/>
        </w:rPr>
        <w:t>evaluating the performance of our Chief Executive Officer and determining the Chief Executive Officer’s salary and contingent compensation based on his or her performance and other relevant criteria;</w:t>
      </w:r>
    </w:p>
    <w:p>
      <w:pPr>
        <w:spacing w:after="0" w:line="60" w:lineRule="exact"/>
        <w:rPr>
          <w:rFonts w:ascii="Arial" w:cs="Arial" w:eastAsia="Arial" w:hAnsi="Arial"/>
          <w:sz w:val="18"/>
          <w:szCs w:val="18"/>
          <w:color w:val="4C4C4C"/>
        </w:rPr>
      </w:pPr>
    </w:p>
    <w:p>
      <w:pPr>
        <w:ind w:left="640" w:right="1299" w:hanging="348"/>
        <w:spacing w:after="0" w:line="271" w:lineRule="auto"/>
        <w:tabs>
          <w:tab w:leader="none" w:pos="640" w:val="left"/>
        </w:tabs>
        <w:numPr>
          <w:ilvl w:val="0"/>
          <w:numId w:val="34"/>
        </w:numPr>
        <w:rPr>
          <w:rFonts w:ascii="Arial" w:cs="Arial" w:eastAsia="Arial" w:hAnsi="Arial"/>
          <w:sz w:val="18"/>
          <w:szCs w:val="18"/>
          <w:color w:val="4C4C4C"/>
        </w:rPr>
      </w:pPr>
      <w:r>
        <w:rPr>
          <w:rFonts w:ascii="Arial" w:cs="Arial" w:eastAsia="Arial" w:hAnsi="Arial"/>
          <w:sz w:val="18"/>
          <w:szCs w:val="18"/>
          <w:color w:val="4C4C4C"/>
        </w:rPr>
        <w:t>identifying the corporate and individual objectives governing the Chief Executive Officer’s compensation;</w:t>
      </w:r>
    </w:p>
    <w:p>
      <w:pPr>
        <w:spacing w:after="0" w:line="45" w:lineRule="exact"/>
        <w:rPr>
          <w:rFonts w:ascii="Arial" w:cs="Arial" w:eastAsia="Arial" w:hAnsi="Arial"/>
          <w:sz w:val="18"/>
          <w:szCs w:val="18"/>
          <w:color w:val="4C4C4C"/>
        </w:rPr>
      </w:pPr>
    </w:p>
    <w:p>
      <w:pPr>
        <w:ind w:left="640" w:hanging="348"/>
        <w:spacing w:after="0"/>
        <w:tabs>
          <w:tab w:leader="none" w:pos="640" w:val="left"/>
        </w:tabs>
        <w:numPr>
          <w:ilvl w:val="0"/>
          <w:numId w:val="34"/>
        </w:numPr>
        <w:rPr>
          <w:rFonts w:ascii="Arial" w:cs="Arial" w:eastAsia="Arial" w:hAnsi="Arial"/>
          <w:sz w:val="18"/>
          <w:szCs w:val="18"/>
          <w:color w:val="4C4C4C"/>
        </w:rPr>
      </w:pPr>
      <w:r>
        <w:rPr>
          <w:rFonts w:ascii="Arial" w:cs="Arial" w:eastAsia="Arial" w:hAnsi="Arial"/>
          <w:sz w:val="18"/>
          <w:szCs w:val="18"/>
          <w:color w:val="4C4C4C"/>
        </w:rPr>
        <w:t>approving the compensation of our other executive officers;</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34"/>
        </w:numPr>
        <w:rPr>
          <w:rFonts w:ascii="Arial" w:cs="Arial" w:eastAsia="Arial" w:hAnsi="Arial"/>
          <w:sz w:val="18"/>
          <w:szCs w:val="18"/>
          <w:color w:val="4C4C4C"/>
        </w:rPr>
      </w:pPr>
      <w:r>
        <w:rPr>
          <w:rFonts w:ascii="Arial" w:cs="Arial" w:eastAsia="Arial" w:hAnsi="Arial"/>
          <w:sz w:val="18"/>
          <w:szCs w:val="18"/>
          <w:color w:val="4C4C4C"/>
        </w:rPr>
        <w:t>making recommendations to the board of directors with respect to director compensation;</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34"/>
        </w:numPr>
        <w:rPr>
          <w:rFonts w:ascii="Arial" w:cs="Arial" w:eastAsia="Arial" w:hAnsi="Arial"/>
          <w:sz w:val="18"/>
          <w:szCs w:val="18"/>
          <w:color w:val="4C4C4C"/>
        </w:rPr>
      </w:pPr>
      <w:r>
        <w:rPr>
          <w:rFonts w:ascii="Arial" w:cs="Arial" w:eastAsia="Arial" w:hAnsi="Arial"/>
          <w:sz w:val="18"/>
          <w:szCs w:val="18"/>
          <w:color w:val="4C4C4C"/>
        </w:rPr>
        <w:t>reviewing and approving the terms of certain material agreements;</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34"/>
        </w:numPr>
        <w:rPr>
          <w:rFonts w:ascii="Arial" w:cs="Arial" w:eastAsia="Arial" w:hAnsi="Arial"/>
          <w:sz w:val="18"/>
          <w:szCs w:val="18"/>
          <w:color w:val="4C4C4C"/>
        </w:rPr>
      </w:pPr>
      <w:r>
        <w:rPr>
          <w:rFonts w:ascii="Arial" w:cs="Arial" w:eastAsia="Arial" w:hAnsi="Arial"/>
          <w:sz w:val="18"/>
          <w:szCs w:val="18"/>
          <w:color w:val="4C4C4C"/>
        </w:rPr>
        <w:t>overseeing and administering our equity incentive plans and employee benefit plans;</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34"/>
        </w:numPr>
        <w:rPr>
          <w:rFonts w:ascii="Arial" w:cs="Arial" w:eastAsia="Arial" w:hAnsi="Arial"/>
          <w:sz w:val="18"/>
          <w:szCs w:val="18"/>
          <w:color w:val="4C4C4C"/>
        </w:rPr>
      </w:pPr>
      <w:r>
        <w:rPr>
          <w:rFonts w:ascii="Arial" w:cs="Arial" w:eastAsia="Arial" w:hAnsi="Arial"/>
          <w:sz w:val="18"/>
          <w:szCs w:val="18"/>
          <w:color w:val="4C4C4C"/>
        </w:rPr>
        <w:t>preparing the annual compensation committee report required by SEC rules; and</w:t>
      </w:r>
    </w:p>
    <w:p>
      <w:pPr>
        <w:spacing w:after="0" w:line="103" w:lineRule="exact"/>
        <w:rPr>
          <w:rFonts w:ascii="Arial" w:cs="Arial" w:eastAsia="Arial" w:hAnsi="Arial"/>
          <w:sz w:val="18"/>
          <w:szCs w:val="18"/>
          <w:color w:val="4C4C4C"/>
        </w:rPr>
      </w:pPr>
    </w:p>
    <w:p>
      <w:pPr>
        <w:jc w:val="both"/>
        <w:ind w:left="640" w:right="299" w:hanging="348"/>
        <w:spacing w:after="0" w:line="253" w:lineRule="auto"/>
        <w:tabs>
          <w:tab w:leader="none" w:pos="640" w:val="left"/>
        </w:tabs>
        <w:numPr>
          <w:ilvl w:val="0"/>
          <w:numId w:val="34"/>
        </w:numPr>
        <w:rPr>
          <w:rFonts w:ascii="Arial" w:cs="Arial" w:eastAsia="Arial" w:hAnsi="Arial"/>
          <w:sz w:val="18"/>
          <w:szCs w:val="18"/>
          <w:color w:val="4C4C4C"/>
        </w:rPr>
      </w:pPr>
      <w:r>
        <w:rPr>
          <w:rFonts w:ascii="Arial" w:cs="Arial" w:eastAsia="Arial" w:hAnsi="Arial"/>
          <w:sz w:val="18"/>
          <w:szCs w:val="18"/>
          <w:color w:val="4C4C4C"/>
        </w:rPr>
        <w:t>conducting a review of executive officer succession planning, as necessary, reporting its findings and recommendations to the board, and working with the board in evaluating potential successors to executive officer positions.</w:t>
      </w:r>
    </w:p>
    <w:p>
      <w:pPr>
        <w:spacing w:after="0" w:line="128"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The current members of the compensation committee are Haiping Dun, who serves as chair, and Tracy Liu. Each of the compensation committee members is standing for re-election at the Annual Meeting. The board has determined that each of Dr. Dun and Ms. Liu is independent, as defined in the listing standards of Nasdaq, is a “non-employee director” as defined in Rule 16b-3 promulgated under the Securities Exchange Act and is an “outside director” as that term is defined in Internal Revenue Code Section 162(m).</w:t>
      </w:r>
    </w:p>
    <w:p>
      <w:pPr>
        <w:spacing w:after="0" w:line="15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The compensation committee held four meetings in 2021, all of which were attended by both of the members. The compensation committee has the sole authority to retain, oversee and terminate any compensation consultant to be used to assist in the evaluation of executive compensation and to approve the consultant’s fees and retention terms.</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Compensation Committee Interlocks and Insider Participation</w:t>
      </w:r>
    </w:p>
    <w:p>
      <w:pPr>
        <w:spacing w:after="0" w:line="189"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During 2021, none of the members of the compensation committee was an officer or employee of our company or our subsidiaries and none of our executive officers served as a member of the board of directors or compensation committee of any entity that has one or more executive officers serving on the board or compensation committee.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Certain Relationships and Related-Person Transactions</w:t>
      </w:r>
    </w:p>
    <w:p>
      <w:pPr>
        <w:spacing w:after="0" w:line="339"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 xml:space="preserve">In October 2017 the board of directors adopted a Conflict of Interest Policy applicable to all directors, officers and employees of our company and our subsidiaries. We have posted the Conflict of Interest Policy on our website at </w:t>
      </w:r>
      <w:r>
        <w:rPr>
          <w:rFonts w:ascii="Arial" w:cs="Arial" w:eastAsia="Arial" w:hAnsi="Arial"/>
          <w:sz w:val="18"/>
          <w:szCs w:val="18"/>
          <w:i w:val="1"/>
          <w:iCs w:val="1"/>
          <w:color w:val="4C4C4C"/>
        </w:rPr>
        <w:t>ir.acmrcsh.com/static-files/c9bb9bf0-847b-4f79-b747-bf7e5bb06994</w:t>
      </w:r>
      <w:r>
        <w:rPr>
          <w:rFonts w:ascii="Arial" w:cs="Arial" w:eastAsia="Arial" w:hAnsi="Arial"/>
          <w:sz w:val="18"/>
          <w:szCs w:val="18"/>
          <w:color w:val="4C4C4C"/>
        </w:rPr>
        <w:t>. We will post any amendments to the Conflict of Interest Policy on our website.</w:t>
      </w:r>
    </w:p>
    <w:p>
      <w:pPr>
        <w:spacing w:after="0" w:line="147"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4C4C4C"/>
        </w:rPr>
        <w:t>The Conflict of Interest Policy requires each director and executive officer, including their immediate family members, to provide written notice of any potential related-party transaction, defined by the policy to mirror the definition of Item 404 of Regulation S-K of the SEC (with the exception that the policy includes a monetary threshold of $100,000 as opposed to the threshold of $120,000 set by Item 404 of Regulation S-K) 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may approve the transaction if it determines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questionnaire in connection with each of our annual proxy statements, in which they are asked to disclose family relationships and other related-party transactions.</w:t>
      </w:r>
    </w:p>
    <w:p>
      <w:pPr>
        <w:spacing w:after="0" w:line="147"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4C4C4C"/>
        </w:rPr>
        <w:t>The following is a description of transactions since January 1, 2021 to which we have been a party, in which the amount involved exceeded or will exceed $120,000 and in which any of our directors, executive officers or beneficial owners of more than 5% of any series or class of our preferred or common stock, or an affiliate or immediate family member thereof, had or will have a direct or indirect material interest, other than compensation, termination and change-in-control arrangements. The transactions set forth below were approved by a majority of the board, including a majority of the independent and disinterested members of the board. We believe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and a majority of the members of the board, including a majority of the independent and disinterested members of the board, and are on terms no less favorable to us than those that we could obtain from unaffiliated third parties.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Issuance and Exercise of Warrant</w:t>
      </w:r>
    </w:p>
    <w:p>
      <w:pPr>
        <w:spacing w:after="0" w:line="18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7"/>
          <w:szCs w:val="17"/>
          <w:color w:val="4C4C4C"/>
        </w:rPr>
        <w:t>In December 2016 Shengxin (Shanghai) Management Consulting Limited Partnership, or SMC, paid 20,123,500 RMB (approximately $3.0 million as of the date of funding) to our operating subsidiary ACM Research (Shanghai), Inc., or ACM Shanghai, for potential investment pursuant to terms to be subsequently negotiated. SMC is a People’s Republic of China, or PRC, limited partnership owned by Jian Wang and other employees of our subsidiary ACM Shanghai. Jian Wang, who is a limited partner of SMC, is the Chief Executive Officer and President of ACM Shanghai and the brother of our Chief Executive Officer and President David Wang. Until March 31, 2020, Jian Wang also had been the General Partner of SMC, as a result of which, under the rules of the SEC, he had been deemed to beneficially own all of the shares owned by SMC and, as a result, SMC was deemed to be an affiliate of ours.</w:t>
      </w:r>
    </w:p>
    <w:p>
      <w:pPr>
        <w:spacing w:after="0" w:line="129"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4C4C4C"/>
        </w:rPr>
        <w:t>In March 2017 we issued to SMC a warrant exercisable to purchase 397,502 (pre-split) shares of Class A common stock at a price of $7.50 per share, for a total exercise price of approximately $3.0 million. The warrant was exercisable for cash or on a cashless basis, at the option of SMC, at any time on or before May 17, 2023 to acquire all, but not less than all, of the shares of Class A common stock subject to the warrant.</w:t>
      </w:r>
    </w:p>
    <w:p>
      <w:pPr>
        <w:spacing w:after="0" w:line="136"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4C4C4C"/>
        </w:rPr>
        <w:t>In March 2018 we entered into a warrant exercise agreement with ACM Shanghai and SMC pursuant to which SMC exercised the SMC warrant in full by issuance to us of a senior secured promissory note in the principal amount of approximately $3.0 million. We transferred the SMC note to ACM Shanghai, in exchange for an intercompany promissory note issued by ACM Shanghai to us in the principal amount of approximately $3.0 million, or the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Intercompany Note. Each of the two notes bore interest at a rate of 3.01% per annum and matured on August 17, 2023. As security for its performance of its obligations under its note, SMC granted to ACM Shanghai a security interest in the 397,502 (pre-split) shares of Class A common stock issued to SMC upon its exercise of the warrant.</w:t>
      </w:r>
    </w:p>
    <w:p>
      <w:pPr>
        <w:spacing w:after="0" w:line="147"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In connection with a follow-on public offering of Class A common stock in August 2019, we agreed to purchase a total of 154,821 (pre-split) of the warrant shares from SMC at a per share price of $13.195, of which (a) $1.2 million was applied to reduce SMC’s obligations to ACM Shanghai under the SMC note, and which we then withheld for our own account and applied to reduce ACM Shanghai’s obligations to us under the Intercompany Note and (b) the remaining $0.9 million was paid to SMC.</w:t>
      </w:r>
    </w:p>
    <w:p>
      <w:pPr>
        <w:spacing w:after="0" w:line="136"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In June 2019 we announced plans to complete over the following three years a listing of shares of ACM Shanghai on the Shanghai Stock Exchange’s new Sci-Tech innovAtion boaRd, known as the STAR Market, and a concurrent initial public offering, which we refer to as the STAR IPO, of ACM Shanghai shares in the PRC. In preparation for the STAR IPO, ACM Shanghai was required to terminate its financial relationship with SMC. In order to facilitate such termination, in April 2020, we entered into two agreements relating to outstanding obligations among our company, ACM Shanghai and SMC. Pursuant to such agreements: (i) ACM Shanghai assigned to us its rights under the SMC note, including the right to receive payment of approximately $1.8 million payable thereunder; (ii) ACM cancelled the outstanding obligation of approximately $1.8 million of ACM Shanghai under the Intercompany Note; (iii) SMC surrendered its remaining 242,681 (pre-split) warrant shares to us; and (iv) in exchange for such 242,681 (pre-split) warrant shares, we agreed to deliver to SMC certain consideration, which we refer to as the SMC Consideration, that we agreed upon with SMC, subject to obtaining certain PRC regulatory approvals. Under the agreements with SMC, if the required approvals are not obtained by December 31, 2023, we would cancel the SMC note as consideration for the 242,681 (pre-split) warrant shares. In a separate transaction in April 2020, ACM Shanghai repaid the remaining $1.8 million of the December 2016 SMC investment in cash.</w:t>
      </w:r>
    </w:p>
    <w:p>
      <w:pPr>
        <w:spacing w:after="0" w:line="145"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In July 2020 we entered into an amended agreement under which, in settlement of the SMC Consideration, we issued to SMC a warrant to purchase 242,681 (pre-split) shares of Class A common stock at a purchase price of $7.50 per share, and we cancelled the SMC note.</w:t>
      </w:r>
    </w:p>
    <w:p>
      <w:pPr>
        <w:spacing w:after="0" w:line="142"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In June 2021 SMC exercised the its warrant and we delivered 242,681 (pre-split) shares of Class A common stock to SMC (which reflect 728,043 shares of Class A common stock on a post-split basis).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Director and Executive Compensation and Indemnification Agreements</w:t>
      </w:r>
    </w:p>
    <w:p>
      <w:pPr>
        <w:spacing w:after="0" w:line="189"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4C4C4C"/>
        </w:rPr>
        <w:t>Please see “Director Compensation,” “Executive Compensation” and “Compensation Discussion and Analysis” for discussion of the compensation of our non-employee directors and our executive officers.</w:t>
      </w:r>
    </w:p>
    <w:p>
      <w:pPr>
        <w:spacing w:after="0" w:line="11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We have entered into indemnification agreements with our directors and executive officers. Under these agreements, we agree to indemnify, to the fullest extent permitted by Delaware law (subject to certain limitations), each of director and executive officer against any and all expenses incurred by the director or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Director Compensation</w:t>
      </w:r>
    </w:p>
    <w:p>
      <w:pPr>
        <w:spacing w:after="0" w:line="339"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Our director compensation program is intended to enhance our ability to attract, retain and motivate non-employee directors of exceptional ability and to promote the common interest of directors and stockholders in enhancing the value of the common stock. The board of directors reviews director compensation periodically based on recommendations by the compensation committee.</w:t>
      </w:r>
    </w:p>
    <w:p>
      <w:pPr>
        <w:spacing w:after="0" w:line="147"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4C4C4C"/>
        </w:rPr>
        <w:t>Directors may be reimbursed for reasonable out-of-pocket expenses incurred in attending board and committee meetings.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Fiscal Year 2021</w:t>
      </w:r>
    </w:p>
    <w:p>
      <w:pPr>
        <w:spacing w:after="0" w:line="175"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In October 2017 the board of directors adopted a director compensation policy with respect to the compensation payable to our non-employee directors, which became effective upon the completion of our initial public offering on November 7, 2017 and continued until terminated as of December 31, 2021. Under this policy, non-employee directors generally were eligible to receive compensation for board and committee service consisting of annual cash retainers and equity awards covering Class A common stock. For 2021 each of our non-employee directors was entitled to annual retainers (subject to proration for actual days served) per the following schedule, which remained unchanged from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C4C4C"/>
        </w:rPr>
        <w:t>DIRECTOR ANNUAL CASH RETAINERS</w:t>
      </w:r>
    </w:p>
    <w:p>
      <w:pPr>
        <w:spacing w:after="0" w:line="82" w:lineRule="exact"/>
        <w:rPr>
          <w:sz w:val="20"/>
          <w:szCs w:val="20"/>
          <w:color w:val="auto"/>
        </w:rPr>
      </w:pPr>
    </w:p>
    <w:tbl>
      <w:tblPr>
        <w:tblLayout w:type="fixed"/>
        <w:tblInd w:w="1380" w:type="dxa"/>
        <w:tblCellMar>
          <w:top w:w="0" w:type="dxa"/>
          <w:left w:w="0" w:type="dxa"/>
          <w:bottom w:w="0" w:type="dxa"/>
          <w:right w:w="0" w:type="dxa"/>
        </w:tblCellMar>
      </w:tblPr>
      <w:tr>
        <w:trPr>
          <w:trHeight w:val="338"/>
        </w:trPr>
        <w:tc>
          <w:tcPr>
            <w:tcW w:w="5120" w:type="dxa"/>
            <w:vAlign w:val="bottom"/>
            <w:shd w:val="clear" w:color="auto" w:fill="0D3F64"/>
          </w:tcPr>
          <w:p>
            <w:pPr>
              <w:ind w:left="20"/>
              <w:spacing w:after="0"/>
              <w:rPr>
                <w:sz w:val="20"/>
                <w:szCs w:val="20"/>
                <w:color w:val="auto"/>
              </w:rPr>
            </w:pPr>
            <w:r>
              <w:rPr>
                <w:rFonts w:ascii="Arial" w:cs="Arial" w:eastAsia="Arial" w:hAnsi="Arial"/>
                <w:sz w:val="14"/>
                <w:szCs w:val="14"/>
                <w:b w:val="1"/>
                <w:bCs w:val="1"/>
                <w:color w:val="FFFFFF"/>
              </w:rPr>
              <w:t>Position</w:t>
            </w:r>
          </w:p>
        </w:tc>
        <w:tc>
          <w:tcPr>
            <w:tcW w:w="1260" w:type="dxa"/>
            <w:vAlign w:val="bottom"/>
            <w:shd w:val="clear" w:color="auto" w:fill="0D3F64"/>
          </w:tcPr>
          <w:p>
            <w:pPr>
              <w:jc w:val="right"/>
              <w:spacing w:after="0"/>
              <w:rPr>
                <w:sz w:val="20"/>
                <w:szCs w:val="20"/>
                <w:color w:val="auto"/>
              </w:rPr>
            </w:pPr>
            <w:r>
              <w:rPr>
                <w:rFonts w:ascii="Arial" w:cs="Arial" w:eastAsia="Arial" w:hAnsi="Arial"/>
                <w:sz w:val="14"/>
                <w:szCs w:val="14"/>
                <w:b w:val="1"/>
                <w:bCs w:val="1"/>
                <w:color w:val="FFFFFF"/>
              </w:rPr>
              <w:t>Retainer</w:t>
            </w:r>
          </w:p>
        </w:tc>
      </w:tr>
      <w:tr>
        <w:trPr>
          <w:trHeight w:val="274"/>
        </w:trPr>
        <w:tc>
          <w:tcPr>
            <w:tcW w:w="5120" w:type="dxa"/>
            <w:vAlign w:val="bottom"/>
          </w:tcPr>
          <w:p>
            <w:pPr>
              <w:ind w:left="20"/>
              <w:spacing w:after="0"/>
              <w:rPr>
                <w:sz w:val="20"/>
                <w:szCs w:val="20"/>
                <w:color w:val="auto"/>
              </w:rPr>
            </w:pPr>
            <w:r>
              <w:rPr>
                <w:rFonts w:ascii="Arial" w:cs="Arial" w:eastAsia="Arial" w:hAnsi="Arial"/>
                <w:sz w:val="18"/>
                <w:szCs w:val="18"/>
                <w:color w:val="4C4C4C"/>
              </w:rPr>
              <w:t>Lead Director</w:t>
            </w:r>
          </w:p>
        </w:tc>
        <w:tc>
          <w:tcPr>
            <w:tcW w:w="1260" w:type="dxa"/>
            <w:vAlign w:val="bottom"/>
          </w:tcPr>
          <w:p>
            <w:pPr>
              <w:jc w:val="right"/>
              <w:spacing w:after="0"/>
              <w:rPr>
                <w:sz w:val="20"/>
                <w:szCs w:val="20"/>
                <w:color w:val="auto"/>
              </w:rPr>
            </w:pPr>
            <w:r>
              <w:rPr>
                <w:rFonts w:ascii="Arial" w:cs="Arial" w:eastAsia="Arial" w:hAnsi="Arial"/>
                <w:sz w:val="18"/>
                <w:szCs w:val="18"/>
                <w:color w:val="4C4C4C"/>
              </w:rPr>
              <w:t>$20,000</w:t>
            </w:r>
          </w:p>
        </w:tc>
      </w:tr>
      <w:tr>
        <w:trPr>
          <w:trHeight w:val="36"/>
        </w:trPr>
        <w:tc>
          <w:tcPr>
            <w:tcW w:w="51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91"/>
        </w:trPr>
        <w:tc>
          <w:tcPr>
            <w:tcW w:w="5120" w:type="dxa"/>
            <w:vAlign w:val="bottom"/>
            <w:tcBorders>
              <w:bottom w:val="single" w:sz="8" w:color="BAE2F8"/>
            </w:tcBorders>
            <w:shd w:val="clear" w:color="auto" w:fill="BAE2F8"/>
          </w:tcPr>
          <w:p>
            <w:pPr>
              <w:ind w:left="20"/>
              <w:spacing w:after="0"/>
              <w:rPr>
                <w:sz w:val="20"/>
                <w:szCs w:val="20"/>
                <w:color w:val="auto"/>
              </w:rPr>
            </w:pPr>
            <w:r>
              <w:rPr>
                <w:rFonts w:ascii="Arial" w:cs="Arial" w:eastAsia="Arial" w:hAnsi="Arial"/>
                <w:sz w:val="18"/>
                <w:szCs w:val="18"/>
                <w:color w:val="4C4C4C"/>
              </w:rPr>
              <w:t>Other Directors</w:t>
            </w:r>
          </w:p>
        </w:tc>
        <w:tc>
          <w:tcPr>
            <w:tcW w:w="126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15,000</w:t>
            </w:r>
          </w:p>
        </w:tc>
      </w:tr>
      <w:tr>
        <w:trPr>
          <w:trHeight w:val="274"/>
        </w:trPr>
        <w:tc>
          <w:tcPr>
            <w:tcW w:w="5120" w:type="dxa"/>
            <w:vAlign w:val="bottom"/>
          </w:tcPr>
          <w:p>
            <w:pPr>
              <w:ind w:left="20"/>
              <w:spacing w:after="0"/>
              <w:rPr>
                <w:sz w:val="20"/>
                <w:szCs w:val="20"/>
                <w:color w:val="auto"/>
              </w:rPr>
            </w:pPr>
            <w:r>
              <w:rPr>
                <w:rFonts w:ascii="Arial" w:cs="Arial" w:eastAsia="Arial" w:hAnsi="Arial"/>
                <w:sz w:val="18"/>
                <w:szCs w:val="18"/>
                <w:color w:val="4C4C4C"/>
              </w:rPr>
              <w:t>Audit Committee Chair</w:t>
            </w:r>
          </w:p>
        </w:tc>
        <w:tc>
          <w:tcPr>
            <w:tcW w:w="1260" w:type="dxa"/>
            <w:vAlign w:val="bottom"/>
          </w:tcPr>
          <w:p>
            <w:pPr>
              <w:jc w:val="right"/>
              <w:spacing w:after="0"/>
              <w:rPr>
                <w:sz w:val="20"/>
                <w:szCs w:val="20"/>
                <w:color w:val="auto"/>
              </w:rPr>
            </w:pPr>
            <w:r>
              <w:rPr>
                <w:rFonts w:ascii="Arial" w:cs="Arial" w:eastAsia="Arial" w:hAnsi="Arial"/>
                <w:sz w:val="18"/>
                <w:szCs w:val="18"/>
                <w:color w:val="4C4C4C"/>
              </w:rPr>
              <w:t>4,000</w:t>
            </w:r>
          </w:p>
        </w:tc>
      </w:tr>
      <w:tr>
        <w:trPr>
          <w:trHeight w:val="36"/>
        </w:trPr>
        <w:tc>
          <w:tcPr>
            <w:tcW w:w="51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91"/>
        </w:trPr>
        <w:tc>
          <w:tcPr>
            <w:tcW w:w="5120" w:type="dxa"/>
            <w:vAlign w:val="bottom"/>
            <w:tcBorders>
              <w:bottom w:val="single" w:sz="8" w:color="BAE2F8"/>
            </w:tcBorders>
            <w:shd w:val="clear" w:color="auto" w:fill="BAE2F8"/>
          </w:tcPr>
          <w:p>
            <w:pPr>
              <w:ind w:left="20"/>
              <w:spacing w:after="0"/>
              <w:rPr>
                <w:sz w:val="20"/>
                <w:szCs w:val="20"/>
                <w:color w:val="auto"/>
              </w:rPr>
            </w:pPr>
            <w:r>
              <w:rPr>
                <w:rFonts w:ascii="Arial" w:cs="Arial" w:eastAsia="Arial" w:hAnsi="Arial"/>
                <w:sz w:val="18"/>
                <w:szCs w:val="18"/>
                <w:color w:val="4C4C4C"/>
              </w:rPr>
              <w:t>Other Audit Committee Members</w:t>
            </w:r>
          </w:p>
        </w:tc>
        <w:tc>
          <w:tcPr>
            <w:tcW w:w="126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3,000</w:t>
            </w:r>
          </w:p>
        </w:tc>
      </w:tr>
      <w:tr>
        <w:trPr>
          <w:trHeight w:val="274"/>
        </w:trPr>
        <w:tc>
          <w:tcPr>
            <w:tcW w:w="5120" w:type="dxa"/>
            <w:vAlign w:val="bottom"/>
          </w:tcPr>
          <w:p>
            <w:pPr>
              <w:ind w:left="20"/>
              <w:spacing w:after="0"/>
              <w:rPr>
                <w:sz w:val="20"/>
                <w:szCs w:val="20"/>
                <w:color w:val="auto"/>
              </w:rPr>
            </w:pPr>
            <w:r>
              <w:rPr>
                <w:rFonts w:ascii="Arial" w:cs="Arial" w:eastAsia="Arial" w:hAnsi="Arial"/>
                <w:sz w:val="18"/>
                <w:szCs w:val="18"/>
                <w:color w:val="4C4C4C"/>
              </w:rPr>
              <w:t>Compensation Committee Chair</w:t>
            </w:r>
          </w:p>
        </w:tc>
        <w:tc>
          <w:tcPr>
            <w:tcW w:w="1260" w:type="dxa"/>
            <w:vAlign w:val="bottom"/>
          </w:tcPr>
          <w:p>
            <w:pPr>
              <w:jc w:val="right"/>
              <w:spacing w:after="0"/>
              <w:rPr>
                <w:sz w:val="20"/>
                <w:szCs w:val="20"/>
                <w:color w:val="auto"/>
              </w:rPr>
            </w:pPr>
            <w:r>
              <w:rPr>
                <w:rFonts w:ascii="Arial" w:cs="Arial" w:eastAsia="Arial" w:hAnsi="Arial"/>
                <w:sz w:val="18"/>
                <w:szCs w:val="18"/>
                <w:color w:val="4C4C4C"/>
              </w:rPr>
              <w:t>4,000</w:t>
            </w:r>
          </w:p>
        </w:tc>
      </w:tr>
      <w:tr>
        <w:trPr>
          <w:trHeight w:val="37"/>
        </w:trPr>
        <w:tc>
          <w:tcPr>
            <w:tcW w:w="51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90"/>
        </w:trPr>
        <w:tc>
          <w:tcPr>
            <w:tcW w:w="5120" w:type="dxa"/>
            <w:vAlign w:val="bottom"/>
            <w:tcBorders>
              <w:bottom w:val="single" w:sz="8" w:color="BAE2F8"/>
            </w:tcBorders>
            <w:shd w:val="clear" w:color="auto" w:fill="BAE2F8"/>
          </w:tcPr>
          <w:p>
            <w:pPr>
              <w:ind w:left="20"/>
              <w:spacing w:after="0"/>
              <w:rPr>
                <w:sz w:val="20"/>
                <w:szCs w:val="20"/>
                <w:color w:val="auto"/>
              </w:rPr>
            </w:pPr>
            <w:r>
              <w:rPr>
                <w:rFonts w:ascii="Arial" w:cs="Arial" w:eastAsia="Arial" w:hAnsi="Arial"/>
                <w:sz w:val="18"/>
                <w:szCs w:val="18"/>
                <w:color w:val="4C4C4C"/>
              </w:rPr>
              <w:t>Other Compensation Committee Members</w:t>
            </w:r>
          </w:p>
        </w:tc>
        <w:tc>
          <w:tcPr>
            <w:tcW w:w="126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3,000</w:t>
            </w:r>
          </w:p>
        </w:tc>
      </w:tr>
      <w:tr>
        <w:trPr>
          <w:trHeight w:val="274"/>
        </w:trPr>
        <w:tc>
          <w:tcPr>
            <w:tcW w:w="5120" w:type="dxa"/>
            <w:vAlign w:val="bottom"/>
          </w:tcPr>
          <w:p>
            <w:pPr>
              <w:ind w:left="20"/>
              <w:spacing w:after="0"/>
              <w:rPr>
                <w:sz w:val="20"/>
                <w:szCs w:val="20"/>
                <w:color w:val="auto"/>
              </w:rPr>
            </w:pPr>
            <w:r>
              <w:rPr>
                <w:rFonts w:ascii="Arial" w:cs="Arial" w:eastAsia="Arial" w:hAnsi="Arial"/>
                <w:sz w:val="18"/>
                <w:szCs w:val="18"/>
                <w:color w:val="4C4C4C"/>
              </w:rPr>
              <w:t>Nominating and Governance Committee Chair</w:t>
            </w:r>
          </w:p>
        </w:tc>
        <w:tc>
          <w:tcPr>
            <w:tcW w:w="1260" w:type="dxa"/>
            <w:vAlign w:val="bottom"/>
          </w:tcPr>
          <w:p>
            <w:pPr>
              <w:jc w:val="right"/>
              <w:spacing w:after="0"/>
              <w:rPr>
                <w:sz w:val="20"/>
                <w:szCs w:val="20"/>
                <w:color w:val="auto"/>
              </w:rPr>
            </w:pPr>
            <w:r>
              <w:rPr>
                <w:rFonts w:ascii="Arial" w:cs="Arial" w:eastAsia="Arial" w:hAnsi="Arial"/>
                <w:sz w:val="18"/>
                <w:szCs w:val="18"/>
                <w:color w:val="4C4C4C"/>
              </w:rPr>
              <w:t>4,000</w:t>
            </w:r>
          </w:p>
        </w:tc>
      </w:tr>
      <w:tr>
        <w:trPr>
          <w:trHeight w:val="37"/>
        </w:trPr>
        <w:tc>
          <w:tcPr>
            <w:tcW w:w="51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4"/>
        </w:trPr>
        <w:tc>
          <w:tcPr>
            <w:tcW w:w="5120" w:type="dxa"/>
            <w:vAlign w:val="bottom"/>
            <w:shd w:val="clear" w:color="auto" w:fill="BAE2F8"/>
          </w:tcPr>
          <w:p>
            <w:pPr>
              <w:ind w:left="20"/>
              <w:spacing w:after="0"/>
              <w:rPr>
                <w:sz w:val="20"/>
                <w:szCs w:val="20"/>
                <w:color w:val="auto"/>
              </w:rPr>
            </w:pPr>
            <w:r>
              <w:rPr>
                <w:rFonts w:ascii="Arial" w:cs="Arial" w:eastAsia="Arial" w:hAnsi="Arial"/>
                <w:sz w:val="18"/>
                <w:szCs w:val="18"/>
                <w:color w:val="4C4C4C"/>
              </w:rPr>
              <w:t>Other Nominating and Governance Committee Members</w:t>
            </w:r>
          </w:p>
        </w:tc>
        <w:tc>
          <w:tcPr>
            <w:tcW w:w="1260" w:type="dxa"/>
            <w:vAlign w:val="bottom"/>
            <w:shd w:val="clear" w:color="auto" w:fill="BAE2F8"/>
          </w:tcPr>
          <w:p>
            <w:pPr>
              <w:jc w:val="right"/>
              <w:spacing w:after="0"/>
              <w:rPr>
                <w:sz w:val="20"/>
                <w:szCs w:val="20"/>
                <w:color w:val="auto"/>
              </w:rPr>
            </w:pPr>
            <w:r>
              <w:rPr>
                <w:rFonts w:ascii="Arial" w:cs="Arial" w:eastAsia="Arial" w:hAnsi="Arial"/>
                <w:sz w:val="18"/>
                <w:szCs w:val="18"/>
                <w:color w:val="4C4C4C"/>
              </w:rPr>
              <w:t>3,000</w:t>
            </w:r>
          </w:p>
        </w:tc>
      </w:tr>
      <w:tr>
        <w:trPr>
          <w:trHeight w:val="37"/>
        </w:trPr>
        <w:tc>
          <w:tcPr>
            <w:tcW w:w="5120" w:type="dxa"/>
            <w:vAlign w:val="bottom"/>
            <w:shd w:val="clear" w:color="auto" w:fill="BAE2F8"/>
          </w:tcPr>
          <w:p>
            <w:pPr>
              <w:spacing w:after="0"/>
              <w:rPr>
                <w:sz w:val="3"/>
                <w:szCs w:val="3"/>
                <w:color w:val="auto"/>
              </w:rPr>
            </w:pPr>
          </w:p>
        </w:tc>
        <w:tc>
          <w:tcPr>
            <w:tcW w:w="1260" w:type="dxa"/>
            <w:vAlign w:val="bottom"/>
            <w:shd w:val="clear" w:color="auto" w:fill="BAE2F8"/>
          </w:tcPr>
          <w:p>
            <w:pPr>
              <w:spacing w:after="0"/>
              <w:rPr>
                <w:sz w:val="3"/>
                <w:szCs w:val="3"/>
                <w:color w:val="auto"/>
              </w:rPr>
            </w:pPr>
          </w:p>
        </w:tc>
      </w:tr>
    </w:tbl>
    <w:p>
      <w:pPr>
        <w:spacing w:after="0" w:line="278" w:lineRule="exact"/>
        <w:rPr>
          <w:sz w:val="20"/>
          <w:szCs w:val="20"/>
          <w:color w:val="auto"/>
        </w:rPr>
      </w:pPr>
    </w:p>
    <w:p>
      <w:pPr>
        <w:jc w:val="both"/>
        <w:ind w:left="300" w:right="319"/>
        <w:spacing w:after="0" w:line="247" w:lineRule="auto"/>
        <w:rPr>
          <w:sz w:val="20"/>
          <w:szCs w:val="20"/>
          <w:color w:val="auto"/>
        </w:rPr>
      </w:pPr>
      <w:r>
        <w:rPr>
          <w:rFonts w:ascii="Arial" w:cs="Arial" w:eastAsia="Arial" w:hAnsi="Arial"/>
          <w:sz w:val="18"/>
          <w:szCs w:val="18"/>
          <w:color w:val="4C4C4C"/>
        </w:rPr>
        <w:t>The 2017 director compensation policy contemplated that each non-employee director would be entitled to receive restricted stock units having a value of $75,000 upon the director’s initial election to the board, subject to vesting contingent upon continued board service over approximately three years. No new directors were elected in 2021, and therefore no such awards were granted in 2021.</w:t>
      </w:r>
    </w:p>
    <w:p>
      <w:pPr>
        <w:spacing w:after="0" w:line="133"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4C4C4C"/>
        </w:rPr>
        <w:t>Additionally, the 2017 director compensation policy generally contemplated that on the date of each annual meeting of stockholders, each non-employee director elected at such annual meeting would receive restricted stock units having a value of $35,000 (with the number of shares based upon the closing price of Class A common stock on Nasdaq on the date of such meeting), subject to vesting contingent upon continued board service through the following year’s annual meeting of stockholders. In February 2021 the compensation committee effectively modified such terms to provide for, in lieu of such grants of restricted stock units, grants of non-qualified stock options on February 22, 2021 to acquire 15,000 shares of Class A common stock at a price of $37.33 per share, the closing price of Class A common stock on the grant date. Such options will vest, subject to continued board service, immediately prior to the Annual Meeting.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The following table shows the total compensation for non-employee directors during 2021. David Wang, our sole executive officer who served as a member of the board during 2021, did not receive any additional compensation for service as a director in 2021. In addition, Yinan Xiang waived any right to receive annual cash retainers, annual equity compensation or other compensation in connection with her board and committee service in 2021 and therefore did not receive any compensation for service as a director in 2021.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C4C4C"/>
        </w:rPr>
        <w:t>2021 DIRECTOR COMPENSATION</w:t>
      </w:r>
    </w:p>
    <w:p>
      <w:pPr>
        <w:spacing w:after="0" w:line="95" w:lineRule="exact"/>
        <w:rPr>
          <w:sz w:val="20"/>
          <w:szCs w:val="20"/>
          <w:color w:val="auto"/>
        </w:rPr>
      </w:pPr>
    </w:p>
    <w:tbl>
      <w:tblPr>
        <w:tblLayout w:type="fixed"/>
        <w:tblInd w:w="300" w:type="dxa"/>
        <w:tblCellMar>
          <w:top w:w="0" w:type="dxa"/>
          <w:left w:w="0" w:type="dxa"/>
          <w:bottom w:w="0" w:type="dxa"/>
          <w:right w:w="0" w:type="dxa"/>
        </w:tblCellMar>
      </w:tblPr>
      <w:tr>
        <w:trPr>
          <w:trHeight w:val="274"/>
        </w:trPr>
        <w:tc>
          <w:tcPr>
            <w:tcW w:w="2360" w:type="dxa"/>
            <w:vAlign w:val="bottom"/>
            <w:shd w:val="clear" w:color="auto" w:fill="0D3F64"/>
          </w:tcPr>
          <w:p>
            <w:pPr>
              <w:spacing w:after="0"/>
              <w:rPr>
                <w:sz w:val="23"/>
                <w:szCs w:val="23"/>
                <w:color w:val="auto"/>
              </w:rPr>
            </w:pPr>
          </w:p>
        </w:tc>
        <w:tc>
          <w:tcPr>
            <w:tcW w:w="2200" w:type="dxa"/>
            <w:vAlign w:val="bottom"/>
            <w:shd w:val="clear" w:color="auto" w:fill="0D3F64"/>
          </w:tcPr>
          <w:p>
            <w:pPr>
              <w:ind w:left="760"/>
              <w:spacing w:after="0"/>
              <w:rPr>
                <w:sz w:val="20"/>
                <w:szCs w:val="20"/>
                <w:color w:val="auto"/>
              </w:rPr>
            </w:pPr>
            <w:r>
              <w:rPr>
                <w:rFonts w:ascii="Arial" w:cs="Arial" w:eastAsia="Arial" w:hAnsi="Arial"/>
                <w:sz w:val="14"/>
                <w:szCs w:val="14"/>
                <w:b w:val="1"/>
                <w:bCs w:val="1"/>
                <w:color w:val="FFFFFF"/>
              </w:rPr>
              <w:t>Fees Earned or</w:t>
            </w:r>
          </w:p>
        </w:tc>
        <w:tc>
          <w:tcPr>
            <w:tcW w:w="2140" w:type="dxa"/>
            <w:vAlign w:val="bottom"/>
            <w:shd w:val="clear" w:color="auto" w:fill="0D3F64"/>
          </w:tcPr>
          <w:p>
            <w:pPr>
              <w:spacing w:after="0"/>
              <w:rPr>
                <w:sz w:val="23"/>
                <w:szCs w:val="23"/>
                <w:color w:val="auto"/>
              </w:rPr>
            </w:pPr>
          </w:p>
        </w:tc>
        <w:tc>
          <w:tcPr>
            <w:tcW w:w="1720" w:type="dxa"/>
            <w:vAlign w:val="bottom"/>
            <w:shd w:val="clear" w:color="auto" w:fill="0D3F64"/>
          </w:tcPr>
          <w:p>
            <w:pPr>
              <w:spacing w:after="0"/>
              <w:rPr>
                <w:sz w:val="23"/>
                <w:szCs w:val="23"/>
                <w:color w:val="auto"/>
              </w:rPr>
            </w:pPr>
          </w:p>
        </w:tc>
      </w:tr>
      <w:tr>
        <w:trPr>
          <w:trHeight w:val="205"/>
        </w:trPr>
        <w:tc>
          <w:tcPr>
            <w:tcW w:w="2360" w:type="dxa"/>
            <w:vAlign w:val="bottom"/>
            <w:tcBorders>
              <w:bottom w:val="single" w:sz="8" w:color="0D3F64"/>
            </w:tcBorders>
            <w:shd w:val="clear" w:color="auto" w:fill="0D3F64"/>
          </w:tcPr>
          <w:p>
            <w:pPr>
              <w:ind w:left="60"/>
              <w:spacing w:after="0"/>
              <w:rPr>
                <w:sz w:val="20"/>
                <w:szCs w:val="20"/>
                <w:color w:val="auto"/>
              </w:rPr>
            </w:pPr>
            <w:r>
              <w:rPr>
                <w:rFonts w:ascii="Arial" w:cs="Arial" w:eastAsia="Arial" w:hAnsi="Arial"/>
                <w:sz w:val="14"/>
                <w:szCs w:val="14"/>
                <w:b w:val="1"/>
                <w:bCs w:val="1"/>
                <w:color w:val="FFFFFF"/>
              </w:rPr>
              <w:t>Director</w:t>
            </w:r>
          </w:p>
        </w:tc>
        <w:tc>
          <w:tcPr>
            <w:tcW w:w="2200" w:type="dxa"/>
            <w:vAlign w:val="bottom"/>
            <w:tcBorders>
              <w:bottom w:val="single" w:sz="8" w:color="0D3F64"/>
            </w:tcBorders>
            <w:shd w:val="clear" w:color="auto" w:fill="0D3F64"/>
          </w:tcPr>
          <w:p>
            <w:pPr>
              <w:ind w:left="760"/>
              <w:spacing w:after="0"/>
              <w:rPr>
                <w:sz w:val="20"/>
                <w:szCs w:val="20"/>
                <w:color w:val="auto"/>
              </w:rPr>
            </w:pPr>
            <w:r>
              <w:rPr>
                <w:rFonts w:ascii="Arial" w:cs="Arial" w:eastAsia="Arial" w:hAnsi="Arial"/>
                <w:sz w:val="14"/>
                <w:szCs w:val="14"/>
                <w:b w:val="1"/>
                <w:bCs w:val="1"/>
                <w:color w:val="FFFFFF"/>
              </w:rPr>
              <w:t>Paid in Cash ($)</w:t>
            </w:r>
          </w:p>
        </w:tc>
        <w:tc>
          <w:tcPr>
            <w:tcW w:w="2140" w:type="dxa"/>
            <w:vAlign w:val="bottom"/>
            <w:tcBorders>
              <w:bottom w:val="single" w:sz="8" w:color="0D3F64"/>
            </w:tcBorders>
            <w:shd w:val="clear" w:color="auto" w:fill="0D3F64"/>
          </w:tcPr>
          <w:p>
            <w:pPr>
              <w:jc w:val="right"/>
              <w:ind w:right="355"/>
              <w:spacing w:after="0"/>
              <w:rPr>
                <w:sz w:val="20"/>
                <w:szCs w:val="20"/>
                <w:color w:val="auto"/>
              </w:rPr>
            </w:pPr>
            <w:r>
              <w:rPr>
                <w:rFonts w:ascii="Arial" w:cs="Arial" w:eastAsia="Arial" w:hAnsi="Arial"/>
                <w:sz w:val="14"/>
                <w:szCs w:val="14"/>
                <w:b w:val="1"/>
                <w:bCs w:val="1"/>
                <w:color w:val="FFFFFF"/>
              </w:rPr>
              <w:t>Stock Awards ($)(1)</w:t>
            </w:r>
          </w:p>
        </w:tc>
        <w:tc>
          <w:tcPr>
            <w:tcW w:w="1720" w:type="dxa"/>
            <w:vAlign w:val="bottom"/>
            <w:tcBorders>
              <w:bottom w:val="single" w:sz="8" w:color="0D3F64"/>
            </w:tcBorders>
            <w:shd w:val="clear" w:color="auto" w:fill="0D3F64"/>
          </w:tcPr>
          <w:p>
            <w:pPr>
              <w:jc w:val="right"/>
              <w:ind w:right="575"/>
              <w:spacing w:after="0"/>
              <w:rPr>
                <w:sz w:val="20"/>
                <w:szCs w:val="20"/>
                <w:color w:val="auto"/>
              </w:rPr>
            </w:pPr>
            <w:r>
              <w:rPr>
                <w:rFonts w:ascii="Arial" w:cs="Arial" w:eastAsia="Arial" w:hAnsi="Arial"/>
                <w:sz w:val="14"/>
                <w:szCs w:val="14"/>
                <w:b w:val="1"/>
                <w:bCs w:val="1"/>
                <w:color w:val="FFFFFF"/>
              </w:rPr>
              <w:t>Total ($)</w:t>
            </w:r>
          </w:p>
        </w:tc>
      </w:tr>
      <w:tr>
        <w:trPr>
          <w:trHeight w:val="274"/>
        </w:trPr>
        <w:tc>
          <w:tcPr>
            <w:tcW w:w="2360" w:type="dxa"/>
            <w:vAlign w:val="bottom"/>
          </w:tcPr>
          <w:p>
            <w:pPr>
              <w:ind w:left="60"/>
              <w:spacing w:after="0"/>
              <w:rPr>
                <w:sz w:val="20"/>
                <w:szCs w:val="20"/>
                <w:color w:val="auto"/>
              </w:rPr>
            </w:pPr>
            <w:r>
              <w:rPr>
                <w:rFonts w:ascii="Arial" w:cs="Arial" w:eastAsia="Arial" w:hAnsi="Arial"/>
                <w:sz w:val="18"/>
                <w:szCs w:val="18"/>
                <w:color w:val="4C4C4C"/>
              </w:rPr>
              <w:t>Haiping Dun(2)</w:t>
            </w:r>
          </w:p>
        </w:tc>
        <w:tc>
          <w:tcPr>
            <w:tcW w:w="2200" w:type="dxa"/>
            <w:vAlign w:val="bottom"/>
          </w:tcPr>
          <w:p>
            <w:pPr>
              <w:jc w:val="right"/>
              <w:ind w:right="477"/>
              <w:spacing w:after="0"/>
              <w:rPr>
                <w:sz w:val="20"/>
                <w:szCs w:val="20"/>
                <w:color w:val="auto"/>
              </w:rPr>
            </w:pPr>
            <w:r>
              <w:rPr>
                <w:rFonts w:ascii="Arial" w:cs="Arial" w:eastAsia="Arial" w:hAnsi="Arial"/>
                <w:sz w:val="18"/>
                <w:szCs w:val="18"/>
                <w:color w:val="4C4C4C"/>
              </w:rPr>
              <w:t>$27,000</w:t>
            </w:r>
          </w:p>
        </w:tc>
        <w:tc>
          <w:tcPr>
            <w:tcW w:w="2140" w:type="dxa"/>
            <w:vAlign w:val="bottom"/>
          </w:tcPr>
          <w:p>
            <w:pPr>
              <w:jc w:val="right"/>
              <w:ind w:right="615"/>
              <w:spacing w:after="0"/>
              <w:rPr>
                <w:sz w:val="20"/>
                <w:szCs w:val="20"/>
                <w:color w:val="auto"/>
              </w:rPr>
            </w:pPr>
            <w:r>
              <w:rPr>
                <w:rFonts w:ascii="Arial" w:cs="Arial" w:eastAsia="Arial" w:hAnsi="Arial"/>
                <w:sz w:val="18"/>
                <w:szCs w:val="18"/>
                <w:color w:val="4C4C4C"/>
              </w:rPr>
              <w:t>$241,233</w:t>
            </w:r>
          </w:p>
        </w:tc>
        <w:tc>
          <w:tcPr>
            <w:tcW w:w="1720" w:type="dxa"/>
            <w:vAlign w:val="bottom"/>
          </w:tcPr>
          <w:p>
            <w:pPr>
              <w:jc w:val="right"/>
              <w:ind w:right="435"/>
              <w:spacing w:after="0"/>
              <w:rPr>
                <w:sz w:val="20"/>
                <w:szCs w:val="20"/>
                <w:color w:val="auto"/>
              </w:rPr>
            </w:pPr>
            <w:r>
              <w:rPr>
                <w:rFonts w:ascii="Arial" w:cs="Arial" w:eastAsia="Arial" w:hAnsi="Arial"/>
                <w:sz w:val="18"/>
                <w:szCs w:val="18"/>
                <w:color w:val="4C4C4C"/>
              </w:rPr>
              <w:t>$268,233</w:t>
            </w:r>
          </w:p>
        </w:tc>
      </w:tr>
      <w:tr>
        <w:trPr>
          <w:trHeight w:val="36"/>
        </w:trPr>
        <w:tc>
          <w:tcPr>
            <w:tcW w:w="236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91"/>
        </w:trPr>
        <w:tc>
          <w:tcPr>
            <w:tcW w:w="2360" w:type="dxa"/>
            <w:vAlign w:val="bottom"/>
            <w:tcBorders>
              <w:bottom w:val="single" w:sz="8" w:color="BAE2F8"/>
            </w:tcBorders>
            <w:shd w:val="clear" w:color="auto" w:fill="BAE2F8"/>
          </w:tcPr>
          <w:p>
            <w:pPr>
              <w:ind w:left="60"/>
              <w:spacing w:after="0"/>
              <w:rPr>
                <w:sz w:val="20"/>
                <w:szCs w:val="20"/>
                <w:color w:val="auto"/>
              </w:rPr>
            </w:pPr>
            <w:r>
              <w:rPr>
                <w:rFonts w:ascii="Arial" w:cs="Arial" w:eastAsia="Arial" w:hAnsi="Arial"/>
                <w:sz w:val="18"/>
                <w:szCs w:val="18"/>
                <w:color w:val="4C4C4C"/>
              </w:rPr>
              <w:t>Chenming C. Hu(2)</w:t>
            </w:r>
          </w:p>
        </w:tc>
        <w:tc>
          <w:tcPr>
            <w:tcW w:w="2200" w:type="dxa"/>
            <w:vAlign w:val="bottom"/>
            <w:tcBorders>
              <w:bottom w:val="single" w:sz="8" w:color="BAE2F8"/>
            </w:tcBorders>
            <w:shd w:val="clear" w:color="auto" w:fill="BAE2F8"/>
          </w:tcPr>
          <w:p>
            <w:pPr>
              <w:jc w:val="right"/>
              <w:ind w:right="497"/>
              <w:spacing w:after="0"/>
              <w:rPr>
                <w:sz w:val="20"/>
                <w:szCs w:val="20"/>
                <w:color w:val="auto"/>
              </w:rPr>
            </w:pPr>
            <w:r>
              <w:rPr>
                <w:rFonts w:ascii="Arial" w:cs="Arial" w:eastAsia="Arial" w:hAnsi="Arial"/>
                <w:sz w:val="18"/>
                <w:szCs w:val="18"/>
                <w:color w:val="4C4C4C"/>
              </w:rPr>
              <w:t>19,000</w:t>
            </w:r>
          </w:p>
        </w:tc>
        <w:tc>
          <w:tcPr>
            <w:tcW w:w="2140" w:type="dxa"/>
            <w:vAlign w:val="bottom"/>
            <w:tcBorders>
              <w:bottom w:val="single" w:sz="8" w:color="BAE2F8"/>
            </w:tcBorders>
            <w:shd w:val="clear" w:color="auto" w:fill="BAE2F8"/>
          </w:tcPr>
          <w:p>
            <w:pPr>
              <w:jc w:val="right"/>
              <w:ind w:right="635"/>
              <w:spacing w:after="0"/>
              <w:rPr>
                <w:sz w:val="20"/>
                <w:szCs w:val="20"/>
                <w:color w:val="auto"/>
              </w:rPr>
            </w:pPr>
            <w:r>
              <w:rPr>
                <w:rFonts w:ascii="Arial" w:cs="Arial" w:eastAsia="Arial" w:hAnsi="Arial"/>
                <w:sz w:val="18"/>
                <w:szCs w:val="18"/>
                <w:color w:val="4C4C4C"/>
              </w:rPr>
              <w:t>241,233</w:t>
            </w:r>
          </w:p>
        </w:tc>
        <w:tc>
          <w:tcPr>
            <w:tcW w:w="1720" w:type="dxa"/>
            <w:vAlign w:val="bottom"/>
            <w:tcBorders>
              <w:bottom w:val="single" w:sz="8" w:color="BAE2F8"/>
            </w:tcBorders>
            <w:shd w:val="clear" w:color="auto" w:fill="BAE2F8"/>
          </w:tcPr>
          <w:p>
            <w:pPr>
              <w:jc w:val="right"/>
              <w:ind w:right="455"/>
              <w:spacing w:after="0"/>
              <w:rPr>
                <w:sz w:val="20"/>
                <w:szCs w:val="20"/>
                <w:color w:val="auto"/>
              </w:rPr>
            </w:pPr>
            <w:r>
              <w:rPr>
                <w:rFonts w:ascii="Arial" w:cs="Arial" w:eastAsia="Arial" w:hAnsi="Arial"/>
                <w:sz w:val="18"/>
                <w:szCs w:val="18"/>
                <w:color w:val="4C4C4C"/>
              </w:rPr>
              <w:t>260,233</w:t>
            </w:r>
          </w:p>
        </w:tc>
      </w:tr>
      <w:tr>
        <w:trPr>
          <w:trHeight w:val="274"/>
        </w:trPr>
        <w:tc>
          <w:tcPr>
            <w:tcW w:w="2360" w:type="dxa"/>
            <w:vAlign w:val="bottom"/>
          </w:tcPr>
          <w:p>
            <w:pPr>
              <w:ind w:left="60"/>
              <w:spacing w:after="0"/>
              <w:rPr>
                <w:sz w:val="20"/>
                <w:szCs w:val="20"/>
                <w:color w:val="auto"/>
              </w:rPr>
            </w:pPr>
            <w:r>
              <w:rPr>
                <w:rFonts w:ascii="Arial" w:cs="Arial" w:eastAsia="Arial" w:hAnsi="Arial"/>
                <w:sz w:val="18"/>
                <w:szCs w:val="18"/>
                <w:color w:val="4C4C4C"/>
              </w:rPr>
              <w:t>Tracy Liu(2)</w:t>
            </w:r>
          </w:p>
        </w:tc>
        <w:tc>
          <w:tcPr>
            <w:tcW w:w="2200" w:type="dxa"/>
            <w:vAlign w:val="bottom"/>
          </w:tcPr>
          <w:p>
            <w:pPr>
              <w:jc w:val="right"/>
              <w:ind w:right="497"/>
              <w:spacing w:after="0"/>
              <w:rPr>
                <w:sz w:val="20"/>
                <w:szCs w:val="20"/>
                <w:color w:val="auto"/>
              </w:rPr>
            </w:pPr>
            <w:r>
              <w:rPr>
                <w:rFonts w:ascii="Arial" w:cs="Arial" w:eastAsia="Arial" w:hAnsi="Arial"/>
                <w:sz w:val="18"/>
                <w:szCs w:val="18"/>
                <w:color w:val="4C4C4C"/>
              </w:rPr>
              <w:t>25,000</w:t>
            </w:r>
          </w:p>
        </w:tc>
        <w:tc>
          <w:tcPr>
            <w:tcW w:w="2140" w:type="dxa"/>
            <w:vAlign w:val="bottom"/>
          </w:tcPr>
          <w:p>
            <w:pPr>
              <w:jc w:val="right"/>
              <w:ind w:right="635"/>
              <w:spacing w:after="0"/>
              <w:rPr>
                <w:sz w:val="20"/>
                <w:szCs w:val="20"/>
                <w:color w:val="auto"/>
              </w:rPr>
            </w:pPr>
            <w:r>
              <w:rPr>
                <w:rFonts w:ascii="Arial" w:cs="Arial" w:eastAsia="Arial" w:hAnsi="Arial"/>
                <w:sz w:val="18"/>
                <w:szCs w:val="18"/>
                <w:color w:val="4C4C4C"/>
              </w:rPr>
              <w:t>241,233</w:t>
            </w:r>
          </w:p>
        </w:tc>
        <w:tc>
          <w:tcPr>
            <w:tcW w:w="1720" w:type="dxa"/>
            <w:vAlign w:val="bottom"/>
          </w:tcPr>
          <w:p>
            <w:pPr>
              <w:jc w:val="right"/>
              <w:ind w:right="455"/>
              <w:spacing w:after="0"/>
              <w:rPr>
                <w:sz w:val="20"/>
                <w:szCs w:val="20"/>
                <w:color w:val="auto"/>
              </w:rPr>
            </w:pPr>
            <w:r>
              <w:rPr>
                <w:rFonts w:ascii="Arial" w:cs="Arial" w:eastAsia="Arial" w:hAnsi="Arial"/>
                <w:sz w:val="18"/>
                <w:szCs w:val="18"/>
                <w:color w:val="4C4C4C"/>
              </w:rPr>
              <w:t>266,233</w:t>
            </w:r>
          </w:p>
        </w:tc>
      </w:tr>
    </w:tbl>
    <w:p>
      <w:pPr>
        <w:spacing w:after="0" w:line="81" w:lineRule="exact"/>
        <w:rPr>
          <w:sz w:val="20"/>
          <w:szCs w:val="20"/>
          <w:color w:val="auto"/>
        </w:rPr>
      </w:pPr>
    </w:p>
    <w:p>
      <w:pPr>
        <w:jc w:val="both"/>
        <w:ind w:left="640" w:right="299" w:hanging="348"/>
        <w:spacing w:after="0" w:line="246" w:lineRule="auto"/>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The amounts shown represent the aggregate grant date fair value, determined in accordance with Financial Accounting Standards Board Accounting Standards Codification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xml:space="preserve"> of non-qualified stock options granted on February 22, 2021 to acquire, subject to vesting, a total of 15,000 shares of Class A common stock at an exercise price of $37.33 per share. The amounts do not necessarily correspond to the actual amounts that will be earned by the directors. For assumptions made in valuing these awards and related information, see Note 2 to our consolidated financial statements included in our Annual Report on Form 10-K for the fiscal year ended December 31, 2021. As of December 31, 2021, (a) Dr. Dun held stock options for 605,001 shares of Class A common stock and 69,230 shares of ACM Shanghai, (b) Dr. Hu held stock options for 15,000 shares of Class A common stock, and (c) Ms. Liu held stock options for 162,000 shares of Class A common stock. Yinan Xiang did not hold any equity awards as of such date.</w:t>
      </w:r>
    </w:p>
    <w:p>
      <w:pPr>
        <w:spacing w:after="0" w:line="26" w:lineRule="exact"/>
        <w:rPr>
          <w:rFonts w:ascii="Arial" w:cs="Arial" w:eastAsia="Arial" w:hAnsi="Arial"/>
          <w:sz w:val="14"/>
          <w:szCs w:val="14"/>
          <w:color w:val="auto"/>
        </w:rPr>
      </w:pPr>
    </w:p>
    <w:p>
      <w:pPr>
        <w:ind w:left="640" w:hanging="348"/>
        <w:spacing w:after="0"/>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Chair of a board committee during 2021.</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Fiscal Year 2022</w:t>
      </w:r>
    </w:p>
    <w:p>
      <w:pPr>
        <w:spacing w:after="0" w:line="175"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In May 2022 the board adopted a director compensation policy with respect to compensation payable to our non-employee directors for 2022. The 2022 director compensation policy was adopted by the board in the form, and with the terms, recommended by the compensation committee. In making its recommendations, the compensation committee engaged Radford, which is part of the Rewards Solutions practice at Aon plc and is the compensation committee’s independent outside compensation consultant, to assist the compensation committee to, among other things, confirming our peer group for compensation comparisons and perform an independent director compensation review.</w:t>
      </w:r>
    </w:p>
    <w:p>
      <w:pPr>
        <w:spacing w:after="0" w:line="158"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Under the 2022 director compensation policy, each non-employee director will receive compensation for board and committee service consisting of annual cash retainers and equity awards covering Class A common stock. For 2022 each of our non-employee directors will be entitled to annual retainers (subject to proration for actual days served in 2022) per the following schedule: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C4C4C"/>
        </w:rPr>
        <w:t>2022 DIRECTOR ANNUAL CASH RETAINERS</w:t>
      </w:r>
    </w:p>
    <w:p>
      <w:pPr>
        <w:spacing w:after="0" w:line="82" w:lineRule="exact"/>
        <w:rPr>
          <w:sz w:val="20"/>
          <w:szCs w:val="20"/>
          <w:color w:val="auto"/>
        </w:rPr>
      </w:pPr>
    </w:p>
    <w:tbl>
      <w:tblPr>
        <w:tblLayout w:type="fixed"/>
        <w:tblInd w:w="1380" w:type="dxa"/>
        <w:tblCellMar>
          <w:top w:w="0" w:type="dxa"/>
          <w:left w:w="0" w:type="dxa"/>
          <w:bottom w:w="0" w:type="dxa"/>
          <w:right w:w="0" w:type="dxa"/>
        </w:tblCellMar>
      </w:tblPr>
      <w:tr>
        <w:trPr>
          <w:trHeight w:val="317"/>
        </w:trPr>
        <w:tc>
          <w:tcPr>
            <w:tcW w:w="5120" w:type="dxa"/>
            <w:vAlign w:val="bottom"/>
            <w:tcBorders>
              <w:bottom w:val="single" w:sz="8" w:color="0D3F64"/>
            </w:tcBorders>
            <w:shd w:val="clear" w:color="auto" w:fill="0D3F64"/>
          </w:tcPr>
          <w:p>
            <w:pPr>
              <w:ind w:left="20"/>
              <w:spacing w:after="0"/>
              <w:rPr>
                <w:sz w:val="20"/>
                <w:szCs w:val="20"/>
                <w:color w:val="auto"/>
              </w:rPr>
            </w:pPr>
            <w:r>
              <w:rPr>
                <w:rFonts w:ascii="Arial" w:cs="Arial" w:eastAsia="Arial" w:hAnsi="Arial"/>
                <w:sz w:val="14"/>
                <w:szCs w:val="14"/>
                <w:b w:val="1"/>
                <w:bCs w:val="1"/>
                <w:color w:val="FFFFFF"/>
              </w:rPr>
              <w:t>Position</w:t>
            </w:r>
          </w:p>
        </w:tc>
        <w:tc>
          <w:tcPr>
            <w:tcW w:w="1260" w:type="dxa"/>
            <w:vAlign w:val="bottom"/>
            <w:tcBorders>
              <w:bottom w:val="single" w:sz="8" w:color="0D3F64"/>
            </w:tcBorders>
            <w:shd w:val="clear" w:color="auto" w:fill="0D3F64"/>
          </w:tcPr>
          <w:p>
            <w:pPr>
              <w:jc w:val="right"/>
              <w:spacing w:after="0"/>
              <w:rPr>
                <w:sz w:val="20"/>
                <w:szCs w:val="20"/>
                <w:color w:val="auto"/>
              </w:rPr>
            </w:pPr>
            <w:r>
              <w:rPr>
                <w:rFonts w:ascii="Arial" w:cs="Arial" w:eastAsia="Arial" w:hAnsi="Arial"/>
                <w:sz w:val="14"/>
                <w:szCs w:val="14"/>
                <w:b w:val="1"/>
                <w:bCs w:val="1"/>
                <w:color w:val="FFFFFF"/>
              </w:rPr>
              <w:t>Retainer</w:t>
            </w:r>
          </w:p>
        </w:tc>
      </w:tr>
      <w:tr>
        <w:trPr>
          <w:trHeight w:val="274"/>
        </w:trPr>
        <w:tc>
          <w:tcPr>
            <w:tcW w:w="5120" w:type="dxa"/>
            <w:vAlign w:val="bottom"/>
          </w:tcPr>
          <w:p>
            <w:pPr>
              <w:ind w:left="20"/>
              <w:spacing w:after="0"/>
              <w:rPr>
                <w:sz w:val="20"/>
                <w:szCs w:val="20"/>
                <w:color w:val="auto"/>
              </w:rPr>
            </w:pPr>
            <w:r>
              <w:rPr>
                <w:rFonts w:ascii="Arial" w:cs="Arial" w:eastAsia="Arial" w:hAnsi="Arial"/>
                <w:sz w:val="18"/>
                <w:szCs w:val="18"/>
                <w:color w:val="4C4C4C"/>
              </w:rPr>
              <w:t>Lead Director</w:t>
            </w:r>
          </w:p>
        </w:tc>
        <w:tc>
          <w:tcPr>
            <w:tcW w:w="1260" w:type="dxa"/>
            <w:vAlign w:val="bottom"/>
          </w:tcPr>
          <w:p>
            <w:pPr>
              <w:jc w:val="right"/>
              <w:spacing w:after="0"/>
              <w:rPr>
                <w:sz w:val="20"/>
                <w:szCs w:val="20"/>
                <w:color w:val="auto"/>
              </w:rPr>
            </w:pPr>
            <w:r>
              <w:rPr>
                <w:rFonts w:ascii="Arial" w:cs="Arial" w:eastAsia="Arial" w:hAnsi="Arial"/>
                <w:sz w:val="18"/>
                <w:szCs w:val="18"/>
                <w:color w:val="4C4C4C"/>
              </w:rPr>
              <w:t>$30,000</w:t>
            </w:r>
          </w:p>
        </w:tc>
      </w:tr>
      <w:tr>
        <w:trPr>
          <w:trHeight w:val="37"/>
        </w:trPr>
        <w:tc>
          <w:tcPr>
            <w:tcW w:w="51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90"/>
        </w:trPr>
        <w:tc>
          <w:tcPr>
            <w:tcW w:w="5120" w:type="dxa"/>
            <w:vAlign w:val="bottom"/>
            <w:tcBorders>
              <w:bottom w:val="single" w:sz="8" w:color="BAE2F8"/>
            </w:tcBorders>
            <w:shd w:val="clear" w:color="auto" w:fill="BAE2F8"/>
          </w:tcPr>
          <w:p>
            <w:pPr>
              <w:ind w:left="20"/>
              <w:spacing w:after="0"/>
              <w:rPr>
                <w:sz w:val="20"/>
                <w:szCs w:val="20"/>
                <w:color w:val="auto"/>
              </w:rPr>
            </w:pPr>
            <w:r>
              <w:rPr>
                <w:rFonts w:ascii="Arial" w:cs="Arial" w:eastAsia="Arial" w:hAnsi="Arial"/>
                <w:sz w:val="18"/>
                <w:szCs w:val="18"/>
                <w:color w:val="4C4C4C"/>
              </w:rPr>
              <w:t>Other Directors</w:t>
            </w:r>
          </w:p>
        </w:tc>
        <w:tc>
          <w:tcPr>
            <w:tcW w:w="126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22,500</w:t>
            </w:r>
          </w:p>
        </w:tc>
      </w:tr>
      <w:tr>
        <w:trPr>
          <w:trHeight w:val="274"/>
        </w:trPr>
        <w:tc>
          <w:tcPr>
            <w:tcW w:w="5120" w:type="dxa"/>
            <w:vAlign w:val="bottom"/>
          </w:tcPr>
          <w:p>
            <w:pPr>
              <w:ind w:left="20"/>
              <w:spacing w:after="0"/>
              <w:rPr>
                <w:sz w:val="20"/>
                <w:szCs w:val="20"/>
                <w:color w:val="auto"/>
              </w:rPr>
            </w:pPr>
            <w:r>
              <w:rPr>
                <w:rFonts w:ascii="Arial" w:cs="Arial" w:eastAsia="Arial" w:hAnsi="Arial"/>
                <w:sz w:val="18"/>
                <w:szCs w:val="18"/>
                <w:color w:val="4C4C4C"/>
              </w:rPr>
              <w:t>Audit Committee Chair</w:t>
            </w:r>
          </w:p>
        </w:tc>
        <w:tc>
          <w:tcPr>
            <w:tcW w:w="1260" w:type="dxa"/>
            <w:vAlign w:val="bottom"/>
          </w:tcPr>
          <w:p>
            <w:pPr>
              <w:jc w:val="right"/>
              <w:spacing w:after="0"/>
              <w:rPr>
                <w:sz w:val="20"/>
                <w:szCs w:val="20"/>
                <w:color w:val="auto"/>
              </w:rPr>
            </w:pPr>
            <w:r>
              <w:rPr>
                <w:rFonts w:ascii="Arial" w:cs="Arial" w:eastAsia="Arial" w:hAnsi="Arial"/>
                <w:sz w:val="18"/>
                <w:szCs w:val="18"/>
                <w:color w:val="4C4C4C"/>
              </w:rPr>
              <w:t>6,000</w:t>
            </w:r>
          </w:p>
        </w:tc>
      </w:tr>
      <w:tr>
        <w:trPr>
          <w:trHeight w:val="37"/>
        </w:trPr>
        <w:tc>
          <w:tcPr>
            <w:tcW w:w="51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90"/>
        </w:trPr>
        <w:tc>
          <w:tcPr>
            <w:tcW w:w="5120" w:type="dxa"/>
            <w:vAlign w:val="bottom"/>
            <w:tcBorders>
              <w:bottom w:val="single" w:sz="8" w:color="BAE2F8"/>
            </w:tcBorders>
            <w:shd w:val="clear" w:color="auto" w:fill="BAE2F8"/>
          </w:tcPr>
          <w:p>
            <w:pPr>
              <w:ind w:left="20"/>
              <w:spacing w:after="0"/>
              <w:rPr>
                <w:sz w:val="20"/>
                <w:szCs w:val="20"/>
                <w:color w:val="auto"/>
              </w:rPr>
            </w:pPr>
            <w:r>
              <w:rPr>
                <w:rFonts w:ascii="Arial" w:cs="Arial" w:eastAsia="Arial" w:hAnsi="Arial"/>
                <w:sz w:val="18"/>
                <w:szCs w:val="18"/>
                <w:color w:val="4C4C4C"/>
              </w:rPr>
              <w:t>Other Audit Committee Members</w:t>
            </w:r>
          </w:p>
        </w:tc>
        <w:tc>
          <w:tcPr>
            <w:tcW w:w="126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4,500</w:t>
            </w:r>
          </w:p>
        </w:tc>
      </w:tr>
      <w:tr>
        <w:trPr>
          <w:trHeight w:val="274"/>
        </w:trPr>
        <w:tc>
          <w:tcPr>
            <w:tcW w:w="5120" w:type="dxa"/>
            <w:vAlign w:val="bottom"/>
          </w:tcPr>
          <w:p>
            <w:pPr>
              <w:ind w:left="20"/>
              <w:spacing w:after="0"/>
              <w:rPr>
                <w:sz w:val="20"/>
                <w:szCs w:val="20"/>
                <w:color w:val="auto"/>
              </w:rPr>
            </w:pPr>
            <w:r>
              <w:rPr>
                <w:rFonts w:ascii="Arial" w:cs="Arial" w:eastAsia="Arial" w:hAnsi="Arial"/>
                <w:sz w:val="18"/>
                <w:szCs w:val="18"/>
                <w:color w:val="4C4C4C"/>
              </w:rPr>
              <w:t>Compensation Committee Chair</w:t>
            </w:r>
          </w:p>
        </w:tc>
        <w:tc>
          <w:tcPr>
            <w:tcW w:w="1260" w:type="dxa"/>
            <w:vAlign w:val="bottom"/>
          </w:tcPr>
          <w:p>
            <w:pPr>
              <w:jc w:val="right"/>
              <w:spacing w:after="0"/>
              <w:rPr>
                <w:sz w:val="20"/>
                <w:szCs w:val="20"/>
                <w:color w:val="auto"/>
              </w:rPr>
            </w:pPr>
            <w:r>
              <w:rPr>
                <w:rFonts w:ascii="Arial" w:cs="Arial" w:eastAsia="Arial" w:hAnsi="Arial"/>
                <w:sz w:val="18"/>
                <w:szCs w:val="18"/>
                <w:color w:val="4C4C4C"/>
              </w:rPr>
              <w:t>6,000</w:t>
            </w:r>
          </w:p>
        </w:tc>
      </w:tr>
      <w:tr>
        <w:trPr>
          <w:trHeight w:val="37"/>
        </w:trPr>
        <w:tc>
          <w:tcPr>
            <w:tcW w:w="51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90"/>
        </w:trPr>
        <w:tc>
          <w:tcPr>
            <w:tcW w:w="5120" w:type="dxa"/>
            <w:vAlign w:val="bottom"/>
            <w:tcBorders>
              <w:bottom w:val="single" w:sz="8" w:color="BAE2F8"/>
            </w:tcBorders>
            <w:shd w:val="clear" w:color="auto" w:fill="BAE2F8"/>
          </w:tcPr>
          <w:p>
            <w:pPr>
              <w:ind w:left="20"/>
              <w:spacing w:after="0"/>
              <w:rPr>
                <w:sz w:val="20"/>
                <w:szCs w:val="20"/>
                <w:color w:val="auto"/>
              </w:rPr>
            </w:pPr>
            <w:r>
              <w:rPr>
                <w:rFonts w:ascii="Arial" w:cs="Arial" w:eastAsia="Arial" w:hAnsi="Arial"/>
                <w:sz w:val="18"/>
                <w:szCs w:val="18"/>
                <w:color w:val="4C4C4C"/>
              </w:rPr>
              <w:t>Other Compensation Committee Members</w:t>
            </w:r>
          </w:p>
        </w:tc>
        <w:tc>
          <w:tcPr>
            <w:tcW w:w="126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4,500</w:t>
            </w:r>
          </w:p>
        </w:tc>
      </w:tr>
      <w:tr>
        <w:trPr>
          <w:trHeight w:val="274"/>
        </w:trPr>
        <w:tc>
          <w:tcPr>
            <w:tcW w:w="5120" w:type="dxa"/>
            <w:vAlign w:val="bottom"/>
          </w:tcPr>
          <w:p>
            <w:pPr>
              <w:ind w:left="20"/>
              <w:spacing w:after="0"/>
              <w:rPr>
                <w:sz w:val="20"/>
                <w:szCs w:val="20"/>
                <w:color w:val="auto"/>
              </w:rPr>
            </w:pPr>
            <w:r>
              <w:rPr>
                <w:rFonts w:ascii="Arial" w:cs="Arial" w:eastAsia="Arial" w:hAnsi="Arial"/>
                <w:sz w:val="18"/>
                <w:szCs w:val="18"/>
                <w:color w:val="4C4C4C"/>
              </w:rPr>
              <w:t>Nominating and Governance Committee Chair</w:t>
            </w:r>
          </w:p>
        </w:tc>
        <w:tc>
          <w:tcPr>
            <w:tcW w:w="1260" w:type="dxa"/>
            <w:vAlign w:val="bottom"/>
          </w:tcPr>
          <w:p>
            <w:pPr>
              <w:jc w:val="right"/>
              <w:spacing w:after="0"/>
              <w:rPr>
                <w:sz w:val="20"/>
                <w:szCs w:val="20"/>
                <w:color w:val="auto"/>
              </w:rPr>
            </w:pPr>
            <w:r>
              <w:rPr>
                <w:rFonts w:ascii="Arial" w:cs="Arial" w:eastAsia="Arial" w:hAnsi="Arial"/>
                <w:sz w:val="18"/>
                <w:szCs w:val="18"/>
                <w:color w:val="4C4C4C"/>
              </w:rPr>
              <w:t>6,000</w:t>
            </w:r>
          </w:p>
        </w:tc>
      </w:tr>
      <w:tr>
        <w:trPr>
          <w:trHeight w:val="36"/>
        </w:trPr>
        <w:tc>
          <w:tcPr>
            <w:tcW w:w="51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4"/>
        </w:trPr>
        <w:tc>
          <w:tcPr>
            <w:tcW w:w="5120" w:type="dxa"/>
            <w:vAlign w:val="bottom"/>
            <w:shd w:val="clear" w:color="auto" w:fill="BAE2F8"/>
          </w:tcPr>
          <w:p>
            <w:pPr>
              <w:ind w:left="20"/>
              <w:spacing w:after="0"/>
              <w:rPr>
                <w:sz w:val="20"/>
                <w:szCs w:val="20"/>
                <w:color w:val="auto"/>
              </w:rPr>
            </w:pPr>
            <w:r>
              <w:rPr>
                <w:rFonts w:ascii="Arial" w:cs="Arial" w:eastAsia="Arial" w:hAnsi="Arial"/>
                <w:sz w:val="18"/>
                <w:szCs w:val="18"/>
                <w:color w:val="4C4C4C"/>
              </w:rPr>
              <w:t>Other Nominating and Governance Committee Members</w:t>
            </w:r>
          </w:p>
        </w:tc>
        <w:tc>
          <w:tcPr>
            <w:tcW w:w="1260" w:type="dxa"/>
            <w:vAlign w:val="bottom"/>
            <w:shd w:val="clear" w:color="auto" w:fill="BAE2F8"/>
          </w:tcPr>
          <w:p>
            <w:pPr>
              <w:jc w:val="right"/>
              <w:spacing w:after="0"/>
              <w:rPr>
                <w:sz w:val="20"/>
                <w:szCs w:val="20"/>
                <w:color w:val="auto"/>
              </w:rPr>
            </w:pPr>
            <w:r>
              <w:rPr>
                <w:rFonts w:ascii="Arial" w:cs="Arial" w:eastAsia="Arial" w:hAnsi="Arial"/>
                <w:sz w:val="18"/>
                <w:szCs w:val="18"/>
                <w:color w:val="4C4C4C"/>
              </w:rPr>
              <w:t>4,500</w:t>
            </w:r>
          </w:p>
        </w:tc>
      </w:tr>
      <w:tr>
        <w:trPr>
          <w:trHeight w:val="36"/>
        </w:trPr>
        <w:tc>
          <w:tcPr>
            <w:tcW w:w="5120" w:type="dxa"/>
            <w:vAlign w:val="bottom"/>
            <w:shd w:val="clear" w:color="auto" w:fill="BAE2F8"/>
          </w:tcPr>
          <w:p>
            <w:pPr>
              <w:spacing w:after="0"/>
              <w:rPr>
                <w:sz w:val="3"/>
                <w:szCs w:val="3"/>
                <w:color w:val="auto"/>
              </w:rPr>
            </w:pPr>
          </w:p>
        </w:tc>
        <w:tc>
          <w:tcPr>
            <w:tcW w:w="1260" w:type="dxa"/>
            <w:vAlign w:val="bottom"/>
            <w:shd w:val="clear" w:color="auto" w:fill="BAE2F8"/>
          </w:tcPr>
          <w:p>
            <w:pPr>
              <w:spacing w:after="0"/>
              <w:rPr>
                <w:sz w:val="3"/>
                <w:szCs w:val="3"/>
                <w:color w:val="auto"/>
              </w:rPr>
            </w:pPr>
          </w:p>
        </w:tc>
      </w:tr>
    </w:tbl>
    <w:p>
      <w:pPr>
        <w:spacing w:after="0" w:line="265"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4C4C4C"/>
        </w:rPr>
        <w:t>The 2022 director compensation policy provides that each non-employee director elected at the Annual Meeting will be granted, as of the date of the Annual Meeting, a non-qualified stock option to acquire 24,000 shares of Class A common stock at a price equal to the closing price of Class A common stock on the date of the Annual Meeting. Each such option will, subject to continued board service, vest in full immediately prior to the 2023 annual meeting of stockholders.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 xml:space="preserve">Proposal </w:t>
      </w:r>
      <w:r>
        <w:rPr>
          <w:sz w:val="1"/>
          <w:szCs w:val="1"/>
          <w:color w:val="auto"/>
        </w:rPr>
        <w:drawing>
          <wp:inline distT="0" distB="0" distL="0" distR="0">
            <wp:extent cx="248285" cy="24828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25"/>
          <w:szCs w:val="25"/>
          <w:b w:val="1"/>
          <w:bCs w:val="1"/>
          <w:color w:val="0D3F64"/>
        </w:rPr>
        <w:t> — Election of Directors</w:t>
      </w:r>
    </w:p>
    <w:p>
      <w:pPr>
        <w:spacing w:after="0" w:line="279"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4C4C4C"/>
        </w:rPr>
        <w:t>At the Annual Meeting, stockholders will elect the entire board of directors to serve for the ensuing year and until their successors are elected and qualified. The board has designated as nominees for election the five persons named below, four of whom currently serve as directors. Shares of common stock that are voted as recommended by the board will be voted in favor of the election as directors of the nominees named below.</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Director Qualifications</w:t>
      </w:r>
    </w:p>
    <w:p>
      <w:pPr>
        <w:spacing w:after="0" w:line="189"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4C4C4C"/>
        </w:rPr>
        <w:t xml:space="preserve">The board of directors has determined that, as a whole, it must have the right mix of characteristics, skills and diversity to provide effective oversight of our company. The nominating and governance committee has adopted Qualifications for Nomination to the board, a copy of which is posted on our website at </w:t>
      </w:r>
      <w:r>
        <w:rPr>
          <w:rFonts w:ascii="Arial" w:cs="Arial" w:eastAsia="Arial" w:hAnsi="Arial"/>
          <w:sz w:val="18"/>
          <w:szCs w:val="18"/>
          <w:i w:val="1"/>
          <w:iCs w:val="1"/>
          <w:color w:val="4C4C4C"/>
        </w:rPr>
        <w:t xml:space="preserve">ir.acmrcsh.com/static-files/004a4a5a-21c9-4a24-9dc0-d3d55006cde6. </w:t>
      </w:r>
      <w:r>
        <w:rPr>
          <w:rFonts w:ascii="Arial" w:cs="Arial" w:eastAsia="Arial" w:hAnsi="Arial"/>
          <w:sz w:val="18"/>
          <w:szCs w:val="18"/>
          <w:color w:val="4C4C4C"/>
        </w:rPr>
        <w:t>The Qualifications for Nomination</w:t>
      </w:r>
      <w:r>
        <w:rPr>
          <w:rFonts w:ascii="Arial" w:cs="Arial" w:eastAsia="Arial" w:hAnsi="Arial"/>
          <w:sz w:val="18"/>
          <w:szCs w:val="18"/>
          <w:i w:val="1"/>
          <w:iCs w:val="1"/>
          <w:color w:val="4C4C4C"/>
        </w:rPr>
        <w:t xml:space="preserve"> </w:t>
      </w:r>
      <w:r>
        <w:rPr>
          <w:rFonts w:ascii="Arial" w:cs="Arial" w:eastAsia="Arial" w:hAnsi="Arial"/>
          <w:sz w:val="18"/>
          <w:szCs w:val="18"/>
          <w:color w:val="4C4C4C"/>
        </w:rPr>
        <w:t>provide that, in selecting directors, the board should seek to achieve a mix of directors that enhances the diversity of background, skills and experience on the board, including with respect to age, gender, international background, ethnicity and specialized experience. Directors should have relevant expertise and experience and be able to offer advice and guidance to our Chief Executive Officer based on that expertise and experience. Also, a majority of directors should be independent under applicable Nasdaq listing standards, board and committee guidelines, and applicable laws and regulations. Each director is also expected to:</w:t>
      </w:r>
    </w:p>
    <w:p>
      <w:pPr>
        <w:spacing w:after="0" w:line="78" w:lineRule="exact"/>
        <w:rPr>
          <w:sz w:val="20"/>
          <w:szCs w:val="20"/>
          <w:color w:val="auto"/>
        </w:rPr>
      </w:pPr>
    </w:p>
    <w:p>
      <w:pPr>
        <w:ind w:left="640" w:hanging="348"/>
        <w:spacing w:after="0"/>
        <w:tabs>
          <w:tab w:leader="none" w:pos="640" w:val="left"/>
        </w:tabs>
        <w:numPr>
          <w:ilvl w:val="0"/>
          <w:numId w:val="36"/>
        </w:numPr>
        <w:rPr>
          <w:rFonts w:ascii="Arial" w:cs="Arial" w:eastAsia="Arial" w:hAnsi="Arial"/>
          <w:sz w:val="18"/>
          <w:szCs w:val="18"/>
          <w:color w:val="4C4C4C"/>
        </w:rPr>
      </w:pPr>
      <w:r>
        <w:rPr>
          <w:rFonts w:ascii="Arial" w:cs="Arial" w:eastAsia="Arial" w:hAnsi="Arial"/>
          <w:sz w:val="18"/>
          <w:szCs w:val="18"/>
          <w:color w:val="4C4C4C"/>
        </w:rPr>
        <w:t>be of the highest ethical character and share our values as reflected in our Code of Conduct;</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36"/>
        </w:numPr>
        <w:rPr>
          <w:rFonts w:ascii="Arial" w:cs="Arial" w:eastAsia="Arial" w:hAnsi="Arial"/>
          <w:sz w:val="18"/>
          <w:szCs w:val="18"/>
          <w:color w:val="4C4C4C"/>
        </w:rPr>
      </w:pPr>
      <w:r>
        <w:rPr>
          <w:rFonts w:ascii="Arial" w:cs="Arial" w:eastAsia="Arial" w:hAnsi="Arial"/>
          <w:sz w:val="18"/>
          <w:szCs w:val="18"/>
          <w:color w:val="4C4C4C"/>
        </w:rPr>
        <w:t>be highly accomplished in his or her field, with superior credentials and recognition;</w:t>
      </w:r>
    </w:p>
    <w:p>
      <w:pPr>
        <w:spacing w:after="0" w:line="103" w:lineRule="exact"/>
        <w:rPr>
          <w:rFonts w:ascii="Arial" w:cs="Arial" w:eastAsia="Arial" w:hAnsi="Arial"/>
          <w:sz w:val="18"/>
          <w:szCs w:val="18"/>
          <w:color w:val="4C4C4C"/>
        </w:rPr>
      </w:pPr>
    </w:p>
    <w:p>
      <w:pPr>
        <w:ind w:left="640" w:right="319" w:hanging="348"/>
        <w:spacing w:after="0" w:line="271" w:lineRule="auto"/>
        <w:tabs>
          <w:tab w:leader="none" w:pos="640" w:val="left"/>
        </w:tabs>
        <w:numPr>
          <w:ilvl w:val="0"/>
          <w:numId w:val="36"/>
        </w:numPr>
        <w:rPr>
          <w:rFonts w:ascii="Arial" w:cs="Arial" w:eastAsia="Arial" w:hAnsi="Arial"/>
          <w:sz w:val="18"/>
          <w:szCs w:val="18"/>
          <w:color w:val="4C4C4C"/>
        </w:rPr>
      </w:pPr>
      <w:r>
        <w:rPr>
          <w:rFonts w:ascii="Arial" w:cs="Arial" w:eastAsia="Arial" w:hAnsi="Arial"/>
          <w:sz w:val="18"/>
          <w:szCs w:val="18"/>
          <w:color w:val="4C4C4C"/>
        </w:rPr>
        <w:t>have sound business judgment, be able to work effectively with others, have sufficient time to devote to our affairs, and be free from conflicts of interest; and</w:t>
      </w:r>
    </w:p>
    <w:p>
      <w:pPr>
        <w:spacing w:after="0" w:line="45" w:lineRule="exact"/>
        <w:rPr>
          <w:rFonts w:ascii="Arial" w:cs="Arial" w:eastAsia="Arial" w:hAnsi="Arial"/>
          <w:sz w:val="18"/>
          <w:szCs w:val="18"/>
          <w:color w:val="4C4C4C"/>
        </w:rPr>
      </w:pPr>
    </w:p>
    <w:p>
      <w:pPr>
        <w:ind w:left="640" w:hanging="348"/>
        <w:spacing w:after="0"/>
        <w:tabs>
          <w:tab w:leader="none" w:pos="640" w:val="left"/>
        </w:tabs>
        <w:numPr>
          <w:ilvl w:val="0"/>
          <w:numId w:val="36"/>
        </w:numPr>
        <w:rPr>
          <w:rFonts w:ascii="Arial" w:cs="Arial" w:eastAsia="Arial" w:hAnsi="Arial"/>
          <w:sz w:val="18"/>
          <w:szCs w:val="18"/>
          <w:color w:val="4C4C4C"/>
        </w:rPr>
      </w:pPr>
      <w:r>
        <w:rPr>
          <w:rFonts w:ascii="Arial" w:cs="Arial" w:eastAsia="Arial" w:hAnsi="Arial"/>
          <w:sz w:val="18"/>
          <w:szCs w:val="18"/>
          <w:color w:val="4C4C4C"/>
        </w:rPr>
        <w:t>be independent of any particular constituency and able to represent all of our stockholders.</w:t>
      </w:r>
    </w:p>
    <w:p>
      <w:pPr>
        <w:spacing w:after="0" w:line="17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The board is to conduct a self-assessment process every year and to periodically review the diversity of skills and characteristics needed in the board’s oversight of our company, as well as the effectiveness of the mix of skills and experience. The board considers the skill areas represented on the board, those skill areas represented by any directors who are expected to retire or leave the board in the near future, and recommendations of directors regarding skills that could improve the ability of the board to carry out its responsibilities. Although we do not have a formal diversity policy, the nominating and governance committee seeks to identify candidates who will enhance the board’s overall diversity.</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Identifying and Evaluating Nominees for Directors</w:t>
      </w:r>
    </w:p>
    <w:p>
      <w:pPr>
        <w:spacing w:after="0" w:line="175"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4C4C4C"/>
        </w:rPr>
        <w:t>When the board of directors or its nominating and governance committee has identified the need to add a new director with specific qualifications or to fill a vacancy on the board, the chair of the nominating and governance committee will initiate a search, seeking input from other directors and senior management, review any candidates that the nominating and governance committee has previously identified, and, if necessary, hire a search firm. The nominating and governance committee will identify the initial list of candidates who satisfy the specific criteria and otherwise qualify for membership on the board. At least one member of the nominating and governance committee (preferably the chair) and the Chair of the Board and Chief Executive Officer will interview each qualified candidate; other directors will also interview the candidate if practicable. Based on a satisfactory outcome of those interviews, the nominating and governance committee will make its recommendation on the candidate to the board.</w:t>
      </w:r>
    </w:p>
    <w:p>
      <w:pPr>
        <w:spacing w:after="0" w:line="139"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Our bylaws include a procedure that stockholders must follow in order to nominate a person for election as a director at an annual meeting of stockholders. The Bylaws require that timely notice of the nomination in proper written form, including all required information, be provided to the Corporate Secretary.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0079C1"/>
        </w:rPr>
        <w:t>Information Concerning Nominees for Election as Directors</w:t>
      </w:r>
    </w:p>
    <w:p>
      <w:pPr>
        <w:spacing w:after="0" w:line="189" w:lineRule="exact"/>
        <w:rPr>
          <w:sz w:val="20"/>
          <w:szCs w:val="20"/>
          <w:color w:val="auto"/>
        </w:rPr>
      </w:pPr>
    </w:p>
    <w:p>
      <w:pPr>
        <w:ind w:left="1300" w:right="1300"/>
        <w:spacing w:after="0" w:line="271" w:lineRule="auto"/>
        <w:rPr>
          <w:sz w:val="20"/>
          <w:szCs w:val="20"/>
          <w:color w:val="auto"/>
        </w:rPr>
      </w:pPr>
      <w:r>
        <w:rPr>
          <w:rFonts w:ascii="Arial" w:cs="Arial" w:eastAsia="Arial" w:hAnsi="Arial"/>
          <w:sz w:val="18"/>
          <w:szCs w:val="18"/>
          <w:color w:val="4C4C4C"/>
        </w:rPr>
        <w:t>The information appearing in the following table sets forth, for each nominee for election as a director, as of May 20, 2022:</w:t>
      </w:r>
    </w:p>
    <w:p>
      <w:pPr>
        <w:spacing w:after="0" w:line="46" w:lineRule="exact"/>
        <w:rPr>
          <w:sz w:val="20"/>
          <w:szCs w:val="20"/>
          <w:color w:val="auto"/>
        </w:rPr>
      </w:pPr>
    </w:p>
    <w:p>
      <w:pPr>
        <w:ind w:left="1640" w:hanging="348"/>
        <w:spacing w:after="0"/>
        <w:tabs>
          <w:tab w:leader="none" w:pos="164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the nominee’s professional experience for at least the past five years;</w:t>
      </w:r>
    </w:p>
    <w:p>
      <w:pPr>
        <w:spacing w:after="0" w:line="103" w:lineRule="exact"/>
        <w:rPr>
          <w:rFonts w:ascii="Arial" w:cs="Arial" w:eastAsia="Arial" w:hAnsi="Arial"/>
          <w:sz w:val="18"/>
          <w:szCs w:val="18"/>
          <w:color w:val="4C4C4C"/>
        </w:rPr>
      </w:pPr>
    </w:p>
    <w:p>
      <w:pPr>
        <w:ind w:left="1640" w:hanging="348"/>
        <w:spacing w:after="0"/>
        <w:tabs>
          <w:tab w:leader="none" w:pos="164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the year in which the nominee first became one of our directors;</w:t>
      </w:r>
    </w:p>
    <w:p>
      <w:pPr>
        <w:spacing w:after="0" w:line="103" w:lineRule="exact"/>
        <w:rPr>
          <w:rFonts w:ascii="Arial" w:cs="Arial" w:eastAsia="Arial" w:hAnsi="Arial"/>
          <w:sz w:val="18"/>
          <w:szCs w:val="18"/>
          <w:color w:val="4C4C4C"/>
        </w:rPr>
      </w:pPr>
    </w:p>
    <w:p>
      <w:pPr>
        <w:ind w:left="1640" w:hanging="348"/>
        <w:spacing w:after="0"/>
        <w:tabs>
          <w:tab w:leader="none" w:pos="164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each standing committee of the board of directors on which the nominee currently serves;</w:t>
      </w:r>
    </w:p>
    <w:p>
      <w:pPr>
        <w:spacing w:after="0" w:line="103" w:lineRule="exact"/>
        <w:rPr>
          <w:rFonts w:ascii="Arial" w:cs="Arial" w:eastAsia="Arial" w:hAnsi="Arial"/>
          <w:sz w:val="18"/>
          <w:szCs w:val="18"/>
          <w:color w:val="4C4C4C"/>
        </w:rPr>
      </w:pPr>
    </w:p>
    <w:p>
      <w:pPr>
        <w:ind w:left="1640" w:hanging="348"/>
        <w:spacing w:after="0"/>
        <w:tabs>
          <w:tab w:leader="none" w:pos="164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the nominee’s age as of the record date for the Annual Meeting;</w:t>
      </w:r>
    </w:p>
    <w:p>
      <w:pPr>
        <w:spacing w:after="0" w:line="103" w:lineRule="exact"/>
        <w:rPr>
          <w:rFonts w:ascii="Arial" w:cs="Arial" w:eastAsia="Arial" w:hAnsi="Arial"/>
          <w:sz w:val="18"/>
          <w:szCs w:val="18"/>
          <w:color w:val="4C4C4C"/>
        </w:rPr>
      </w:pPr>
    </w:p>
    <w:p>
      <w:pPr>
        <w:ind w:left="1640" w:hanging="348"/>
        <w:spacing w:after="0"/>
        <w:tabs>
          <w:tab w:leader="none" w:pos="164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the relevant skills the nominee possesses that qualify him or her for nomination to the board; and</w:t>
      </w:r>
    </w:p>
    <w:p>
      <w:pPr>
        <w:spacing w:after="0" w:line="103" w:lineRule="exact"/>
        <w:rPr>
          <w:rFonts w:ascii="Arial" w:cs="Arial" w:eastAsia="Arial" w:hAnsi="Arial"/>
          <w:sz w:val="18"/>
          <w:szCs w:val="18"/>
          <w:color w:val="4C4C4C"/>
        </w:rPr>
      </w:pPr>
    </w:p>
    <w:p>
      <w:pPr>
        <w:ind w:left="1640" w:right="1320" w:hanging="348"/>
        <w:spacing w:after="0" w:line="271" w:lineRule="auto"/>
        <w:tabs>
          <w:tab w:leader="none" w:pos="164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directorships held by each nominee presently and at any time during the past five years at any public company or registered investment company.</w:t>
      </w:r>
    </w:p>
    <w:p>
      <w:pPr>
        <w:spacing w:after="0" w:line="176" w:lineRule="exact"/>
        <w:rPr>
          <w:sz w:val="20"/>
          <w:szCs w:val="20"/>
          <w:color w:val="auto"/>
        </w:rPr>
      </w:pPr>
    </w:p>
    <w:tbl>
      <w:tblPr>
        <w:tblLayout w:type="fixed"/>
        <w:tblInd w:w="3000" w:type="dxa"/>
        <w:tblCellMar>
          <w:top w:w="0" w:type="dxa"/>
          <w:left w:w="0" w:type="dxa"/>
          <w:bottom w:w="0" w:type="dxa"/>
          <w:right w:w="0" w:type="dxa"/>
        </w:tblCellMar>
      </w:tblPr>
      <w:tr>
        <w:trPr>
          <w:trHeight w:val="207"/>
        </w:trPr>
        <w:tc>
          <w:tcPr>
            <w:tcW w:w="3240" w:type="dxa"/>
            <w:vAlign w:val="bottom"/>
          </w:tcPr>
          <w:p>
            <w:pPr>
              <w:spacing w:after="0"/>
              <w:rPr>
                <w:sz w:val="20"/>
                <w:szCs w:val="20"/>
                <w:color w:val="auto"/>
              </w:rPr>
            </w:pPr>
            <w:r>
              <w:rPr>
                <w:rFonts w:ascii="Arial" w:cs="Arial" w:eastAsia="Arial" w:hAnsi="Arial"/>
                <w:sz w:val="18"/>
                <w:szCs w:val="18"/>
                <w:b w:val="1"/>
                <w:bCs w:val="1"/>
                <w:color w:val="4C4C4C"/>
              </w:rPr>
              <w:t>DAVID H. WANG</w:t>
            </w:r>
          </w:p>
        </w:tc>
        <w:tc>
          <w:tcPr>
            <w:tcW w:w="3380" w:type="dxa"/>
            <w:vAlign w:val="bottom"/>
            <w:gridSpan w:val="3"/>
          </w:tcPr>
          <w:p>
            <w:pPr>
              <w:ind w:left="1120"/>
              <w:spacing w:after="0"/>
              <w:rPr>
                <w:sz w:val="20"/>
                <w:szCs w:val="20"/>
                <w:color w:val="auto"/>
              </w:rPr>
            </w:pPr>
            <w:r>
              <w:rPr>
                <w:rFonts w:ascii="Arial" w:cs="Arial" w:eastAsia="Arial" w:hAnsi="Arial"/>
                <w:sz w:val="18"/>
                <w:szCs w:val="18"/>
                <w:b w:val="1"/>
                <w:bCs w:val="1"/>
                <w:color w:val="4C4C4C"/>
              </w:rPr>
              <w:t>HAIPING DUN</w:t>
            </w:r>
          </w:p>
        </w:tc>
        <w:tc>
          <w:tcPr>
            <w:tcW w:w="0" w:type="dxa"/>
            <w:vAlign w:val="bottom"/>
          </w:tcPr>
          <w:p>
            <w:pPr>
              <w:spacing w:after="0"/>
              <w:rPr>
                <w:sz w:val="1"/>
                <w:szCs w:val="1"/>
                <w:color w:val="auto"/>
              </w:rPr>
            </w:pPr>
          </w:p>
        </w:tc>
      </w:tr>
      <w:tr>
        <w:trPr>
          <w:trHeight w:val="235"/>
        </w:trPr>
        <w:tc>
          <w:tcPr>
            <w:tcW w:w="3240" w:type="dxa"/>
            <w:vAlign w:val="bottom"/>
          </w:tcPr>
          <w:p>
            <w:pPr>
              <w:spacing w:after="0"/>
              <w:rPr>
                <w:sz w:val="20"/>
                <w:szCs w:val="20"/>
                <w:color w:val="auto"/>
              </w:rPr>
            </w:pPr>
            <w:r>
              <w:rPr>
                <w:rFonts w:ascii="Arial" w:cs="Arial" w:eastAsia="Arial" w:hAnsi="Arial"/>
                <w:sz w:val="18"/>
                <w:szCs w:val="18"/>
                <w:color w:val="4C4C4C"/>
              </w:rPr>
              <w:t>Age: 60</w:t>
            </w:r>
          </w:p>
        </w:tc>
        <w:tc>
          <w:tcPr>
            <w:tcW w:w="3380" w:type="dxa"/>
            <w:vAlign w:val="bottom"/>
            <w:gridSpan w:val="3"/>
          </w:tcPr>
          <w:p>
            <w:pPr>
              <w:ind w:left="1120"/>
              <w:spacing w:after="0"/>
              <w:rPr>
                <w:sz w:val="20"/>
                <w:szCs w:val="20"/>
                <w:color w:val="auto"/>
              </w:rPr>
            </w:pPr>
            <w:r>
              <w:rPr>
                <w:rFonts w:ascii="Arial" w:cs="Arial" w:eastAsia="Arial" w:hAnsi="Arial"/>
                <w:sz w:val="18"/>
                <w:szCs w:val="18"/>
                <w:color w:val="4C4C4C"/>
              </w:rPr>
              <w:t>Age: 72</w:t>
            </w:r>
          </w:p>
        </w:tc>
        <w:tc>
          <w:tcPr>
            <w:tcW w:w="0" w:type="dxa"/>
            <w:vAlign w:val="bottom"/>
          </w:tcPr>
          <w:p>
            <w:pPr>
              <w:spacing w:after="0"/>
              <w:rPr>
                <w:sz w:val="1"/>
                <w:szCs w:val="1"/>
                <w:color w:val="auto"/>
              </w:rPr>
            </w:pPr>
          </w:p>
        </w:tc>
      </w:tr>
      <w:tr>
        <w:trPr>
          <w:trHeight w:val="211"/>
        </w:trPr>
        <w:tc>
          <w:tcPr>
            <w:tcW w:w="3240" w:type="dxa"/>
            <w:vAlign w:val="bottom"/>
          </w:tcPr>
          <w:p>
            <w:pPr>
              <w:spacing w:after="0"/>
              <w:rPr>
                <w:sz w:val="20"/>
                <w:szCs w:val="20"/>
                <w:color w:val="auto"/>
              </w:rPr>
            </w:pPr>
            <w:r>
              <w:rPr>
                <w:rFonts w:ascii="Arial" w:cs="Arial" w:eastAsia="Arial" w:hAnsi="Arial"/>
                <w:sz w:val="18"/>
                <w:szCs w:val="18"/>
                <w:color w:val="4C4C4C"/>
              </w:rPr>
              <w:t>ACM Board Service</w:t>
            </w:r>
          </w:p>
        </w:tc>
        <w:tc>
          <w:tcPr>
            <w:tcW w:w="3380" w:type="dxa"/>
            <w:vAlign w:val="bottom"/>
            <w:gridSpan w:val="3"/>
            <w:vMerge w:val="restart"/>
          </w:tcPr>
          <w:p>
            <w:pPr>
              <w:ind w:left="1120"/>
              <w:spacing w:after="0"/>
              <w:rPr>
                <w:sz w:val="20"/>
                <w:szCs w:val="20"/>
                <w:color w:val="auto"/>
              </w:rPr>
            </w:pPr>
            <w:r>
              <w:rPr>
                <w:rFonts w:ascii="Arial" w:cs="Arial" w:eastAsia="Arial" w:hAnsi="Arial"/>
                <w:sz w:val="18"/>
                <w:szCs w:val="18"/>
                <w:color w:val="4C4C4C"/>
              </w:rPr>
              <w:t>ACM Board Service</w:t>
            </w:r>
          </w:p>
        </w:tc>
        <w:tc>
          <w:tcPr>
            <w:tcW w:w="0" w:type="dxa"/>
            <w:vAlign w:val="bottom"/>
          </w:tcPr>
          <w:p>
            <w:pPr>
              <w:spacing w:after="0"/>
              <w:rPr>
                <w:sz w:val="1"/>
                <w:szCs w:val="1"/>
                <w:color w:val="auto"/>
              </w:rPr>
            </w:pPr>
          </w:p>
        </w:tc>
      </w:tr>
      <w:tr>
        <w:trPr>
          <w:trHeight w:val="90"/>
        </w:trPr>
        <w:tc>
          <w:tcPr>
            <w:tcW w:w="3240" w:type="dxa"/>
            <w:vAlign w:val="bottom"/>
            <w:vMerge w:val="restart"/>
          </w:tcPr>
          <w:p>
            <w:pPr>
              <w:spacing w:after="0"/>
              <w:rPr>
                <w:sz w:val="20"/>
                <w:szCs w:val="20"/>
                <w:color w:val="auto"/>
              </w:rPr>
            </w:pPr>
            <w:r>
              <w:rPr>
                <w:rFonts w:ascii="Arial" w:cs="Arial" w:eastAsia="Arial" w:hAnsi="Arial"/>
                <w:sz w:val="18"/>
                <w:szCs w:val="18"/>
                <w:color w:val="4C4C4C"/>
              </w:rPr>
              <w:t>•   Tenure: 24 years (1998)</w:t>
            </w:r>
          </w:p>
        </w:tc>
        <w:tc>
          <w:tcPr>
            <w:tcW w:w="33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240" w:type="dxa"/>
            <w:vAlign w:val="bottom"/>
            <w:vMerge w:val="continue"/>
          </w:tcPr>
          <w:p>
            <w:pPr>
              <w:spacing w:after="0"/>
              <w:rPr>
                <w:sz w:val="12"/>
                <w:szCs w:val="12"/>
                <w:color w:val="auto"/>
              </w:rPr>
            </w:pPr>
          </w:p>
        </w:tc>
        <w:tc>
          <w:tcPr>
            <w:tcW w:w="1260" w:type="dxa"/>
            <w:vAlign w:val="bottom"/>
            <w:vMerge w:val="restart"/>
          </w:tcPr>
          <w:p>
            <w:pPr>
              <w:ind w:left="1120"/>
              <w:spacing w:after="0"/>
              <w:rPr>
                <w:sz w:val="20"/>
                <w:szCs w:val="20"/>
                <w:color w:val="auto"/>
              </w:rPr>
            </w:pPr>
            <w:r>
              <w:rPr>
                <w:rFonts w:ascii="Arial" w:cs="Arial" w:eastAsia="Arial" w:hAnsi="Arial"/>
                <w:sz w:val="12"/>
                <w:szCs w:val="12"/>
                <w:color w:val="4C4C4C"/>
                <w:w w:val="73"/>
              </w:rPr>
              <w:t>• </w:t>
            </w:r>
          </w:p>
        </w:tc>
        <w:tc>
          <w:tcPr>
            <w:tcW w:w="2120" w:type="dxa"/>
            <w:vAlign w:val="bottom"/>
            <w:gridSpan w:val="2"/>
            <w:vMerge w:val="restart"/>
          </w:tcPr>
          <w:p>
            <w:pPr>
              <w:ind w:left="100"/>
              <w:spacing w:after="0"/>
              <w:rPr>
                <w:sz w:val="20"/>
                <w:szCs w:val="20"/>
                <w:color w:val="auto"/>
              </w:rPr>
            </w:pPr>
            <w:r>
              <w:rPr>
                <w:rFonts w:ascii="Arial" w:cs="Arial" w:eastAsia="Arial" w:hAnsi="Arial"/>
                <w:sz w:val="18"/>
                <w:szCs w:val="18"/>
                <w:color w:val="4C4C4C"/>
              </w:rPr>
              <w:t>Tenure: 19 years (2003)</w:t>
            </w:r>
          </w:p>
        </w:tc>
        <w:tc>
          <w:tcPr>
            <w:tcW w:w="0" w:type="dxa"/>
            <w:vAlign w:val="bottom"/>
          </w:tcPr>
          <w:p>
            <w:pPr>
              <w:spacing w:after="0"/>
              <w:rPr>
                <w:sz w:val="1"/>
                <w:szCs w:val="1"/>
                <w:color w:val="auto"/>
              </w:rPr>
            </w:pPr>
          </w:p>
        </w:tc>
      </w:tr>
      <w:tr>
        <w:trPr>
          <w:trHeight w:val="85"/>
        </w:trPr>
        <w:tc>
          <w:tcPr>
            <w:tcW w:w="32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2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p>
        </w:tc>
        <w:tc>
          <w:tcPr>
            <w:tcW w:w="1260" w:type="dxa"/>
            <w:vAlign w:val="bottom"/>
          </w:tcPr>
          <w:p>
            <w:pPr>
              <w:ind w:left="1120"/>
              <w:spacing w:after="0"/>
              <w:rPr>
                <w:sz w:val="20"/>
                <w:szCs w:val="20"/>
                <w:color w:val="auto"/>
              </w:rPr>
            </w:pPr>
            <w:r>
              <w:rPr>
                <w:rFonts w:ascii="Arial" w:cs="Arial" w:eastAsia="Arial" w:hAnsi="Arial"/>
                <w:sz w:val="12"/>
                <w:szCs w:val="12"/>
                <w:color w:val="4C4C4C"/>
                <w:w w:val="73"/>
              </w:rPr>
              <w:t>• </w:t>
            </w:r>
          </w:p>
        </w:tc>
        <w:tc>
          <w:tcPr>
            <w:tcW w:w="2120" w:type="dxa"/>
            <w:vAlign w:val="bottom"/>
            <w:gridSpan w:val="2"/>
          </w:tcPr>
          <w:p>
            <w:pPr>
              <w:ind w:left="100"/>
              <w:spacing w:after="0"/>
              <w:rPr>
                <w:sz w:val="20"/>
                <w:szCs w:val="20"/>
                <w:color w:val="auto"/>
              </w:rPr>
            </w:pPr>
            <w:r>
              <w:rPr>
                <w:rFonts w:ascii="Arial" w:cs="Arial" w:eastAsia="Arial" w:hAnsi="Arial"/>
                <w:sz w:val="18"/>
                <w:szCs w:val="18"/>
                <w:color w:val="4C4C4C"/>
              </w:rPr>
              <w:t>Committees:</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1260" w:type="dxa"/>
            <w:vAlign w:val="bottom"/>
          </w:tcPr>
          <w:p>
            <w:pPr>
              <w:ind w:left="1120"/>
              <w:spacing w:after="0"/>
              <w:rPr>
                <w:sz w:val="20"/>
                <w:szCs w:val="20"/>
                <w:color w:val="auto"/>
              </w:rPr>
            </w:pPr>
            <w:r>
              <w:rPr>
                <w:rFonts w:ascii="Arial" w:cs="Arial" w:eastAsia="Arial" w:hAnsi="Arial"/>
                <w:sz w:val="17"/>
                <w:szCs w:val="17"/>
                <w:color w:val="4C4C4C"/>
                <w:w w:val="70"/>
              </w:rPr>
              <w:t> </w:t>
            </w:r>
          </w:p>
        </w:tc>
        <w:tc>
          <w:tcPr>
            <w:tcW w:w="300" w:type="dxa"/>
            <w:vAlign w:val="bottom"/>
          </w:tcPr>
          <w:p>
            <w:pPr>
              <w:ind w:left="40"/>
              <w:spacing w:after="0"/>
              <w:rPr>
                <w:sz w:val="20"/>
                <w:szCs w:val="20"/>
                <w:color w:val="auto"/>
              </w:rPr>
            </w:pPr>
            <w:r>
              <w:rPr>
                <w:rFonts w:ascii="Arial" w:cs="Arial" w:eastAsia="Arial" w:hAnsi="Arial"/>
                <w:sz w:val="18"/>
                <w:szCs w:val="18"/>
                <w:color w:val="4C4C4C"/>
              </w:rPr>
              <w:t xml:space="preserve">  </w:t>
            </w:r>
            <w:r>
              <w:rPr>
                <w:rFonts w:ascii="Arial" w:cs="Arial" w:eastAsia="Arial" w:hAnsi="Arial"/>
                <w:sz w:val="10"/>
                <w:szCs w:val="10"/>
                <w:color w:val="4C4C4C"/>
              </w:rPr>
              <w:t>○</w:t>
            </w:r>
            <w:r>
              <w:rPr>
                <w:rFonts w:ascii="Arial" w:cs="Arial" w:eastAsia="Arial" w:hAnsi="Arial"/>
                <w:sz w:val="18"/>
                <w:szCs w:val="18"/>
                <w:color w:val="4C4C4C"/>
              </w:rPr>
              <w:t xml:space="preserve"> </w:t>
            </w:r>
          </w:p>
        </w:tc>
        <w:tc>
          <w:tcPr>
            <w:tcW w:w="1820" w:type="dxa"/>
            <w:vAlign w:val="bottom"/>
          </w:tcPr>
          <w:p>
            <w:pPr>
              <w:ind w:left="60"/>
              <w:spacing w:after="0"/>
              <w:rPr>
                <w:sz w:val="20"/>
                <w:szCs w:val="20"/>
                <w:color w:val="auto"/>
              </w:rPr>
            </w:pPr>
            <w:r>
              <w:rPr>
                <w:rFonts w:ascii="Arial" w:cs="Arial" w:eastAsia="Arial" w:hAnsi="Arial"/>
                <w:sz w:val="18"/>
                <w:szCs w:val="18"/>
                <w:color w:val="4C4C4C"/>
              </w:rPr>
              <w:t>Audit</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1260" w:type="dxa"/>
            <w:vAlign w:val="bottom"/>
          </w:tcPr>
          <w:p>
            <w:pPr>
              <w:ind w:left="1120"/>
              <w:spacing w:after="0"/>
              <w:rPr>
                <w:sz w:val="20"/>
                <w:szCs w:val="20"/>
                <w:color w:val="auto"/>
              </w:rPr>
            </w:pPr>
            <w:r>
              <w:rPr>
                <w:rFonts w:ascii="Arial" w:cs="Arial" w:eastAsia="Arial" w:hAnsi="Arial"/>
                <w:sz w:val="17"/>
                <w:szCs w:val="17"/>
                <w:color w:val="4C4C4C"/>
                <w:w w:val="70"/>
              </w:rPr>
              <w:t> </w:t>
            </w:r>
          </w:p>
        </w:tc>
        <w:tc>
          <w:tcPr>
            <w:tcW w:w="300" w:type="dxa"/>
            <w:vAlign w:val="bottom"/>
          </w:tcPr>
          <w:p>
            <w:pPr>
              <w:ind w:left="40"/>
              <w:spacing w:after="0"/>
              <w:rPr>
                <w:sz w:val="20"/>
                <w:szCs w:val="20"/>
                <w:color w:val="auto"/>
              </w:rPr>
            </w:pPr>
            <w:r>
              <w:rPr>
                <w:rFonts w:ascii="Arial" w:cs="Arial" w:eastAsia="Arial" w:hAnsi="Arial"/>
                <w:sz w:val="18"/>
                <w:szCs w:val="18"/>
                <w:color w:val="4C4C4C"/>
              </w:rPr>
              <w:t xml:space="preserve">  </w:t>
            </w:r>
            <w:r>
              <w:rPr>
                <w:rFonts w:ascii="Arial" w:cs="Arial" w:eastAsia="Arial" w:hAnsi="Arial"/>
                <w:sz w:val="10"/>
                <w:szCs w:val="10"/>
                <w:color w:val="4C4C4C"/>
              </w:rPr>
              <w:t>○</w:t>
            </w:r>
            <w:r>
              <w:rPr>
                <w:rFonts w:ascii="Arial" w:cs="Arial" w:eastAsia="Arial" w:hAnsi="Arial"/>
                <w:sz w:val="18"/>
                <w:szCs w:val="18"/>
                <w:color w:val="4C4C4C"/>
              </w:rPr>
              <w:t xml:space="preserve"> </w:t>
            </w:r>
          </w:p>
        </w:tc>
        <w:tc>
          <w:tcPr>
            <w:tcW w:w="1820" w:type="dxa"/>
            <w:vAlign w:val="bottom"/>
          </w:tcPr>
          <w:p>
            <w:pPr>
              <w:ind w:left="60"/>
              <w:spacing w:after="0"/>
              <w:rPr>
                <w:sz w:val="20"/>
                <w:szCs w:val="20"/>
                <w:color w:val="auto"/>
              </w:rPr>
            </w:pPr>
            <w:r>
              <w:rPr>
                <w:rFonts w:ascii="Arial" w:cs="Arial" w:eastAsia="Arial" w:hAnsi="Arial"/>
                <w:sz w:val="18"/>
                <w:szCs w:val="18"/>
                <w:color w:val="4C4C4C"/>
                <w:w w:val="98"/>
              </w:rPr>
              <w:t>Compensation (Chair)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-1064895</wp:posOffset>
            </wp:positionV>
            <wp:extent cx="925830" cy="12255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25830" cy="1225550"/>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-1064895</wp:posOffset>
            </wp:positionV>
            <wp:extent cx="917575" cy="12255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17575" cy="1225550"/>
                    </a:xfrm>
                    <a:prstGeom prst="rect">
                      <a:avLst/>
                    </a:prstGeom>
                    <a:noFill/>
                  </pic:spPr>
                </pic:pic>
              </a:graphicData>
            </a:graphic>
          </wp:anchor>
        </w:drawing>
      </w:r>
    </w:p>
    <w:p>
      <w:pPr>
        <w:ind w:left="7360"/>
        <w:spacing w:after="0"/>
        <w:rPr>
          <w:sz w:val="20"/>
          <w:szCs w:val="20"/>
          <w:color w:val="auto"/>
        </w:rPr>
      </w:pPr>
      <w:r>
        <w:rPr>
          <w:rFonts w:ascii="Arial" w:cs="Arial" w:eastAsia="Arial" w:hAnsi="Arial"/>
          <w:sz w:val="18"/>
          <w:szCs w:val="18"/>
          <w:b w:val="1"/>
          <w:bCs w:val="1"/>
          <w:color w:val="4694D0"/>
        </w:rPr>
        <w:t>INDEPENDENT</w:t>
      </w:r>
    </w:p>
    <w:p>
      <w:pPr>
        <w:spacing w:after="0" w:line="27" w:lineRule="exact"/>
        <w:rPr>
          <w:sz w:val="20"/>
          <w:szCs w:val="20"/>
          <w:color w:val="auto"/>
        </w:rPr>
      </w:pPr>
    </w:p>
    <w:p>
      <w:pPr>
        <w:ind w:left="1300"/>
        <w:spacing w:after="0"/>
        <w:tabs>
          <w:tab w:leader="none" w:pos="5640" w:val="left"/>
        </w:tabs>
        <w:rPr>
          <w:sz w:val="20"/>
          <w:szCs w:val="20"/>
          <w:color w:val="auto"/>
        </w:rPr>
      </w:pPr>
      <w:r>
        <w:rPr>
          <w:rFonts w:ascii="Arial" w:cs="Arial" w:eastAsia="Arial" w:hAnsi="Arial"/>
          <w:sz w:val="18"/>
          <w:szCs w:val="18"/>
          <w:color w:val="4C4C4C"/>
        </w:rPr>
        <w:t xml:space="preserve">  </w:t>
      </w:r>
      <w:r>
        <w:rPr>
          <w:sz w:val="20"/>
          <w:szCs w:val="20"/>
          <w:color w:val="auto"/>
        </w:rPr>
        <w:tab/>
      </w:r>
      <w:r>
        <w:rPr>
          <w:rFonts w:ascii="Arial" w:cs="Arial" w:eastAsia="Arial" w:hAnsi="Arial"/>
          <w:sz w:val="18"/>
          <w:szCs w:val="18"/>
          <w:color w:val="4C4C4C"/>
        </w:rPr>
        <w:t> </w:t>
      </w:r>
    </w:p>
    <w:p>
      <w:pPr>
        <w:sectPr>
          <w:pgSz w:w="11900" w:h="16838" w:orient="portrait"/>
          <w:cols w:equalWidth="0" w:num="1">
            <w:col w:w="11020"/>
          </w:cols>
          <w:pgMar w:left="440" w:top="263" w:right="439" w:bottom="1440" w:gutter="0" w:footer="0" w:header="0"/>
        </w:sect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4C4C4C"/>
        </w:rPr>
        <w:t>Professional Experience</w:t>
      </w:r>
    </w:p>
    <w:p>
      <w:pPr>
        <w:spacing w:after="0" w:line="158" w:lineRule="exact"/>
        <w:rPr>
          <w:sz w:val="20"/>
          <w:szCs w:val="20"/>
          <w:color w:val="auto"/>
        </w:rPr>
      </w:pPr>
    </w:p>
    <w:p>
      <w:pPr>
        <w:ind w:left="1560" w:hanging="262"/>
        <w:spacing w:after="0" w:line="266" w:lineRule="auto"/>
        <w:rPr>
          <w:sz w:val="20"/>
          <w:szCs w:val="20"/>
          <w:color w:val="auto"/>
        </w:rPr>
      </w:pPr>
      <w:r>
        <w:rPr>
          <w:rFonts w:ascii="Arial" w:cs="Arial" w:eastAsia="Arial" w:hAnsi="Arial"/>
          <w:sz w:val="18"/>
          <w:szCs w:val="18"/>
          <w:color w:val="4C4C4C"/>
        </w:rPr>
        <w:t>•  Founder, Chief Executive Officer, President and one of our directors since 1998.</w:t>
      </w:r>
    </w:p>
    <w:p>
      <w:pPr>
        <w:ind w:left="1300"/>
        <w:spacing w:after="0"/>
        <w:rPr>
          <w:sz w:val="20"/>
          <w:szCs w:val="20"/>
          <w:color w:val="auto"/>
        </w:rPr>
      </w:pPr>
      <w:r>
        <w:rPr>
          <w:rFonts w:ascii="Arial" w:cs="Arial" w:eastAsia="Arial" w:hAnsi="Arial"/>
          <w:sz w:val="18"/>
          <w:szCs w:val="18"/>
          <w:color w:val="4C4C4C"/>
        </w:rPr>
        <w:t>•   Inventor of stress-free Cu polishing technology.</w:t>
      </w:r>
    </w:p>
    <w:p>
      <w:pPr>
        <w:spacing w:after="0" w:line="50" w:lineRule="exact"/>
        <w:rPr>
          <w:sz w:val="20"/>
          <w:szCs w:val="20"/>
          <w:color w:val="auto"/>
        </w:rPr>
      </w:pPr>
    </w:p>
    <w:p>
      <w:pPr>
        <w:ind w:left="1560" w:hanging="262"/>
        <w:spacing w:after="0" w:line="271" w:lineRule="auto"/>
        <w:rPr>
          <w:sz w:val="20"/>
          <w:szCs w:val="20"/>
          <w:color w:val="auto"/>
        </w:rPr>
      </w:pPr>
      <w:r>
        <w:rPr>
          <w:rFonts w:ascii="Arial" w:cs="Arial" w:eastAsia="Arial" w:hAnsi="Arial"/>
          <w:sz w:val="18"/>
          <w:szCs w:val="18"/>
          <w:color w:val="4C4C4C"/>
        </w:rPr>
        <w:t>•  Holds more than 100 patents in semiconductor equipment and process technology.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Professional Experience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4C4C4C"/>
        </w:rPr>
        <w:t>•   Served as one of our directors since 2003.</w:t>
      </w:r>
    </w:p>
    <w:p>
      <w:pPr>
        <w:spacing w:after="0" w:line="50" w:lineRule="exact"/>
        <w:rPr>
          <w:sz w:val="20"/>
          <w:szCs w:val="20"/>
          <w:color w:val="auto"/>
        </w:rPr>
      </w:pPr>
    </w:p>
    <w:p>
      <w:pPr>
        <w:jc w:val="both"/>
        <w:ind w:left="260" w:right="1200" w:hanging="262"/>
        <w:spacing w:after="0" w:line="253" w:lineRule="auto"/>
        <w:rPr>
          <w:sz w:val="20"/>
          <w:szCs w:val="20"/>
          <w:color w:val="auto"/>
        </w:rPr>
      </w:pPr>
      <w:r>
        <w:rPr>
          <w:rFonts w:ascii="Arial" w:cs="Arial" w:eastAsia="Arial" w:hAnsi="Arial"/>
          <w:sz w:val="18"/>
          <w:szCs w:val="18"/>
          <w:color w:val="4C4C4C"/>
        </w:rPr>
        <w:t>•  Former President of Champion Microelectronic Corp., an integrated circuit company based in Taiwan, from 2008 through 2018.</w:t>
      </w:r>
    </w:p>
    <w:p>
      <w:pPr>
        <w:spacing w:after="0" w:line="7" w:lineRule="exact"/>
        <w:rPr>
          <w:sz w:val="20"/>
          <w:szCs w:val="20"/>
          <w:color w:val="auto"/>
        </w:rPr>
      </w:pPr>
    </w:p>
    <w:p>
      <w:pPr>
        <w:jc w:val="both"/>
        <w:ind w:left="260" w:right="1200" w:hanging="262"/>
        <w:spacing w:after="0" w:line="253" w:lineRule="auto"/>
        <w:rPr>
          <w:sz w:val="20"/>
          <w:szCs w:val="20"/>
          <w:color w:val="auto"/>
        </w:rPr>
      </w:pPr>
      <w:r>
        <w:rPr>
          <w:rFonts w:ascii="Arial" w:cs="Arial" w:eastAsia="Arial" w:hAnsi="Arial"/>
          <w:sz w:val="18"/>
          <w:szCs w:val="18"/>
          <w:color w:val="4C4C4C"/>
        </w:rPr>
        <w:t>•  Former Senior Director of Intel Corporation, a multi-national technology company where he was employed from 1983 to 2004.</w:t>
      </w:r>
    </w:p>
    <w:p>
      <w:pPr>
        <w:spacing w:after="0" w:line="169" w:lineRule="exact"/>
        <w:rPr>
          <w:sz w:val="20"/>
          <w:szCs w:val="20"/>
          <w:color w:val="auto"/>
        </w:rPr>
      </w:pPr>
    </w:p>
    <w:p>
      <w:pPr>
        <w:sectPr>
          <w:pgSz w:w="11900" w:h="16838" w:orient="portrait"/>
          <w:cols w:equalWidth="0" w:num="2">
            <w:col w:w="5440" w:space="220"/>
            <w:col w:w="5360"/>
          </w:cols>
          <w:pgMar w:left="440" w:top="263" w:right="439" w:bottom="1440" w:gutter="0" w:footer="0" w:header="0"/>
          <w:type w:val="continuous"/>
        </w:sectPr>
      </w:pPr>
    </w:p>
    <w:p>
      <w:pPr>
        <w:spacing w:after="0" w:line="5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4C4C4C"/>
        </w:rPr>
        <w:t>Education</w:t>
      </w:r>
    </w:p>
    <w:p>
      <w:pPr>
        <w:spacing w:after="0" w:line="158" w:lineRule="exact"/>
        <w:rPr>
          <w:sz w:val="20"/>
          <w:szCs w:val="20"/>
          <w:color w:val="auto"/>
        </w:rPr>
      </w:pPr>
    </w:p>
    <w:p>
      <w:pPr>
        <w:jc w:val="both"/>
        <w:ind w:left="1560" w:hanging="262"/>
        <w:spacing w:after="0" w:line="244" w:lineRule="auto"/>
        <w:rPr>
          <w:sz w:val="20"/>
          <w:szCs w:val="20"/>
          <w:color w:val="auto"/>
        </w:rPr>
      </w:pPr>
      <w:r>
        <w:rPr>
          <w:rFonts w:ascii="Arial" w:cs="Arial" w:eastAsia="Arial" w:hAnsi="Arial"/>
          <w:sz w:val="18"/>
          <w:szCs w:val="18"/>
          <w:color w:val="4C4C4C"/>
        </w:rPr>
        <w:t>•  Received</w:t>
      </w:r>
      <w:r>
        <w:rPr>
          <w:sz w:val="20"/>
          <w:szCs w:val="20"/>
          <w:color w:val="auto"/>
        </w:rPr>
        <w:t xml:space="preserve"> </w:t>
      </w:r>
      <w:r>
        <w:rPr>
          <w:rFonts w:ascii="Arial" w:cs="Arial" w:eastAsia="Arial" w:hAnsi="Arial"/>
          <w:sz w:val="18"/>
          <w:szCs w:val="18"/>
          <w:color w:val="4C4C4C"/>
        </w:rPr>
        <w:t>a Ph.D. degree and Master of Engineering degree in Precision Engineering from Osaka University and a Bachelor of Science degree in Precision Instruments from Tsinghua University.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4C4C4C"/>
        </w:rPr>
        <w:t>Education</w:t>
      </w:r>
    </w:p>
    <w:p>
      <w:pPr>
        <w:spacing w:after="0" w:line="212" w:lineRule="exact"/>
        <w:rPr>
          <w:sz w:val="20"/>
          <w:szCs w:val="20"/>
          <w:color w:val="auto"/>
        </w:rPr>
      </w:pPr>
    </w:p>
    <w:p>
      <w:pPr>
        <w:jc w:val="both"/>
        <w:ind w:left="260" w:right="1200" w:hanging="262"/>
        <w:spacing w:after="0" w:line="242" w:lineRule="auto"/>
        <w:rPr>
          <w:sz w:val="20"/>
          <w:szCs w:val="20"/>
          <w:color w:val="auto"/>
        </w:rPr>
      </w:pPr>
      <w:r>
        <w:rPr>
          <w:rFonts w:ascii="Arial" w:cs="Arial" w:eastAsia="Arial" w:hAnsi="Arial"/>
          <w:sz w:val="18"/>
          <w:szCs w:val="18"/>
          <w:color w:val="4C4C4C"/>
        </w:rPr>
        <w:t>•  Received a Ph.D. degree in material science and engineering from Stanford University, a Master of Science degree in physics from the University of Washington and a Bachelor of Science degree in physics from National Taiwan University.</w:t>
      </w:r>
    </w:p>
    <w:p>
      <w:pPr>
        <w:spacing w:after="0" w:line="200" w:lineRule="exact"/>
        <w:rPr>
          <w:sz w:val="20"/>
          <w:szCs w:val="20"/>
          <w:color w:val="auto"/>
        </w:rPr>
      </w:pPr>
    </w:p>
    <w:p>
      <w:pPr>
        <w:sectPr>
          <w:pgSz w:w="11900" w:h="16838" w:orient="portrait"/>
          <w:cols w:equalWidth="0" w:num="2">
            <w:col w:w="5440" w:space="220"/>
            <w:col w:w="5360"/>
          </w:cols>
          <w:pgMar w:left="440" w:top="263" w:right="43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980" w:type="dxa"/>
            <w:vAlign w:val="bottom"/>
            <w:gridSpan w:val="2"/>
          </w:tcPr>
          <w:p>
            <w:pPr>
              <w:ind w:left="1300"/>
              <w:spacing w:after="0"/>
              <w:rPr>
                <w:sz w:val="20"/>
                <w:szCs w:val="20"/>
                <w:color w:val="auto"/>
              </w:rPr>
            </w:pPr>
            <w:r>
              <w:rPr>
                <w:rFonts w:ascii="Arial" w:cs="Arial" w:eastAsia="Arial" w:hAnsi="Arial"/>
                <w:sz w:val="18"/>
                <w:szCs w:val="18"/>
                <w:b w:val="1"/>
                <w:bCs w:val="1"/>
                <w:color w:val="4C4C4C"/>
              </w:rPr>
              <w:t>Relevant Skills</w:t>
            </w:r>
          </w:p>
        </w:tc>
        <w:tc>
          <w:tcPr>
            <w:tcW w:w="7040" w:type="dxa"/>
            <w:vAlign w:val="bottom"/>
            <w:gridSpan w:val="2"/>
          </w:tcPr>
          <w:p>
            <w:pPr>
              <w:ind w:left="1680"/>
              <w:spacing w:after="0"/>
              <w:rPr>
                <w:sz w:val="20"/>
                <w:szCs w:val="20"/>
                <w:color w:val="auto"/>
              </w:rPr>
            </w:pPr>
            <w:r>
              <w:rPr>
                <w:rFonts w:ascii="Arial" w:cs="Arial" w:eastAsia="Arial" w:hAnsi="Arial"/>
                <w:sz w:val="18"/>
                <w:szCs w:val="18"/>
                <w:b w:val="1"/>
                <w:bCs w:val="1"/>
                <w:color w:val="4C4C4C"/>
              </w:rPr>
              <w:t>Relevant Skills</w:t>
            </w:r>
          </w:p>
        </w:tc>
      </w:tr>
      <w:tr>
        <w:trPr>
          <w:trHeight w:val="357"/>
        </w:trPr>
        <w:tc>
          <w:tcPr>
            <w:tcW w:w="1460" w:type="dxa"/>
            <w:vAlign w:val="bottom"/>
          </w:tcPr>
          <w:p>
            <w:pPr>
              <w:ind w:left="1300"/>
              <w:spacing w:after="0"/>
              <w:rPr>
                <w:sz w:val="20"/>
                <w:szCs w:val="20"/>
                <w:color w:val="auto"/>
              </w:rPr>
            </w:pPr>
            <w:r>
              <w:rPr>
                <w:rFonts w:ascii="Arial" w:cs="Arial" w:eastAsia="Arial" w:hAnsi="Arial"/>
                <w:sz w:val="13"/>
                <w:szCs w:val="13"/>
                <w:color w:val="4C4C4C"/>
                <w:w w:val="79"/>
              </w:rPr>
              <w:t>• </w:t>
            </w:r>
          </w:p>
        </w:tc>
        <w:tc>
          <w:tcPr>
            <w:tcW w:w="2520" w:type="dxa"/>
            <w:vAlign w:val="bottom"/>
          </w:tcPr>
          <w:p>
            <w:pPr>
              <w:ind w:left="60"/>
              <w:spacing w:after="0"/>
              <w:rPr>
                <w:sz w:val="20"/>
                <w:szCs w:val="20"/>
                <w:color w:val="auto"/>
              </w:rPr>
            </w:pPr>
            <w:r>
              <w:rPr>
                <w:rFonts w:ascii="Arial" w:cs="Arial" w:eastAsia="Arial" w:hAnsi="Arial"/>
                <w:sz w:val="18"/>
                <w:szCs w:val="18"/>
                <w:color w:val="4C4C4C"/>
              </w:rPr>
              <w:t>Industry</w:t>
            </w:r>
          </w:p>
        </w:tc>
        <w:tc>
          <w:tcPr>
            <w:tcW w:w="1860" w:type="dxa"/>
            <w:vAlign w:val="bottom"/>
          </w:tcPr>
          <w:p>
            <w:pPr>
              <w:ind w:left="1680"/>
              <w:spacing w:after="0"/>
              <w:rPr>
                <w:sz w:val="20"/>
                <w:szCs w:val="20"/>
                <w:color w:val="auto"/>
              </w:rPr>
            </w:pPr>
            <w:r>
              <w:rPr>
                <w:rFonts w:ascii="Arial" w:cs="Arial" w:eastAsia="Arial" w:hAnsi="Arial"/>
                <w:sz w:val="16"/>
                <w:szCs w:val="16"/>
                <w:color w:val="4C4C4C"/>
                <w:w w:val="73"/>
              </w:rPr>
              <w:t>• </w:t>
            </w:r>
          </w:p>
        </w:tc>
        <w:tc>
          <w:tcPr>
            <w:tcW w:w="5180" w:type="dxa"/>
            <w:vAlign w:val="bottom"/>
          </w:tcPr>
          <w:p>
            <w:pPr>
              <w:ind w:left="60"/>
              <w:spacing w:after="0"/>
              <w:rPr>
                <w:sz w:val="20"/>
                <w:szCs w:val="20"/>
                <w:color w:val="auto"/>
              </w:rPr>
            </w:pPr>
            <w:r>
              <w:rPr>
                <w:rFonts w:ascii="Arial" w:cs="Arial" w:eastAsia="Arial" w:hAnsi="Arial"/>
                <w:sz w:val="18"/>
                <w:szCs w:val="18"/>
                <w:color w:val="4C4C4C"/>
              </w:rPr>
              <w:t>Industry</w:t>
            </w:r>
          </w:p>
        </w:tc>
      </w:tr>
      <w:tr>
        <w:trPr>
          <w:trHeight w:val="364"/>
        </w:trPr>
        <w:tc>
          <w:tcPr>
            <w:tcW w:w="1460" w:type="dxa"/>
            <w:vAlign w:val="bottom"/>
          </w:tcPr>
          <w:p>
            <w:pPr>
              <w:ind w:left="1300"/>
              <w:spacing w:after="0"/>
              <w:rPr>
                <w:sz w:val="20"/>
                <w:szCs w:val="20"/>
                <w:color w:val="auto"/>
              </w:rPr>
            </w:pPr>
            <w:r>
              <w:rPr>
                <w:rFonts w:ascii="Arial" w:cs="Arial" w:eastAsia="Arial" w:hAnsi="Arial"/>
                <w:sz w:val="13"/>
                <w:szCs w:val="13"/>
                <w:color w:val="4C4C4C"/>
                <w:w w:val="79"/>
              </w:rPr>
              <w:t>• </w:t>
            </w:r>
          </w:p>
        </w:tc>
        <w:tc>
          <w:tcPr>
            <w:tcW w:w="2520" w:type="dxa"/>
            <w:vAlign w:val="bottom"/>
          </w:tcPr>
          <w:p>
            <w:pPr>
              <w:ind w:left="60"/>
              <w:spacing w:after="0"/>
              <w:rPr>
                <w:sz w:val="20"/>
                <w:szCs w:val="20"/>
                <w:color w:val="auto"/>
              </w:rPr>
            </w:pPr>
            <w:r>
              <w:rPr>
                <w:rFonts w:ascii="Arial" w:cs="Arial" w:eastAsia="Arial" w:hAnsi="Arial"/>
                <w:sz w:val="18"/>
                <w:szCs w:val="18"/>
                <w:color w:val="4C4C4C"/>
              </w:rPr>
              <w:t>Innovation</w:t>
            </w:r>
          </w:p>
        </w:tc>
        <w:tc>
          <w:tcPr>
            <w:tcW w:w="1860" w:type="dxa"/>
            <w:vAlign w:val="bottom"/>
          </w:tcPr>
          <w:p>
            <w:pPr>
              <w:ind w:left="1680"/>
              <w:spacing w:after="0"/>
              <w:rPr>
                <w:sz w:val="20"/>
                <w:szCs w:val="20"/>
                <w:color w:val="auto"/>
              </w:rPr>
            </w:pPr>
            <w:r>
              <w:rPr>
                <w:rFonts w:ascii="Arial" w:cs="Arial" w:eastAsia="Arial" w:hAnsi="Arial"/>
                <w:sz w:val="16"/>
                <w:szCs w:val="16"/>
                <w:color w:val="4C4C4C"/>
                <w:w w:val="73"/>
              </w:rPr>
              <w:t>• </w:t>
            </w:r>
          </w:p>
        </w:tc>
        <w:tc>
          <w:tcPr>
            <w:tcW w:w="5180" w:type="dxa"/>
            <w:vAlign w:val="bottom"/>
          </w:tcPr>
          <w:p>
            <w:pPr>
              <w:ind w:left="60"/>
              <w:spacing w:after="0"/>
              <w:rPr>
                <w:sz w:val="20"/>
                <w:szCs w:val="20"/>
                <w:color w:val="auto"/>
              </w:rPr>
            </w:pPr>
            <w:r>
              <w:rPr>
                <w:rFonts w:ascii="Arial" w:cs="Arial" w:eastAsia="Arial" w:hAnsi="Arial"/>
                <w:sz w:val="18"/>
                <w:szCs w:val="18"/>
                <w:color w:val="4C4C4C"/>
              </w:rPr>
              <w:t>Global</w:t>
            </w:r>
          </w:p>
        </w:tc>
      </w:tr>
      <w:tr>
        <w:trPr>
          <w:trHeight w:val="365"/>
        </w:trPr>
        <w:tc>
          <w:tcPr>
            <w:tcW w:w="1460" w:type="dxa"/>
            <w:vAlign w:val="bottom"/>
          </w:tcPr>
          <w:p>
            <w:pPr>
              <w:ind w:left="1300"/>
              <w:spacing w:after="0"/>
              <w:rPr>
                <w:sz w:val="20"/>
                <w:szCs w:val="20"/>
                <w:color w:val="auto"/>
              </w:rPr>
            </w:pPr>
            <w:r>
              <w:rPr>
                <w:rFonts w:ascii="Arial" w:cs="Arial" w:eastAsia="Arial" w:hAnsi="Arial"/>
                <w:sz w:val="13"/>
                <w:szCs w:val="13"/>
                <w:color w:val="4C4C4C"/>
                <w:w w:val="79"/>
              </w:rPr>
              <w:t>• </w:t>
            </w:r>
          </w:p>
        </w:tc>
        <w:tc>
          <w:tcPr>
            <w:tcW w:w="2520" w:type="dxa"/>
            <w:vAlign w:val="bottom"/>
          </w:tcPr>
          <w:p>
            <w:pPr>
              <w:ind w:left="60"/>
              <w:spacing w:after="0"/>
              <w:rPr>
                <w:sz w:val="20"/>
                <w:szCs w:val="20"/>
                <w:color w:val="auto"/>
              </w:rPr>
            </w:pPr>
            <w:r>
              <w:rPr>
                <w:rFonts w:ascii="Arial" w:cs="Arial" w:eastAsia="Arial" w:hAnsi="Arial"/>
                <w:sz w:val="18"/>
                <w:szCs w:val="18"/>
                <w:color w:val="4C4C4C"/>
              </w:rPr>
              <w:t>Leadership</w:t>
            </w:r>
          </w:p>
        </w:tc>
        <w:tc>
          <w:tcPr>
            <w:tcW w:w="1860" w:type="dxa"/>
            <w:vAlign w:val="bottom"/>
          </w:tcPr>
          <w:p>
            <w:pPr>
              <w:ind w:left="1680"/>
              <w:spacing w:after="0"/>
              <w:rPr>
                <w:sz w:val="20"/>
                <w:szCs w:val="20"/>
                <w:color w:val="auto"/>
              </w:rPr>
            </w:pPr>
            <w:r>
              <w:rPr>
                <w:rFonts w:ascii="Arial" w:cs="Arial" w:eastAsia="Arial" w:hAnsi="Arial"/>
                <w:sz w:val="16"/>
                <w:szCs w:val="16"/>
                <w:color w:val="4C4C4C"/>
                <w:w w:val="73"/>
              </w:rPr>
              <w:t>• </w:t>
            </w:r>
          </w:p>
        </w:tc>
        <w:tc>
          <w:tcPr>
            <w:tcW w:w="5180" w:type="dxa"/>
            <w:vAlign w:val="bottom"/>
          </w:tcPr>
          <w:p>
            <w:pPr>
              <w:ind w:left="60"/>
              <w:spacing w:after="0"/>
              <w:rPr>
                <w:sz w:val="20"/>
                <w:szCs w:val="20"/>
                <w:color w:val="auto"/>
              </w:rPr>
            </w:pPr>
            <w:r>
              <w:rPr>
                <w:rFonts w:ascii="Arial" w:cs="Arial" w:eastAsia="Arial" w:hAnsi="Arial"/>
                <w:sz w:val="18"/>
                <w:szCs w:val="18"/>
                <w:color w:val="4C4C4C"/>
              </w:rPr>
              <w:t>Leadership</w:t>
            </w:r>
          </w:p>
        </w:tc>
      </w:tr>
      <w:tr>
        <w:trPr>
          <w:trHeight w:val="580"/>
        </w:trPr>
        <w:tc>
          <w:tcPr>
            <w:tcW w:w="1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60" w:type="dxa"/>
            <w:vAlign w:val="bottom"/>
          </w:tcPr>
          <w:p>
            <w:pPr>
              <w:ind w:left="1420"/>
              <w:spacing w:after="0"/>
              <w:rPr>
                <w:sz w:val="20"/>
                <w:szCs w:val="20"/>
                <w:color w:val="auto"/>
              </w:rPr>
            </w:pPr>
            <w:r>
              <w:rPr>
                <w:rFonts w:ascii="Arial" w:cs="Arial" w:eastAsia="Arial" w:hAnsi="Arial"/>
                <w:sz w:val="18"/>
                <w:szCs w:val="18"/>
                <w:color w:val="auto"/>
              </w:rPr>
              <w:t>22</w:t>
            </w:r>
          </w:p>
        </w:tc>
        <w:tc>
          <w:tcPr>
            <w:tcW w:w="5180" w:type="dxa"/>
            <w:vAlign w:val="bottom"/>
          </w:tcPr>
          <w:p>
            <w:pPr>
              <w:spacing w:after="0"/>
              <w:rPr>
                <w:sz w:val="24"/>
                <w:szCs w:val="24"/>
                <w:color w:val="auto"/>
              </w:rPr>
            </w:pPr>
          </w:p>
        </w:tc>
      </w:tr>
      <w:tr>
        <w:trPr>
          <w:trHeight w:val="233"/>
        </w:trPr>
        <w:tc>
          <w:tcPr>
            <w:tcW w:w="14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type w:val="continuous"/>
        </w:sectPr>
      </w:pPr>
    </w:p>
    <w:bookmarkStart w:id="28" w:name="page29"/>
    <w:bookmarkEnd w:id="28"/>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0"/>
        </w:trPr>
        <w:tc>
          <w:tcPr>
            <w:tcW w:w="1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60" w:type="dxa"/>
            <w:vAlign w:val="bottom"/>
            <w:gridSpan w:val="2"/>
          </w:tcPr>
          <w:p>
            <w:pPr>
              <w:ind w:left="120"/>
              <w:spacing w:after="0"/>
              <w:rPr>
                <w:sz w:val="20"/>
                <w:szCs w:val="20"/>
                <w:color w:val="auto"/>
              </w:rPr>
            </w:pPr>
            <w:r>
              <w:rPr>
                <w:rFonts w:ascii="Arial" w:cs="Arial" w:eastAsia="Arial" w:hAnsi="Arial"/>
                <w:sz w:val="18"/>
                <w:szCs w:val="18"/>
                <w:b w:val="1"/>
                <w:bCs w:val="1"/>
                <w:color w:val="4C4C4C"/>
              </w:rPr>
              <w:t>CHENMING C. HU</w:t>
            </w:r>
          </w:p>
        </w:tc>
        <w:tc>
          <w:tcPr>
            <w:tcW w:w="260" w:type="dxa"/>
            <w:vAlign w:val="bottom"/>
          </w:tcPr>
          <w:p>
            <w:pPr>
              <w:spacing w:after="0"/>
              <w:rPr>
                <w:sz w:val="24"/>
                <w:szCs w:val="24"/>
                <w:color w:val="auto"/>
              </w:rPr>
            </w:pPr>
          </w:p>
        </w:tc>
        <w:tc>
          <w:tcPr>
            <w:tcW w:w="3960" w:type="dxa"/>
            <w:vAlign w:val="bottom"/>
            <w:gridSpan w:val="3"/>
          </w:tcPr>
          <w:p>
            <w:pPr>
              <w:ind w:left="1480"/>
              <w:spacing w:after="0"/>
              <w:rPr>
                <w:sz w:val="20"/>
                <w:szCs w:val="20"/>
                <w:color w:val="auto"/>
              </w:rPr>
            </w:pPr>
            <w:r>
              <w:rPr>
                <w:rFonts w:ascii="Arial" w:cs="Arial" w:eastAsia="Arial" w:hAnsi="Arial"/>
                <w:sz w:val="18"/>
                <w:szCs w:val="18"/>
                <w:b w:val="1"/>
                <w:bCs w:val="1"/>
                <w:color w:val="4C4C4C"/>
              </w:rPr>
              <w:t>TRACY LIU</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2"/>
          </w:tcPr>
          <w:p>
            <w:pPr>
              <w:ind w:left="120"/>
              <w:spacing w:after="0" w:line="202" w:lineRule="exact"/>
              <w:rPr>
                <w:sz w:val="20"/>
                <w:szCs w:val="20"/>
                <w:color w:val="auto"/>
              </w:rPr>
            </w:pPr>
            <w:r>
              <w:rPr>
                <w:rFonts w:ascii="Arial" w:cs="Arial" w:eastAsia="Arial" w:hAnsi="Arial"/>
                <w:sz w:val="18"/>
                <w:szCs w:val="18"/>
                <w:color w:val="4C4C4C"/>
              </w:rPr>
              <w:t>Age: 74</w:t>
            </w:r>
          </w:p>
        </w:tc>
        <w:tc>
          <w:tcPr>
            <w:tcW w:w="260" w:type="dxa"/>
            <w:vAlign w:val="bottom"/>
          </w:tcPr>
          <w:p>
            <w:pPr>
              <w:spacing w:after="0"/>
              <w:rPr>
                <w:sz w:val="17"/>
                <w:szCs w:val="17"/>
                <w:color w:val="auto"/>
              </w:rPr>
            </w:pPr>
          </w:p>
        </w:tc>
        <w:tc>
          <w:tcPr>
            <w:tcW w:w="3960" w:type="dxa"/>
            <w:vAlign w:val="bottom"/>
            <w:gridSpan w:val="3"/>
          </w:tcPr>
          <w:p>
            <w:pPr>
              <w:ind w:left="1480"/>
              <w:spacing w:after="0" w:line="202" w:lineRule="exact"/>
              <w:rPr>
                <w:sz w:val="20"/>
                <w:szCs w:val="20"/>
                <w:color w:val="auto"/>
              </w:rPr>
            </w:pPr>
            <w:r>
              <w:rPr>
                <w:rFonts w:ascii="Arial" w:cs="Arial" w:eastAsia="Arial" w:hAnsi="Arial"/>
                <w:sz w:val="18"/>
                <w:szCs w:val="18"/>
                <w:color w:val="4C4C4C"/>
              </w:rPr>
              <w:t>Age: 57</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2"/>
          </w:tcPr>
          <w:p>
            <w:pPr>
              <w:ind w:left="120"/>
              <w:spacing w:after="0" w:line="202" w:lineRule="exact"/>
              <w:rPr>
                <w:sz w:val="20"/>
                <w:szCs w:val="20"/>
                <w:color w:val="auto"/>
              </w:rPr>
            </w:pPr>
            <w:r>
              <w:rPr>
                <w:rFonts w:ascii="Arial" w:cs="Arial" w:eastAsia="Arial" w:hAnsi="Arial"/>
                <w:sz w:val="18"/>
                <w:szCs w:val="18"/>
                <w:color w:val="4C4C4C"/>
              </w:rPr>
              <w:t>ACM Board Service</w:t>
            </w:r>
          </w:p>
        </w:tc>
        <w:tc>
          <w:tcPr>
            <w:tcW w:w="260" w:type="dxa"/>
            <w:vAlign w:val="bottom"/>
          </w:tcPr>
          <w:p>
            <w:pPr>
              <w:spacing w:after="0"/>
              <w:rPr>
                <w:sz w:val="17"/>
                <w:szCs w:val="17"/>
                <w:color w:val="auto"/>
              </w:rPr>
            </w:pPr>
          </w:p>
        </w:tc>
        <w:tc>
          <w:tcPr>
            <w:tcW w:w="3960" w:type="dxa"/>
            <w:vAlign w:val="bottom"/>
            <w:gridSpan w:val="3"/>
          </w:tcPr>
          <w:p>
            <w:pPr>
              <w:ind w:left="1480"/>
              <w:spacing w:after="0" w:line="202" w:lineRule="exact"/>
              <w:rPr>
                <w:sz w:val="20"/>
                <w:szCs w:val="20"/>
                <w:color w:val="auto"/>
              </w:rPr>
            </w:pPr>
            <w:r>
              <w:rPr>
                <w:rFonts w:ascii="Arial" w:cs="Arial" w:eastAsia="Arial" w:hAnsi="Arial"/>
                <w:sz w:val="18"/>
                <w:szCs w:val="18"/>
                <w:color w:val="4C4C4C"/>
              </w:rPr>
              <w:t>ACM Board Service</w:t>
            </w: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ind w:left="120"/>
              <w:spacing w:after="0"/>
              <w:rPr>
                <w:sz w:val="20"/>
                <w:szCs w:val="20"/>
                <w:color w:val="auto"/>
              </w:rPr>
            </w:pPr>
            <w:r>
              <w:rPr>
                <w:rFonts w:ascii="Arial" w:cs="Arial" w:eastAsia="Arial" w:hAnsi="Arial"/>
                <w:sz w:val="13"/>
                <w:szCs w:val="13"/>
                <w:color w:val="4C4C4C"/>
                <w:w w:val="79"/>
              </w:rPr>
              <w:t>• </w:t>
            </w:r>
          </w:p>
        </w:tc>
        <w:tc>
          <w:tcPr>
            <w:tcW w:w="2380" w:type="dxa"/>
            <w:vAlign w:val="bottom"/>
          </w:tcPr>
          <w:p>
            <w:pPr>
              <w:ind w:left="80"/>
              <w:spacing w:after="0"/>
              <w:rPr>
                <w:sz w:val="20"/>
                <w:szCs w:val="20"/>
                <w:color w:val="auto"/>
              </w:rPr>
            </w:pPr>
            <w:r>
              <w:rPr>
                <w:rFonts w:ascii="Arial" w:cs="Arial" w:eastAsia="Arial" w:hAnsi="Arial"/>
                <w:sz w:val="18"/>
                <w:szCs w:val="18"/>
                <w:color w:val="4C4C4C"/>
              </w:rPr>
              <w:t>Tenure: 5 years (2017)</w:t>
            </w:r>
          </w:p>
        </w:tc>
        <w:tc>
          <w:tcPr>
            <w:tcW w:w="260" w:type="dxa"/>
            <w:vAlign w:val="bottom"/>
          </w:tcPr>
          <w:p>
            <w:pPr>
              <w:spacing w:after="0"/>
              <w:rPr>
                <w:sz w:val="19"/>
                <w:szCs w:val="19"/>
                <w:color w:val="auto"/>
              </w:rPr>
            </w:pPr>
          </w:p>
        </w:tc>
        <w:tc>
          <w:tcPr>
            <w:tcW w:w="1660" w:type="dxa"/>
            <w:vAlign w:val="bottom"/>
          </w:tcPr>
          <w:p>
            <w:pPr>
              <w:ind w:left="1480"/>
              <w:spacing w:after="0"/>
              <w:rPr>
                <w:sz w:val="20"/>
                <w:szCs w:val="20"/>
                <w:color w:val="auto"/>
              </w:rPr>
            </w:pPr>
            <w:r>
              <w:rPr>
                <w:rFonts w:ascii="Arial" w:cs="Arial" w:eastAsia="Arial" w:hAnsi="Arial"/>
                <w:sz w:val="16"/>
                <w:szCs w:val="16"/>
                <w:color w:val="4C4C4C"/>
                <w:w w:val="73"/>
              </w:rPr>
              <w:t>• </w:t>
            </w:r>
          </w:p>
        </w:tc>
        <w:tc>
          <w:tcPr>
            <w:tcW w:w="2300" w:type="dxa"/>
            <w:vAlign w:val="bottom"/>
            <w:gridSpan w:val="2"/>
          </w:tcPr>
          <w:p>
            <w:pPr>
              <w:ind w:left="60"/>
              <w:spacing w:after="0"/>
              <w:rPr>
                <w:sz w:val="20"/>
                <w:szCs w:val="20"/>
                <w:color w:val="auto"/>
              </w:rPr>
            </w:pPr>
            <w:r>
              <w:rPr>
                <w:rFonts w:ascii="Arial" w:cs="Arial" w:eastAsia="Arial" w:hAnsi="Arial"/>
                <w:sz w:val="18"/>
                <w:szCs w:val="18"/>
                <w:color w:val="4C4C4C"/>
              </w:rPr>
              <w:t>Tenure: 6 years (2016)</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vMerge w:val="restart"/>
          </w:tcPr>
          <w:p>
            <w:pPr>
              <w:ind w:left="120"/>
              <w:spacing w:after="0"/>
              <w:rPr>
                <w:sz w:val="20"/>
                <w:szCs w:val="20"/>
                <w:color w:val="auto"/>
              </w:rPr>
            </w:pPr>
            <w:r>
              <w:rPr>
                <w:rFonts w:ascii="Arial" w:cs="Arial" w:eastAsia="Arial" w:hAnsi="Arial"/>
                <w:sz w:val="13"/>
                <w:szCs w:val="13"/>
                <w:color w:val="4C4C4C"/>
                <w:w w:val="79"/>
              </w:rPr>
              <w:t>• </w:t>
            </w:r>
          </w:p>
        </w:tc>
        <w:tc>
          <w:tcPr>
            <w:tcW w:w="2380" w:type="dxa"/>
            <w:vAlign w:val="bottom"/>
            <w:vMerge w:val="restart"/>
          </w:tcPr>
          <w:p>
            <w:pPr>
              <w:ind w:left="80"/>
              <w:spacing w:after="0"/>
              <w:rPr>
                <w:sz w:val="20"/>
                <w:szCs w:val="20"/>
                <w:color w:val="auto"/>
              </w:rPr>
            </w:pPr>
            <w:r>
              <w:rPr>
                <w:rFonts w:ascii="Arial" w:cs="Arial" w:eastAsia="Arial" w:hAnsi="Arial"/>
                <w:sz w:val="18"/>
                <w:szCs w:val="18"/>
                <w:color w:val="4C4C4C"/>
              </w:rPr>
              <w:t>Nominating and</w:t>
            </w:r>
          </w:p>
        </w:tc>
        <w:tc>
          <w:tcPr>
            <w:tcW w:w="260" w:type="dxa"/>
            <w:vAlign w:val="bottom"/>
          </w:tcPr>
          <w:p>
            <w:pPr>
              <w:spacing w:after="0"/>
              <w:rPr>
                <w:sz w:val="16"/>
                <w:szCs w:val="16"/>
                <w:color w:val="auto"/>
              </w:rPr>
            </w:pPr>
          </w:p>
        </w:tc>
        <w:tc>
          <w:tcPr>
            <w:tcW w:w="1660" w:type="dxa"/>
            <w:vAlign w:val="bottom"/>
          </w:tcPr>
          <w:p>
            <w:pPr>
              <w:ind w:left="1480"/>
              <w:spacing w:after="0"/>
              <w:rPr>
                <w:sz w:val="20"/>
                <w:szCs w:val="20"/>
                <w:color w:val="auto"/>
              </w:rPr>
            </w:pPr>
            <w:r>
              <w:rPr>
                <w:rFonts w:ascii="Arial" w:cs="Arial" w:eastAsia="Arial" w:hAnsi="Arial"/>
                <w:sz w:val="16"/>
                <w:szCs w:val="16"/>
                <w:color w:val="4C4C4C"/>
                <w:w w:val="73"/>
              </w:rPr>
              <w:t>• </w:t>
            </w:r>
          </w:p>
        </w:tc>
        <w:tc>
          <w:tcPr>
            <w:tcW w:w="2300" w:type="dxa"/>
            <w:vAlign w:val="bottom"/>
            <w:gridSpan w:val="2"/>
          </w:tcPr>
          <w:p>
            <w:pPr>
              <w:ind w:left="60"/>
              <w:spacing w:after="0" w:line="185" w:lineRule="exact"/>
              <w:rPr>
                <w:sz w:val="20"/>
                <w:szCs w:val="20"/>
                <w:color w:val="auto"/>
              </w:rPr>
            </w:pPr>
            <w:r>
              <w:rPr>
                <w:rFonts w:ascii="Arial" w:cs="Arial" w:eastAsia="Arial" w:hAnsi="Arial"/>
                <w:sz w:val="18"/>
                <w:szCs w:val="18"/>
                <w:color w:val="4C4C4C"/>
              </w:rPr>
              <w:t>Committees:</w:t>
            </w:r>
          </w:p>
        </w:tc>
        <w:tc>
          <w:tcPr>
            <w:tcW w:w="0" w:type="dxa"/>
            <w:vAlign w:val="bottom"/>
          </w:tcPr>
          <w:p>
            <w:pPr>
              <w:spacing w:after="0"/>
              <w:rPr>
                <w:sz w:val="1"/>
                <w:szCs w:val="1"/>
                <w:color w:val="auto"/>
              </w:rPr>
            </w:pPr>
          </w:p>
        </w:tc>
      </w:tr>
      <w:tr>
        <w:trPr>
          <w:trHeight w:val="79"/>
        </w:trPr>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3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940" w:type="dxa"/>
            <w:vAlign w:val="bottom"/>
            <w:gridSpan w:val="2"/>
            <w:vMerge w:val="restart"/>
          </w:tcPr>
          <w:p>
            <w:pPr>
              <w:ind w:left="1480"/>
              <w:spacing w:after="0" w:line="189" w:lineRule="exact"/>
              <w:rPr>
                <w:sz w:val="20"/>
                <w:szCs w:val="20"/>
                <w:color w:val="auto"/>
              </w:rPr>
            </w:pPr>
            <w:r>
              <w:rPr>
                <w:rFonts w:ascii="Arial" w:cs="Arial" w:eastAsia="Arial" w:hAnsi="Arial"/>
                <w:sz w:val="17"/>
                <w:szCs w:val="17"/>
                <w:color w:val="4C4C4C"/>
              </w:rPr>
              <w:t xml:space="preserve">      </w:t>
            </w:r>
            <w:r>
              <w:rPr>
                <w:rFonts w:ascii="Arial" w:cs="Arial" w:eastAsia="Arial" w:hAnsi="Arial"/>
                <w:sz w:val="10"/>
                <w:szCs w:val="10"/>
                <w:color w:val="4C4C4C"/>
              </w:rPr>
              <w:t>○</w:t>
            </w:r>
            <w:r>
              <w:rPr>
                <w:rFonts w:ascii="Arial" w:cs="Arial" w:eastAsia="Arial" w:hAnsi="Arial"/>
                <w:sz w:val="17"/>
                <w:szCs w:val="17"/>
                <w:color w:val="4C4C4C"/>
              </w:rPr>
              <w:t xml:space="preserve"> </w:t>
            </w:r>
          </w:p>
        </w:tc>
        <w:tc>
          <w:tcPr>
            <w:tcW w:w="2020" w:type="dxa"/>
            <w:vAlign w:val="bottom"/>
            <w:vMerge w:val="restart"/>
          </w:tcPr>
          <w:p>
            <w:pPr>
              <w:spacing w:after="0" w:line="189" w:lineRule="exact"/>
              <w:rPr>
                <w:sz w:val="20"/>
                <w:szCs w:val="20"/>
                <w:color w:val="auto"/>
              </w:rPr>
            </w:pPr>
            <w:r>
              <w:rPr>
                <w:rFonts w:ascii="Arial" w:cs="Arial" w:eastAsia="Arial" w:hAnsi="Arial"/>
                <w:sz w:val="17"/>
                <w:szCs w:val="17"/>
                <w:color w:val="4C4C4C"/>
              </w:rPr>
              <w:t>Audit (Chair)</w:t>
            </w:r>
          </w:p>
        </w:tc>
        <w:tc>
          <w:tcPr>
            <w:tcW w:w="0" w:type="dxa"/>
            <w:vAlign w:val="bottom"/>
          </w:tcPr>
          <w:p>
            <w:pPr>
              <w:spacing w:after="0"/>
              <w:rPr>
                <w:sz w:val="1"/>
                <w:szCs w:val="1"/>
                <w:color w:val="auto"/>
              </w:rPr>
            </w:pPr>
          </w:p>
        </w:tc>
      </w:tr>
      <w:tr>
        <w:trPr>
          <w:trHeight w:val="110"/>
        </w:trPr>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80" w:type="dxa"/>
            <w:vAlign w:val="bottom"/>
            <w:vMerge w:val="restart"/>
          </w:tcPr>
          <w:p>
            <w:pPr>
              <w:ind w:left="100"/>
              <w:spacing w:after="0" w:line="202" w:lineRule="exact"/>
              <w:rPr>
                <w:sz w:val="20"/>
                <w:szCs w:val="20"/>
                <w:color w:val="auto"/>
              </w:rPr>
            </w:pPr>
            <w:r>
              <w:rPr>
                <w:rFonts w:ascii="Arial" w:cs="Arial" w:eastAsia="Arial" w:hAnsi="Arial"/>
                <w:sz w:val="18"/>
                <w:szCs w:val="18"/>
                <w:color w:val="4C4C4C"/>
              </w:rPr>
              <w:t>Governance Committee</w:t>
            </w:r>
          </w:p>
        </w:tc>
        <w:tc>
          <w:tcPr>
            <w:tcW w:w="26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3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940" w:type="dxa"/>
            <w:vAlign w:val="bottom"/>
            <w:gridSpan w:val="2"/>
            <w:vMerge w:val="restart"/>
          </w:tcPr>
          <w:p>
            <w:pPr>
              <w:ind w:left="1480"/>
              <w:spacing w:after="0" w:line="189" w:lineRule="exact"/>
              <w:rPr>
                <w:sz w:val="20"/>
                <w:szCs w:val="20"/>
                <w:color w:val="auto"/>
              </w:rPr>
            </w:pPr>
            <w:r>
              <w:rPr>
                <w:rFonts w:ascii="Arial" w:cs="Arial" w:eastAsia="Arial" w:hAnsi="Arial"/>
                <w:sz w:val="17"/>
                <w:szCs w:val="17"/>
                <w:color w:val="4C4C4C"/>
              </w:rPr>
              <w:t xml:space="preserve">      </w:t>
            </w:r>
            <w:r>
              <w:rPr>
                <w:rFonts w:ascii="Arial" w:cs="Arial" w:eastAsia="Arial" w:hAnsi="Arial"/>
                <w:sz w:val="10"/>
                <w:szCs w:val="10"/>
                <w:color w:val="4C4C4C"/>
              </w:rPr>
              <w:t>○</w:t>
            </w:r>
            <w:r>
              <w:rPr>
                <w:rFonts w:ascii="Arial" w:cs="Arial" w:eastAsia="Arial" w:hAnsi="Arial"/>
                <w:sz w:val="17"/>
                <w:szCs w:val="17"/>
                <w:color w:val="4C4C4C"/>
              </w:rPr>
              <w:t xml:space="preserve"> </w:t>
            </w:r>
          </w:p>
        </w:tc>
        <w:tc>
          <w:tcPr>
            <w:tcW w:w="2020" w:type="dxa"/>
            <w:vAlign w:val="bottom"/>
            <w:vMerge w:val="restart"/>
          </w:tcPr>
          <w:p>
            <w:pPr>
              <w:ind w:left="20"/>
              <w:spacing w:after="0" w:line="189" w:lineRule="exact"/>
              <w:rPr>
                <w:sz w:val="20"/>
                <w:szCs w:val="20"/>
                <w:color w:val="auto"/>
              </w:rPr>
            </w:pPr>
            <w:r>
              <w:rPr>
                <w:rFonts w:ascii="Arial" w:cs="Arial" w:eastAsia="Arial" w:hAnsi="Arial"/>
                <w:sz w:val="17"/>
                <w:szCs w:val="17"/>
                <w:color w:val="4C4C4C"/>
              </w:rPr>
              <w:t>Compensation</w:t>
            </w:r>
          </w:p>
        </w:tc>
        <w:tc>
          <w:tcPr>
            <w:tcW w:w="0" w:type="dxa"/>
            <w:vAlign w:val="bottom"/>
          </w:tcPr>
          <w:p>
            <w:pPr>
              <w:spacing w:after="0"/>
              <w:rPr>
                <w:sz w:val="1"/>
                <w:szCs w:val="1"/>
                <w:color w:val="auto"/>
              </w:rPr>
            </w:pPr>
          </w:p>
        </w:tc>
      </w:tr>
      <w:tr>
        <w:trPr>
          <w:trHeight w:val="96"/>
        </w:trPr>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380" w:type="dxa"/>
            <w:vAlign w:val="bottom"/>
            <w:vMerge w:val="restart"/>
          </w:tcPr>
          <w:p>
            <w:pPr>
              <w:ind w:left="100"/>
              <w:spacing w:after="0"/>
              <w:rPr>
                <w:sz w:val="20"/>
                <w:szCs w:val="20"/>
                <w:color w:val="auto"/>
              </w:rPr>
            </w:pPr>
            <w:r>
              <w:rPr>
                <w:rFonts w:ascii="Arial" w:cs="Arial" w:eastAsia="Arial" w:hAnsi="Arial"/>
                <w:sz w:val="18"/>
                <w:szCs w:val="18"/>
                <w:color w:val="4C4C4C"/>
              </w:rPr>
              <w:t>(Chair)</w:t>
            </w:r>
          </w:p>
        </w:tc>
        <w:tc>
          <w:tcPr>
            <w:tcW w:w="260" w:type="dxa"/>
            <w:vAlign w:val="bottom"/>
          </w:tcPr>
          <w:p>
            <w:pPr>
              <w:spacing w:after="0"/>
              <w:rPr>
                <w:sz w:val="8"/>
                <w:szCs w:val="8"/>
                <w:color w:val="auto"/>
              </w:rPr>
            </w:pPr>
          </w:p>
        </w:tc>
        <w:tc>
          <w:tcPr>
            <w:tcW w:w="1940" w:type="dxa"/>
            <w:vAlign w:val="bottom"/>
            <w:gridSpan w:val="2"/>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vMerge w:val="restart"/>
          </w:tcPr>
          <w:p>
            <w:pPr>
              <w:ind w:left="120"/>
              <w:spacing w:after="0"/>
              <w:rPr>
                <w:sz w:val="20"/>
                <w:szCs w:val="20"/>
                <w:color w:val="auto"/>
              </w:rPr>
            </w:pPr>
            <w:r>
              <w:rPr>
                <w:rFonts w:ascii="Arial" w:cs="Arial" w:eastAsia="Arial" w:hAnsi="Arial"/>
                <w:sz w:val="18"/>
                <w:szCs w:val="18"/>
                <w:color w:val="4C4C4C"/>
                <w:w w:val="77"/>
              </w:rPr>
              <w:t> </w:t>
            </w:r>
          </w:p>
        </w:tc>
        <w:tc>
          <w:tcPr>
            <w:tcW w:w="2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960" w:type="dxa"/>
            <w:vAlign w:val="bottom"/>
            <w:gridSpan w:val="3"/>
            <w:vMerge w:val="restart"/>
          </w:tcPr>
          <w:p>
            <w:pPr>
              <w:ind w:left="1480"/>
              <w:spacing w:after="0"/>
              <w:rPr>
                <w:sz w:val="20"/>
                <w:szCs w:val="20"/>
                <w:color w:val="auto"/>
              </w:rPr>
            </w:pPr>
            <w:r>
              <w:rPr>
                <w:rFonts w:ascii="Arial" w:cs="Arial" w:eastAsia="Arial" w:hAnsi="Arial"/>
                <w:sz w:val="17"/>
                <w:szCs w:val="17"/>
                <w:color w:val="4C4C4C"/>
                <w:w w:val="92"/>
              </w:rPr>
              <w:t xml:space="preserve">      </w:t>
            </w:r>
            <w:r>
              <w:rPr>
                <w:rFonts w:ascii="Arial" w:cs="Arial" w:eastAsia="Arial" w:hAnsi="Arial"/>
                <w:sz w:val="10"/>
                <w:szCs w:val="10"/>
                <w:color w:val="4C4C4C"/>
                <w:w w:val="92"/>
              </w:rPr>
              <w:t>○</w:t>
            </w:r>
            <w:r>
              <w:rPr>
                <w:rFonts w:ascii="Arial" w:cs="Arial" w:eastAsia="Arial" w:hAnsi="Arial"/>
                <w:sz w:val="17"/>
                <w:szCs w:val="17"/>
                <w:color w:val="4C4C4C"/>
                <w:w w:val="92"/>
              </w:rPr>
              <w:t xml:space="preserve">  Nominating and Governance</w:t>
            </w:r>
          </w:p>
        </w:tc>
        <w:tc>
          <w:tcPr>
            <w:tcW w:w="0" w:type="dxa"/>
            <w:vAlign w:val="bottom"/>
          </w:tcPr>
          <w:p>
            <w:pPr>
              <w:spacing w:after="0"/>
              <w:rPr>
                <w:sz w:val="1"/>
                <w:szCs w:val="1"/>
                <w:color w:val="auto"/>
              </w:rPr>
            </w:pPr>
          </w:p>
        </w:tc>
      </w:tr>
      <w:tr>
        <w:trPr>
          <w:trHeight w:val="75"/>
        </w:trPr>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9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960" w:type="dxa"/>
            <w:vAlign w:val="bottom"/>
            <w:gridSpan w:val="3"/>
            <w:vMerge w:val="restart"/>
          </w:tcPr>
          <w:p>
            <w:pPr>
              <w:ind w:left="1480"/>
              <w:spacing w:after="0"/>
              <w:rPr>
                <w:sz w:val="20"/>
                <w:szCs w:val="20"/>
                <w:color w:val="auto"/>
              </w:rPr>
            </w:pPr>
            <w:r>
              <w:rPr>
                <w:rFonts w:ascii="Arial" w:cs="Arial" w:eastAsia="Arial" w:hAnsi="Arial"/>
                <w:sz w:val="18"/>
                <w:szCs w:val="18"/>
                <w:b w:val="1"/>
                <w:bCs w:val="1"/>
                <w:color w:val="4694D0"/>
              </w:rPr>
              <w:t>INDEPENDENT</w:t>
            </w:r>
          </w:p>
        </w:tc>
        <w:tc>
          <w:tcPr>
            <w:tcW w:w="0" w:type="dxa"/>
            <w:vAlign w:val="bottom"/>
          </w:tcPr>
          <w:p>
            <w:pPr>
              <w:spacing w:after="0"/>
              <w:rPr>
                <w:sz w:val="1"/>
                <w:szCs w:val="1"/>
                <w:color w:val="auto"/>
              </w:rPr>
            </w:pPr>
          </w:p>
        </w:tc>
      </w:tr>
      <w:tr>
        <w:trPr>
          <w:trHeight w:val="166"/>
        </w:trPr>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4694D0"/>
              </w:rPr>
              <w:t>INDEPENDENT</w:t>
            </w:r>
          </w:p>
        </w:tc>
        <w:tc>
          <w:tcPr>
            <w:tcW w:w="260" w:type="dxa"/>
            <w:vAlign w:val="bottom"/>
          </w:tcPr>
          <w:p>
            <w:pPr>
              <w:spacing w:after="0"/>
              <w:rPr>
                <w:sz w:val="14"/>
                <w:szCs w:val="14"/>
                <w:color w:val="auto"/>
              </w:rPr>
            </w:pPr>
          </w:p>
        </w:tc>
        <w:tc>
          <w:tcPr>
            <w:tcW w:w="3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60" w:type="dxa"/>
            <w:vAlign w:val="bottom"/>
            <w:vMerge w:val="restart"/>
          </w:tcPr>
          <w:p>
            <w:pPr>
              <w:spacing w:after="0"/>
              <w:rPr>
                <w:sz w:val="20"/>
                <w:szCs w:val="20"/>
                <w:color w:val="auto"/>
              </w:rPr>
            </w:pPr>
            <w:r>
              <w:rPr>
                <w:rFonts w:ascii="Arial" w:cs="Arial" w:eastAsia="Arial" w:hAnsi="Arial"/>
                <w:sz w:val="18"/>
                <w:szCs w:val="18"/>
                <w:color w:val="4C4C4C"/>
              </w:rPr>
              <w:t xml:space="preserve">  </w:t>
            </w:r>
          </w:p>
        </w:tc>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60" w:type="dxa"/>
            <w:vAlign w:val="bottom"/>
            <w:gridSpan w:val="2"/>
            <w:vMerge w:val="continue"/>
          </w:tcPr>
          <w:p>
            <w:pPr>
              <w:spacing w:after="0"/>
              <w:rPr>
                <w:sz w:val="7"/>
                <w:szCs w:val="7"/>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4C4C4C"/>
              </w:rPr>
              <w:t xml:space="preserve">  </w:t>
            </w:r>
          </w:p>
        </w:tc>
        <w:tc>
          <w:tcPr>
            <w:tcW w:w="1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6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4200" w:type="dxa"/>
            <w:vAlign w:val="bottom"/>
            <w:gridSpan w:val="5"/>
          </w:tcPr>
          <w:p>
            <w:pPr>
              <w:spacing w:after="0"/>
              <w:rPr>
                <w:sz w:val="20"/>
                <w:szCs w:val="20"/>
                <w:color w:val="auto"/>
              </w:rPr>
            </w:pPr>
            <w:r>
              <w:rPr>
                <w:rFonts w:ascii="Arial" w:cs="Arial" w:eastAsia="Arial" w:hAnsi="Arial"/>
                <w:sz w:val="18"/>
                <w:szCs w:val="18"/>
                <w:b w:val="1"/>
                <w:bCs w:val="1"/>
                <w:color w:val="4C4C4C"/>
              </w:rPr>
              <w:t>Professional Experience</w:t>
            </w:r>
          </w:p>
        </w:tc>
        <w:tc>
          <w:tcPr>
            <w:tcW w:w="2200" w:type="dxa"/>
            <w:vAlign w:val="bottom"/>
            <w:gridSpan w:val="3"/>
          </w:tcPr>
          <w:p>
            <w:pPr>
              <w:ind w:left="80"/>
              <w:spacing w:after="0"/>
              <w:rPr>
                <w:sz w:val="20"/>
                <w:szCs w:val="20"/>
                <w:color w:val="auto"/>
              </w:rPr>
            </w:pPr>
            <w:r>
              <w:rPr>
                <w:rFonts w:ascii="Arial" w:cs="Arial" w:eastAsia="Arial" w:hAnsi="Arial"/>
                <w:sz w:val="18"/>
                <w:szCs w:val="18"/>
                <w:b w:val="1"/>
                <w:bCs w:val="1"/>
                <w:color w:val="4C4C4C"/>
              </w:rPr>
              <w:t>Professional Experience</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0" w:type="dxa"/>
            <w:vAlign w:val="bottom"/>
          </w:tcPr>
          <w:p>
            <w:pPr>
              <w:spacing w:after="0"/>
              <w:rPr>
                <w:sz w:val="20"/>
                <w:szCs w:val="20"/>
                <w:color w:val="auto"/>
              </w:rPr>
            </w:pPr>
            <w:r>
              <w:rPr>
                <w:rFonts w:ascii="Arial" w:cs="Arial" w:eastAsia="Arial" w:hAnsi="Arial"/>
                <w:sz w:val="13"/>
                <w:szCs w:val="13"/>
                <w:color w:val="4C4C4C"/>
                <w:w w:val="79"/>
              </w:rPr>
              <w:t>• </w:t>
            </w:r>
          </w:p>
        </w:tc>
        <w:tc>
          <w:tcPr>
            <w:tcW w:w="4040" w:type="dxa"/>
            <w:vAlign w:val="bottom"/>
            <w:gridSpan w:val="4"/>
          </w:tcPr>
          <w:p>
            <w:pPr>
              <w:ind w:left="60"/>
              <w:spacing w:after="0"/>
              <w:rPr>
                <w:sz w:val="20"/>
                <w:szCs w:val="20"/>
                <w:color w:val="auto"/>
              </w:rPr>
            </w:pPr>
            <w:r>
              <w:rPr>
                <w:rFonts w:ascii="Arial" w:cs="Arial" w:eastAsia="Arial" w:hAnsi="Arial"/>
                <w:sz w:val="18"/>
                <w:szCs w:val="18"/>
                <w:color w:val="4C4C4C"/>
                <w:w w:val="97"/>
              </w:rPr>
              <w:t>Served as one of our directors since January 2017.</w:t>
            </w:r>
          </w:p>
        </w:tc>
        <w:tc>
          <w:tcPr>
            <w:tcW w:w="260" w:type="dxa"/>
            <w:vAlign w:val="bottom"/>
          </w:tcPr>
          <w:p>
            <w:pPr>
              <w:ind w:left="80"/>
              <w:spacing w:after="0"/>
              <w:rPr>
                <w:sz w:val="20"/>
                <w:szCs w:val="20"/>
                <w:color w:val="auto"/>
              </w:rPr>
            </w:pPr>
            <w:r>
              <w:rPr>
                <w:rFonts w:ascii="Arial" w:cs="Arial" w:eastAsia="Arial" w:hAnsi="Arial"/>
                <w:sz w:val="16"/>
                <w:szCs w:val="16"/>
                <w:color w:val="4C4C4C"/>
                <w:w w:val="73"/>
              </w:rPr>
              <w:t>• </w:t>
            </w:r>
          </w:p>
        </w:tc>
        <w:tc>
          <w:tcPr>
            <w:tcW w:w="3960" w:type="dxa"/>
            <w:vAlign w:val="bottom"/>
            <w:gridSpan w:val="3"/>
          </w:tcPr>
          <w:p>
            <w:pPr>
              <w:ind w:left="40"/>
              <w:spacing w:after="0"/>
              <w:rPr>
                <w:sz w:val="20"/>
                <w:szCs w:val="20"/>
                <w:color w:val="auto"/>
              </w:rPr>
            </w:pPr>
            <w:r>
              <w:rPr>
                <w:rFonts w:ascii="Arial" w:cs="Arial" w:eastAsia="Arial" w:hAnsi="Arial"/>
                <w:sz w:val="18"/>
                <w:szCs w:val="18"/>
                <w:color w:val="4C4C4C"/>
                <w:w w:val="90"/>
              </w:rPr>
              <w:t>Served as one of our directors since September 2016.</w:t>
            </w:r>
          </w:p>
        </w:tc>
        <w:tc>
          <w:tcPr>
            <w:tcW w:w="0" w:type="dxa"/>
            <w:vAlign w:val="bottom"/>
          </w:tcPr>
          <w:p>
            <w:pPr>
              <w:spacing w:after="0"/>
              <w:rPr>
                <w:sz w:val="1"/>
                <w:szCs w:val="1"/>
                <w:color w:val="auto"/>
              </w:rPr>
            </w:pPr>
          </w:p>
        </w:tc>
      </w:tr>
      <w:tr>
        <w:trPr>
          <w:trHeight w:val="220"/>
        </w:trPr>
        <w:tc>
          <w:tcPr>
            <w:tcW w:w="160" w:type="dxa"/>
            <w:vAlign w:val="bottom"/>
          </w:tcPr>
          <w:p>
            <w:pPr>
              <w:spacing w:after="0"/>
              <w:rPr>
                <w:sz w:val="20"/>
                <w:szCs w:val="20"/>
                <w:color w:val="auto"/>
              </w:rPr>
            </w:pPr>
            <w:r>
              <w:rPr>
                <w:rFonts w:ascii="Arial" w:cs="Arial" w:eastAsia="Arial" w:hAnsi="Arial"/>
                <w:sz w:val="13"/>
                <w:szCs w:val="13"/>
                <w:color w:val="4C4C4C"/>
                <w:w w:val="79"/>
              </w:rPr>
              <w:t>• </w:t>
            </w:r>
          </w:p>
        </w:tc>
        <w:tc>
          <w:tcPr>
            <w:tcW w:w="4040" w:type="dxa"/>
            <w:vAlign w:val="bottom"/>
            <w:gridSpan w:val="4"/>
          </w:tcPr>
          <w:p>
            <w:pPr>
              <w:ind w:left="80"/>
              <w:spacing w:after="0"/>
              <w:rPr>
                <w:sz w:val="20"/>
                <w:szCs w:val="20"/>
                <w:color w:val="auto"/>
              </w:rPr>
            </w:pPr>
            <w:r>
              <w:rPr>
                <w:rFonts w:ascii="Arial" w:cs="Arial" w:eastAsia="Arial" w:hAnsi="Arial"/>
                <w:sz w:val="18"/>
                <w:szCs w:val="18"/>
                <w:color w:val="4C4C4C"/>
              </w:rPr>
              <w:t>Served as a member of our board of advisors</w:t>
            </w:r>
          </w:p>
        </w:tc>
        <w:tc>
          <w:tcPr>
            <w:tcW w:w="260" w:type="dxa"/>
            <w:vAlign w:val="bottom"/>
          </w:tcPr>
          <w:p>
            <w:pPr>
              <w:ind w:left="80"/>
              <w:spacing w:after="0"/>
              <w:rPr>
                <w:sz w:val="20"/>
                <w:szCs w:val="20"/>
                <w:color w:val="auto"/>
              </w:rPr>
            </w:pPr>
            <w:r>
              <w:rPr>
                <w:rFonts w:ascii="Arial" w:cs="Arial" w:eastAsia="Arial" w:hAnsi="Arial"/>
                <w:sz w:val="16"/>
                <w:szCs w:val="16"/>
                <w:color w:val="4C4C4C"/>
                <w:w w:val="73"/>
              </w:rPr>
              <w:t>• </w:t>
            </w:r>
          </w:p>
        </w:tc>
        <w:tc>
          <w:tcPr>
            <w:tcW w:w="3960" w:type="dxa"/>
            <w:vAlign w:val="bottom"/>
            <w:gridSpan w:val="3"/>
          </w:tcPr>
          <w:p>
            <w:pPr>
              <w:ind w:left="60"/>
              <w:spacing w:after="0"/>
              <w:rPr>
                <w:sz w:val="20"/>
                <w:szCs w:val="20"/>
                <w:color w:val="auto"/>
              </w:rPr>
            </w:pPr>
            <w:r>
              <w:rPr>
                <w:rFonts w:ascii="Arial" w:cs="Arial" w:eastAsia="Arial" w:hAnsi="Arial"/>
                <w:sz w:val="18"/>
                <w:szCs w:val="18"/>
                <w:color w:val="4C4C4C"/>
              </w:rPr>
              <w:t>Managing Partner of H&amp;M Int’l CPAs, LLP since</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1660" w:type="dxa"/>
            <w:vAlign w:val="bottom"/>
            <w:gridSpan w:val="3"/>
          </w:tcPr>
          <w:p>
            <w:pPr>
              <w:ind w:left="100"/>
              <w:spacing w:after="0"/>
              <w:rPr>
                <w:sz w:val="20"/>
                <w:szCs w:val="20"/>
                <w:color w:val="auto"/>
              </w:rPr>
            </w:pPr>
            <w:r>
              <w:rPr>
                <w:rFonts w:ascii="Arial" w:cs="Arial" w:eastAsia="Arial" w:hAnsi="Arial"/>
                <w:sz w:val="18"/>
                <w:szCs w:val="18"/>
                <w:color w:val="4C4C4C"/>
              </w:rPr>
              <w:t>since May 2016.</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ind w:left="80"/>
              <w:spacing w:after="0"/>
              <w:rPr>
                <w:sz w:val="20"/>
                <w:szCs w:val="20"/>
                <w:color w:val="auto"/>
              </w:rPr>
            </w:pPr>
            <w:r>
              <w:rPr>
                <w:rFonts w:ascii="Arial" w:cs="Arial" w:eastAsia="Arial" w:hAnsi="Arial"/>
                <w:sz w:val="18"/>
                <w:szCs w:val="18"/>
                <w:color w:val="4C4C4C"/>
              </w:rPr>
              <w:t>January 2017.</w:t>
            </w: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0" w:type="dxa"/>
            <w:vAlign w:val="bottom"/>
          </w:tcPr>
          <w:p>
            <w:pPr>
              <w:spacing w:after="0"/>
              <w:rPr>
                <w:sz w:val="20"/>
                <w:szCs w:val="20"/>
                <w:color w:val="auto"/>
              </w:rPr>
            </w:pPr>
            <w:r>
              <w:rPr>
                <w:rFonts w:ascii="Arial" w:cs="Arial" w:eastAsia="Arial" w:hAnsi="Arial"/>
                <w:sz w:val="13"/>
                <w:szCs w:val="13"/>
                <w:color w:val="4C4C4C"/>
                <w:w w:val="79"/>
              </w:rPr>
              <w:t>• </w:t>
            </w:r>
          </w:p>
        </w:tc>
        <w:tc>
          <w:tcPr>
            <w:tcW w:w="4040" w:type="dxa"/>
            <w:vAlign w:val="bottom"/>
            <w:gridSpan w:val="4"/>
          </w:tcPr>
          <w:p>
            <w:pPr>
              <w:ind w:left="80"/>
              <w:spacing w:after="0"/>
              <w:rPr>
                <w:sz w:val="20"/>
                <w:szCs w:val="20"/>
                <w:color w:val="auto"/>
              </w:rPr>
            </w:pPr>
            <w:r>
              <w:rPr>
                <w:rFonts w:ascii="Arial" w:cs="Arial" w:eastAsia="Arial" w:hAnsi="Arial"/>
                <w:sz w:val="18"/>
                <w:szCs w:val="18"/>
                <w:color w:val="4C4C4C"/>
              </w:rPr>
              <w:t>Professor in electrical engineering and computer</w:t>
            </w:r>
          </w:p>
        </w:tc>
        <w:tc>
          <w:tcPr>
            <w:tcW w:w="260" w:type="dxa"/>
            <w:vAlign w:val="bottom"/>
          </w:tcPr>
          <w:p>
            <w:pPr>
              <w:ind w:left="80"/>
              <w:spacing w:after="0"/>
              <w:rPr>
                <w:sz w:val="20"/>
                <w:szCs w:val="20"/>
                <w:color w:val="auto"/>
              </w:rPr>
            </w:pPr>
            <w:r>
              <w:rPr>
                <w:rFonts w:ascii="Arial" w:cs="Arial" w:eastAsia="Arial" w:hAnsi="Arial"/>
                <w:sz w:val="16"/>
                <w:szCs w:val="16"/>
                <w:color w:val="4C4C4C"/>
                <w:w w:val="73"/>
              </w:rPr>
              <w:t>• </w:t>
            </w:r>
          </w:p>
        </w:tc>
        <w:tc>
          <w:tcPr>
            <w:tcW w:w="3960" w:type="dxa"/>
            <w:vAlign w:val="bottom"/>
            <w:gridSpan w:val="3"/>
          </w:tcPr>
          <w:p>
            <w:pPr>
              <w:ind w:left="60"/>
              <w:spacing w:after="0"/>
              <w:rPr>
                <w:sz w:val="20"/>
                <w:szCs w:val="20"/>
                <w:color w:val="auto"/>
              </w:rPr>
            </w:pPr>
            <w:r>
              <w:rPr>
                <w:rFonts w:ascii="Arial" w:cs="Arial" w:eastAsia="Arial" w:hAnsi="Arial"/>
                <w:sz w:val="18"/>
                <w:szCs w:val="18"/>
                <w:color w:val="4C4C4C"/>
                <w:w w:val="99"/>
              </w:rPr>
              <w:t>Founder and owner of H&amp;M Financial Consulting</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040" w:type="dxa"/>
            <w:vAlign w:val="bottom"/>
            <w:gridSpan w:val="4"/>
          </w:tcPr>
          <w:p>
            <w:pPr>
              <w:ind w:left="100"/>
              <w:spacing w:after="0" w:line="202" w:lineRule="exact"/>
              <w:rPr>
                <w:sz w:val="20"/>
                <w:szCs w:val="20"/>
                <w:color w:val="auto"/>
              </w:rPr>
            </w:pPr>
            <w:r>
              <w:rPr>
                <w:rFonts w:ascii="Arial" w:cs="Arial" w:eastAsia="Arial" w:hAnsi="Arial"/>
                <w:sz w:val="18"/>
                <w:szCs w:val="18"/>
                <w:color w:val="4C4C4C"/>
              </w:rPr>
              <w:t>sciences  at  the  University  of  California,</w:t>
            </w:r>
          </w:p>
        </w:tc>
        <w:tc>
          <w:tcPr>
            <w:tcW w:w="260" w:type="dxa"/>
            <w:vAlign w:val="bottom"/>
          </w:tcPr>
          <w:p>
            <w:pPr>
              <w:spacing w:after="0"/>
              <w:rPr>
                <w:sz w:val="17"/>
                <w:szCs w:val="17"/>
                <w:color w:val="auto"/>
              </w:rPr>
            </w:pPr>
          </w:p>
        </w:tc>
        <w:tc>
          <w:tcPr>
            <w:tcW w:w="3960" w:type="dxa"/>
            <w:vAlign w:val="bottom"/>
            <w:gridSpan w:val="3"/>
          </w:tcPr>
          <w:p>
            <w:pPr>
              <w:ind w:left="80"/>
              <w:spacing w:after="0" w:line="202" w:lineRule="exact"/>
              <w:rPr>
                <w:sz w:val="20"/>
                <w:szCs w:val="20"/>
                <w:color w:val="auto"/>
              </w:rPr>
            </w:pPr>
            <w:r>
              <w:rPr>
                <w:rFonts w:ascii="Arial" w:cs="Arial" w:eastAsia="Arial" w:hAnsi="Arial"/>
                <w:sz w:val="18"/>
                <w:szCs w:val="18"/>
                <w:color w:val="4C4C4C"/>
              </w:rPr>
              <w:t>from  2006  to  2016,  where  she  provided</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040" w:type="dxa"/>
            <w:vAlign w:val="bottom"/>
            <w:gridSpan w:val="4"/>
          </w:tcPr>
          <w:p>
            <w:pPr>
              <w:ind w:left="100"/>
              <w:spacing w:after="0" w:line="202" w:lineRule="exact"/>
              <w:rPr>
                <w:sz w:val="20"/>
                <w:szCs w:val="20"/>
                <w:color w:val="auto"/>
              </w:rPr>
            </w:pPr>
            <w:r>
              <w:rPr>
                <w:rFonts w:ascii="Arial" w:cs="Arial" w:eastAsia="Arial" w:hAnsi="Arial"/>
                <w:sz w:val="18"/>
                <w:szCs w:val="18"/>
                <w:color w:val="4C4C4C"/>
              </w:rPr>
              <w:t>Berkeley since 1976.</w:t>
            </w:r>
          </w:p>
        </w:tc>
        <w:tc>
          <w:tcPr>
            <w:tcW w:w="260" w:type="dxa"/>
            <w:vAlign w:val="bottom"/>
          </w:tcPr>
          <w:p>
            <w:pPr>
              <w:spacing w:after="0"/>
              <w:rPr>
                <w:sz w:val="17"/>
                <w:szCs w:val="17"/>
                <w:color w:val="auto"/>
              </w:rPr>
            </w:pPr>
          </w:p>
        </w:tc>
        <w:tc>
          <w:tcPr>
            <w:tcW w:w="3960" w:type="dxa"/>
            <w:vAlign w:val="bottom"/>
            <w:gridSpan w:val="3"/>
          </w:tcPr>
          <w:p>
            <w:pPr>
              <w:ind w:left="80"/>
              <w:spacing w:after="0" w:line="202" w:lineRule="exact"/>
              <w:rPr>
                <w:sz w:val="20"/>
                <w:szCs w:val="20"/>
                <w:color w:val="auto"/>
              </w:rPr>
            </w:pPr>
            <w:r>
              <w:rPr>
                <w:rFonts w:ascii="Arial" w:cs="Arial" w:eastAsia="Arial" w:hAnsi="Arial"/>
                <w:sz w:val="18"/>
                <w:szCs w:val="18"/>
                <w:color w:val="4C4C4C"/>
              </w:rPr>
              <w:t>international accounting and tax solutions to</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0"/>
                <w:szCs w:val="20"/>
                <w:color w:val="auto"/>
              </w:rPr>
            </w:pPr>
            <w:r>
              <w:rPr>
                <w:rFonts w:ascii="Arial" w:cs="Arial" w:eastAsia="Arial" w:hAnsi="Arial"/>
                <w:sz w:val="13"/>
                <w:szCs w:val="13"/>
                <w:color w:val="4C4C4C"/>
                <w:w w:val="79"/>
              </w:rPr>
              <w:t>• </w:t>
            </w:r>
          </w:p>
        </w:tc>
        <w:tc>
          <w:tcPr>
            <w:tcW w:w="4040" w:type="dxa"/>
            <w:vAlign w:val="bottom"/>
            <w:gridSpan w:val="4"/>
          </w:tcPr>
          <w:p>
            <w:pPr>
              <w:ind w:left="80"/>
              <w:spacing w:after="0"/>
              <w:rPr>
                <w:sz w:val="20"/>
                <w:szCs w:val="20"/>
                <w:color w:val="auto"/>
              </w:rPr>
            </w:pPr>
            <w:r>
              <w:rPr>
                <w:rFonts w:ascii="Arial" w:cs="Arial" w:eastAsia="Arial" w:hAnsi="Arial"/>
                <w:sz w:val="18"/>
                <w:szCs w:val="18"/>
                <w:color w:val="4C4C4C"/>
              </w:rPr>
              <w:t>Taiwan Semiconductor Manufacturing Company</w:t>
            </w:r>
          </w:p>
        </w:tc>
        <w:tc>
          <w:tcPr>
            <w:tcW w:w="260" w:type="dxa"/>
            <w:vAlign w:val="bottom"/>
          </w:tcPr>
          <w:p>
            <w:pPr>
              <w:spacing w:after="0"/>
              <w:rPr>
                <w:sz w:val="22"/>
                <w:szCs w:val="22"/>
                <w:color w:val="auto"/>
              </w:rPr>
            </w:pPr>
          </w:p>
        </w:tc>
        <w:tc>
          <w:tcPr>
            <w:tcW w:w="3960" w:type="dxa"/>
            <w:vAlign w:val="bottom"/>
            <w:gridSpan w:val="3"/>
          </w:tcPr>
          <w:p>
            <w:pPr>
              <w:ind w:left="80"/>
              <w:spacing w:after="0"/>
              <w:rPr>
                <w:sz w:val="20"/>
                <w:szCs w:val="20"/>
                <w:color w:val="auto"/>
              </w:rPr>
            </w:pPr>
            <w:r>
              <w:rPr>
                <w:rFonts w:ascii="Arial" w:cs="Arial" w:eastAsia="Arial" w:hAnsi="Arial"/>
                <w:sz w:val="18"/>
                <w:szCs w:val="18"/>
                <w:color w:val="4C4C4C"/>
              </w:rPr>
              <w:t>high-technology companies.</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040" w:type="dxa"/>
            <w:vAlign w:val="bottom"/>
            <w:gridSpan w:val="4"/>
          </w:tcPr>
          <w:p>
            <w:pPr>
              <w:ind w:left="100"/>
              <w:spacing w:after="0" w:line="202" w:lineRule="exact"/>
              <w:rPr>
                <w:sz w:val="20"/>
                <w:szCs w:val="20"/>
                <w:color w:val="auto"/>
              </w:rPr>
            </w:pPr>
            <w:r>
              <w:rPr>
                <w:rFonts w:ascii="Arial" w:cs="Arial" w:eastAsia="Arial" w:hAnsi="Arial"/>
                <w:sz w:val="18"/>
                <w:szCs w:val="18"/>
                <w:color w:val="4C4C4C"/>
              </w:rPr>
              <w:t>Distinguished  Chair  Professor  Emeritus  and</w:t>
            </w:r>
          </w:p>
        </w:tc>
        <w:tc>
          <w:tcPr>
            <w:tcW w:w="260" w:type="dxa"/>
            <w:vAlign w:val="bottom"/>
          </w:tcPr>
          <w:p>
            <w:pPr>
              <w:ind w:left="80"/>
              <w:spacing w:after="0"/>
              <w:rPr>
                <w:sz w:val="20"/>
                <w:szCs w:val="20"/>
                <w:color w:val="auto"/>
              </w:rPr>
            </w:pPr>
            <w:r>
              <w:rPr>
                <w:rFonts w:ascii="Arial" w:cs="Arial" w:eastAsia="Arial" w:hAnsi="Arial"/>
                <w:sz w:val="16"/>
                <w:szCs w:val="16"/>
                <w:color w:val="4C4C4C"/>
                <w:w w:val="73"/>
              </w:rPr>
              <w:t>• </w:t>
            </w:r>
          </w:p>
        </w:tc>
        <w:tc>
          <w:tcPr>
            <w:tcW w:w="3960" w:type="dxa"/>
            <w:vAlign w:val="bottom"/>
            <w:gridSpan w:val="3"/>
          </w:tcPr>
          <w:p>
            <w:pPr>
              <w:ind w:left="60"/>
              <w:spacing w:after="0" w:line="202" w:lineRule="exact"/>
              <w:rPr>
                <w:sz w:val="20"/>
                <w:szCs w:val="20"/>
                <w:color w:val="auto"/>
              </w:rPr>
            </w:pPr>
            <w:r>
              <w:rPr>
                <w:rFonts w:ascii="Arial" w:cs="Arial" w:eastAsia="Arial" w:hAnsi="Arial"/>
                <w:sz w:val="18"/>
                <w:szCs w:val="18"/>
                <w:color w:val="4C4C4C"/>
              </w:rPr>
              <w:t>Received a Bachelor of Science degree from</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040" w:type="dxa"/>
            <w:vAlign w:val="bottom"/>
            <w:gridSpan w:val="4"/>
          </w:tcPr>
          <w:p>
            <w:pPr>
              <w:ind w:left="100"/>
              <w:spacing w:after="0" w:line="202" w:lineRule="exact"/>
              <w:rPr>
                <w:sz w:val="20"/>
                <w:szCs w:val="20"/>
                <w:color w:val="auto"/>
              </w:rPr>
            </w:pPr>
            <w:r>
              <w:rPr>
                <w:rFonts w:ascii="Arial" w:cs="Arial" w:eastAsia="Arial" w:hAnsi="Arial"/>
                <w:sz w:val="18"/>
                <w:szCs w:val="18"/>
                <w:color w:val="4C4C4C"/>
              </w:rPr>
              <w:t>Professor  of  the  Graduate  School  at  the</w:t>
            </w:r>
          </w:p>
        </w:tc>
        <w:tc>
          <w:tcPr>
            <w:tcW w:w="260" w:type="dxa"/>
            <w:vAlign w:val="bottom"/>
          </w:tcPr>
          <w:p>
            <w:pPr>
              <w:spacing w:after="0"/>
              <w:rPr>
                <w:sz w:val="17"/>
                <w:szCs w:val="17"/>
                <w:color w:val="auto"/>
              </w:rPr>
            </w:pPr>
          </w:p>
        </w:tc>
        <w:tc>
          <w:tcPr>
            <w:tcW w:w="3960" w:type="dxa"/>
            <w:vAlign w:val="bottom"/>
            <w:gridSpan w:val="3"/>
          </w:tcPr>
          <w:p>
            <w:pPr>
              <w:ind w:left="80"/>
              <w:spacing w:after="0" w:line="202" w:lineRule="exact"/>
              <w:rPr>
                <w:sz w:val="20"/>
                <w:szCs w:val="20"/>
                <w:color w:val="auto"/>
              </w:rPr>
            </w:pPr>
            <w:r>
              <w:rPr>
                <w:rFonts w:ascii="Arial" w:cs="Arial" w:eastAsia="Arial" w:hAnsi="Arial"/>
                <w:sz w:val="18"/>
                <w:szCs w:val="18"/>
                <w:color w:val="4C4C4C"/>
              </w:rPr>
              <w:t>Nankai University and a Master of Accounting</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4040" w:type="dxa"/>
            <w:vAlign w:val="bottom"/>
            <w:gridSpan w:val="4"/>
          </w:tcPr>
          <w:p>
            <w:pPr>
              <w:ind w:left="100"/>
              <w:spacing w:after="0"/>
              <w:rPr>
                <w:sz w:val="20"/>
                <w:szCs w:val="20"/>
                <w:color w:val="auto"/>
              </w:rPr>
            </w:pPr>
            <w:r>
              <w:rPr>
                <w:rFonts w:ascii="Arial" w:cs="Arial" w:eastAsia="Arial" w:hAnsi="Arial"/>
                <w:sz w:val="18"/>
                <w:szCs w:val="18"/>
                <w:color w:val="4C4C4C"/>
              </w:rPr>
              <w:t>University of California, Berkeley since 2010.</w:t>
            </w:r>
          </w:p>
        </w:tc>
        <w:tc>
          <w:tcPr>
            <w:tcW w:w="260" w:type="dxa"/>
            <w:vAlign w:val="bottom"/>
          </w:tcPr>
          <w:p>
            <w:pPr>
              <w:spacing w:after="0"/>
              <w:rPr>
                <w:sz w:val="20"/>
                <w:szCs w:val="20"/>
                <w:color w:val="auto"/>
              </w:rPr>
            </w:pPr>
          </w:p>
        </w:tc>
        <w:tc>
          <w:tcPr>
            <w:tcW w:w="3960" w:type="dxa"/>
            <w:vAlign w:val="bottom"/>
            <w:gridSpan w:val="3"/>
          </w:tcPr>
          <w:p>
            <w:pPr>
              <w:ind w:left="80"/>
              <w:spacing w:after="0"/>
              <w:rPr>
                <w:sz w:val="20"/>
                <w:szCs w:val="20"/>
                <w:color w:val="auto"/>
              </w:rPr>
            </w:pPr>
            <w:r>
              <w:rPr>
                <w:rFonts w:ascii="Arial" w:cs="Arial" w:eastAsia="Arial" w:hAnsi="Arial"/>
                <w:sz w:val="18"/>
                <w:szCs w:val="18"/>
                <w:color w:val="4C4C4C"/>
              </w:rPr>
              <w:t>degree and Tax from Golden Gate University.</w:t>
            </w:r>
          </w:p>
        </w:tc>
        <w:tc>
          <w:tcPr>
            <w:tcW w:w="0" w:type="dxa"/>
            <w:vAlign w:val="bottom"/>
          </w:tcPr>
          <w:p>
            <w:pPr>
              <w:spacing w:after="0"/>
              <w:rPr>
                <w:sz w:val="1"/>
                <w:szCs w:val="1"/>
                <w:color w:val="auto"/>
              </w:rPr>
            </w:pPr>
          </w:p>
        </w:tc>
      </w:tr>
      <w:tr>
        <w:trPr>
          <w:trHeight w:val="220"/>
        </w:trPr>
        <w:tc>
          <w:tcPr>
            <w:tcW w:w="1240" w:type="dxa"/>
            <w:vAlign w:val="bottom"/>
            <w:gridSpan w:val="2"/>
          </w:tcPr>
          <w:p>
            <w:pPr>
              <w:spacing w:after="0"/>
              <w:rPr>
                <w:sz w:val="20"/>
                <w:szCs w:val="20"/>
                <w:color w:val="auto"/>
              </w:rPr>
            </w:pPr>
            <w:r>
              <w:rPr>
                <w:rFonts w:ascii="Arial" w:cs="Arial" w:eastAsia="Arial" w:hAnsi="Arial"/>
                <w:sz w:val="18"/>
                <w:szCs w:val="18"/>
                <w:color w:val="4C4C4C"/>
              </w:rPr>
              <w:t>•   Developed</w:t>
            </w:r>
          </w:p>
        </w:tc>
        <w:tc>
          <w:tcPr>
            <w:tcW w:w="2960" w:type="dxa"/>
            <w:vAlign w:val="bottom"/>
            <w:gridSpan w:val="3"/>
          </w:tcPr>
          <w:p>
            <w:pPr>
              <w:jc w:val="right"/>
              <w:ind w:right="30"/>
              <w:spacing w:after="0"/>
              <w:rPr>
                <w:sz w:val="20"/>
                <w:szCs w:val="20"/>
                <w:color w:val="auto"/>
              </w:rPr>
            </w:pPr>
            <w:r>
              <w:rPr>
                <w:rFonts w:ascii="Arial" w:cs="Arial" w:eastAsia="Arial" w:hAnsi="Arial"/>
                <w:sz w:val="18"/>
                <w:szCs w:val="18"/>
                <w:color w:val="4C4C4C"/>
              </w:rPr>
              <w:t>FinFET,  a  fin-shaped  field-effect</w:t>
            </w:r>
          </w:p>
        </w:tc>
        <w:tc>
          <w:tcPr>
            <w:tcW w:w="260" w:type="dxa"/>
            <w:vAlign w:val="bottom"/>
          </w:tcPr>
          <w:p>
            <w:pPr>
              <w:ind w:left="80"/>
              <w:spacing w:after="0"/>
              <w:rPr>
                <w:sz w:val="20"/>
                <w:szCs w:val="20"/>
                <w:color w:val="auto"/>
              </w:rPr>
            </w:pPr>
            <w:r>
              <w:rPr>
                <w:rFonts w:ascii="Arial" w:cs="Arial" w:eastAsia="Arial" w:hAnsi="Arial"/>
                <w:sz w:val="16"/>
                <w:szCs w:val="16"/>
                <w:color w:val="4C4C4C"/>
                <w:w w:val="73"/>
              </w:rPr>
              <w:t>• </w:t>
            </w:r>
          </w:p>
        </w:tc>
        <w:tc>
          <w:tcPr>
            <w:tcW w:w="3960" w:type="dxa"/>
            <w:vAlign w:val="bottom"/>
            <w:gridSpan w:val="3"/>
          </w:tcPr>
          <w:p>
            <w:pPr>
              <w:ind w:left="60"/>
              <w:spacing w:after="0"/>
              <w:rPr>
                <w:sz w:val="20"/>
                <w:szCs w:val="20"/>
                <w:color w:val="auto"/>
              </w:rPr>
            </w:pPr>
            <w:r>
              <w:rPr>
                <w:rFonts w:ascii="Arial" w:cs="Arial" w:eastAsia="Arial" w:hAnsi="Arial"/>
                <w:sz w:val="18"/>
                <w:szCs w:val="18"/>
                <w:color w:val="4C4C4C"/>
              </w:rPr>
              <w:t>Certified Public Accountant and a member of the</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660" w:type="dxa"/>
            <w:vAlign w:val="bottom"/>
            <w:gridSpan w:val="3"/>
          </w:tcPr>
          <w:p>
            <w:pPr>
              <w:ind w:left="100"/>
              <w:spacing w:after="0" w:line="202" w:lineRule="exact"/>
              <w:rPr>
                <w:sz w:val="20"/>
                <w:szCs w:val="20"/>
                <w:color w:val="auto"/>
              </w:rPr>
            </w:pPr>
            <w:r>
              <w:rPr>
                <w:rFonts w:ascii="Arial" w:cs="Arial" w:eastAsia="Arial" w:hAnsi="Arial"/>
                <w:sz w:val="18"/>
                <w:szCs w:val="18"/>
                <w:color w:val="4C4C4C"/>
              </w:rPr>
              <w:t>transistor in 1999.</w:t>
            </w: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60" w:type="dxa"/>
            <w:vAlign w:val="bottom"/>
            <w:gridSpan w:val="3"/>
          </w:tcPr>
          <w:p>
            <w:pPr>
              <w:ind w:left="80"/>
              <w:spacing w:after="0" w:line="202" w:lineRule="exact"/>
              <w:rPr>
                <w:sz w:val="20"/>
                <w:szCs w:val="20"/>
                <w:color w:val="auto"/>
              </w:rPr>
            </w:pPr>
            <w:r>
              <w:rPr>
                <w:rFonts w:ascii="Arial" w:cs="Arial" w:eastAsia="Arial" w:hAnsi="Arial"/>
                <w:sz w:val="18"/>
                <w:szCs w:val="18"/>
                <w:color w:val="4C4C4C"/>
              </w:rPr>
              <w:t>American   Institute   of   Certified   Public</w:t>
            </w:r>
          </w:p>
        </w:tc>
        <w:tc>
          <w:tcPr>
            <w:tcW w:w="0" w:type="dxa"/>
            <w:vAlign w:val="bottom"/>
          </w:tcPr>
          <w:p>
            <w:pPr>
              <w:spacing w:after="0"/>
              <w:rPr>
                <w:sz w:val="1"/>
                <w:szCs w:val="1"/>
                <w:color w:val="auto"/>
              </w:rPr>
            </w:pPr>
          </w:p>
        </w:tc>
      </w:tr>
      <w:tr>
        <w:trPr>
          <w:trHeight w:val="257"/>
        </w:trPr>
        <w:tc>
          <w:tcPr>
            <w:tcW w:w="1240" w:type="dxa"/>
            <w:vAlign w:val="bottom"/>
            <w:gridSpan w:val="2"/>
          </w:tcPr>
          <w:p>
            <w:pPr>
              <w:spacing w:after="0"/>
              <w:rPr>
                <w:sz w:val="20"/>
                <w:szCs w:val="20"/>
                <w:color w:val="auto"/>
              </w:rPr>
            </w:pPr>
            <w:r>
              <w:rPr>
                <w:rFonts w:ascii="Arial" w:cs="Arial" w:eastAsia="Arial" w:hAnsi="Arial"/>
                <w:sz w:val="18"/>
                <w:szCs w:val="18"/>
                <w:color w:val="4C4C4C"/>
              </w:rPr>
              <w:t>•   Served  as</w:t>
            </w:r>
          </w:p>
        </w:tc>
        <w:tc>
          <w:tcPr>
            <w:tcW w:w="2960" w:type="dxa"/>
            <w:vAlign w:val="bottom"/>
            <w:gridSpan w:val="3"/>
          </w:tcPr>
          <w:p>
            <w:pPr>
              <w:jc w:val="right"/>
              <w:ind w:right="10"/>
              <w:spacing w:after="0"/>
              <w:rPr>
                <w:sz w:val="20"/>
                <w:szCs w:val="20"/>
                <w:color w:val="auto"/>
              </w:rPr>
            </w:pPr>
            <w:r>
              <w:rPr>
                <w:rFonts w:ascii="Arial" w:cs="Arial" w:eastAsia="Arial" w:hAnsi="Arial"/>
                <w:sz w:val="18"/>
                <w:szCs w:val="18"/>
                <w:color w:val="4C4C4C"/>
              </w:rPr>
              <w:t>the  Chief  Technology  Officer  of</w:t>
            </w:r>
          </w:p>
        </w:tc>
        <w:tc>
          <w:tcPr>
            <w:tcW w:w="260" w:type="dxa"/>
            <w:vAlign w:val="bottom"/>
          </w:tcPr>
          <w:p>
            <w:pPr>
              <w:spacing w:after="0"/>
              <w:rPr>
                <w:sz w:val="22"/>
                <w:szCs w:val="22"/>
                <w:color w:val="auto"/>
              </w:rPr>
            </w:pPr>
          </w:p>
        </w:tc>
        <w:tc>
          <w:tcPr>
            <w:tcW w:w="1660" w:type="dxa"/>
            <w:vAlign w:val="bottom"/>
          </w:tcPr>
          <w:p>
            <w:pPr>
              <w:ind w:left="80"/>
              <w:spacing w:after="0"/>
              <w:rPr>
                <w:sz w:val="20"/>
                <w:szCs w:val="20"/>
                <w:color w:val="auto"/>
              </w:rPr>
            </w:pPr>
            <w:r>
              <w:rPr>
                <w:rFonts w:ascii="Arial" w:cs="Arial" w:eastAsia="Arial" w:hAnsi="Arial"/>
                <w:sz w:val="18"/>
                <w:szCs w:val="18"/>
                <w:color w:val="4C4C4C"/>
              </w:rPr>
              <w:t>Accountants.</w:t>
            </w:r>
          </w:p>
        </w:tc>
        <w:tc>
          <w:tcPr>
            <w:tcW w:w="2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040" w:type="dxa"/>
            <w:vAlign w:val="bottom"/>
            <w:gridSpan w:val="4"/>
          </w:tcPr>
          <w:p>
            <w:pPr>
              <w:ind w:left="100"/>
              <w:spacing w:after="0" w:line="202" w:lineRule="exact"/>
              <w:rPr>
                <w:sz w:val="20"/>
                <w:szCs w:val="20"/>
                <w:color w:val="auto"/>
              </w:rPr>
            </w:pPr>
            <w:r>
              <w:rPr>
                <w:rFonts w:ascii="Arial" w:cs="Arial" w:eastAsia="Arial" w:hAnsi="Arial"/>
                <w:sz w:val="18"/>
                <w:szCs w:val="18"/>
                <w:color w:val="4C4C4C"/>
              </w:rPr>
              <w:t>Taiwan Semiconductor Manufacturing Company</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4040" w:type="dxa"/>
            <w:vAlign w:val="bottom"/>
            <w:gridSpan w:val="4"/>
          </w:tcPr>
          <w:p>
            <w:pPr>
              <w:ind w:left="100"/>
              <w:spacing w:after="0"/>
              <w:rPr>
                <w:sz w:val="20"/>
                <w:szCs w:val="20"/>
                <w:color w:val="auto"/>
              </w:rPr>
            </w:pPr>
            <w:r>
              <w:rPr>
                <w:rFonts w:ascii="Arial" w:cs="Arial" w:eastAsia="Arial" w:hAnsi="Arial"/>
                <w:sz w:val="18"/>
                <w:szCs w:val="18"/>
                <w:color w:val="4C4C4C"/>
              </w:rPr>
              <w:t>Ltd. from 2001 to 2007.</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spacing w:after="0"/>
              <w:rPr>
                <w:sz w:val="20"/>
                <w:szCs w:val="20"/>
                <w:color w:val="auto"/>
              </w:rPr>
            </w:pPr>
            <w:r>
              <w:rPr>
                <w:rFonts w:ascii="Arial" w:cs="Arial" w:eastAsia="Arial" w:hAnsi="Arial"/>
                <w:sz w:val="18"/>
                <w:szCs w:val="18"/>
                <w:color w:val="4C4C4C"/>
                <w:w w:val="97"/>
              </w:rPr>
              <w:t>•   Member  of</w:t>
            </w:r>
          </w:p>
        </w:tc>
        <w:tc>
          <w:tcPr>
            <w:tcW w:w="2960" w:type="dxa"/>
            <w:vAlign w:val="bottom"/>
            <w:gridSpan w:val="3"/>
          </w:tcPr>
          <w:p>
            <w:pPr>
              <w:jc w:val="right"/>
              <w:ind w:right="30"/>
              <w:spacing w:after="0"/>
              <w:rPr>
                <w:sz w:val="20"/>
                <w:szCs w:val="20"/>
                <w:color w:val="auto"/>
              </w:rPr>
            </w:pPr>
            <w:r>
              <w:rPr>
                <w:rFonts w:ascii="Arial" w:cs="Arial" w:eastAsia="Arial" w:hAnsi="Arial"/>
                <w:sz w:val="18"/>
                <w:szCs w:val="18"/>
                <w:color w:val="4C4C4C"/>
              </w:rPr>
              <w:t>the  U.S.  National  Academy  of</w:t>
            </w: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040" w:type="dxa"/>
            <w:vAlign w:val="bottom"/>
            <w:gridSpan w:val="4"/>
          </w:tcPr>
          <w:p>
            <w:pPr>
              <w:ind w:left="100"/>
              <w:spacing w:after="0" w:line="202" w:lineRule="exact"/>
              <w:rPr>
                <w:sz w:val="20"/>
                <w:szCs w:val="20"/>
                <w:color w:val="auto"/>
              </w:rPr>
            </w:pPr>
            <w:r>
              <w:rPr>
                <w:rFonts w:ascii="Arial" w:cs="Arial" w:eastAsia="Arial" w:hAnsi="Arial"/>
                <w:sz w:val="18"/>
                <w:szCs w:val="18"/>
                <w:color w:val="4C4C4C"/>
              </w:rPr>
              <w:t>Engineering  and  the  Chinese  Academy  of</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4040" w:type="dxa"/>
            <w:vAlign w:val="bottom"/>
            <w:gridSpan w:val="4"/>
          </w:tcPr>
          <w:p>
            <w:pPr>
              <w:ind w:left="100"/>
              <w:spacing w:after="0"/>
              <w:rPr>
                <w:sz w:val="20"/>
                <w:szCs w:val="20"/>
                <w:color w:val="auto"/>
              </w:rPr>
            </w:pPr>
            <w:r>
              <w:rPr>
                <w:rFonts w:ascii="Arial" w:cs="Arial" w:eastAsia="Arial" w:hAnsi="Arial"/>
                <w:sz w:val="18"/>
                <w:szCs w:val="18"/>
                <w:color w:val="4C4C4C"/>
              </w:rPr>
              <w:t>Sciences, and Taiwan’s Academia Sinica.</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0" w:type="dxa"/>
            <w:vAlign w:val="bottom"/>
          </w:tcPr>
          <w:p>
            <w:pPr>
              <w:spacing w:after="0"/>
              <w:rPr>
                <w:sz w:val="20"/>
                <w:szCs w:val="20"/>
                <w:color w:val="auto"/>
              </w:rPr>
            </w:pPr>
            <w:r>
              <w:rPr>
                <w:rFonts w:ascii="Arial" w:cs="Arial" w:eastAsia="Arial" w:hAnsi="Arial"/>
                <w:sz w:val="13"/>
                <w:szCs w:val="13"/>
                <w:color w:val="4C4C4C"/>
                <w:w w:val="79"/>
              </w:rPr>
              <w:t>• </w:t>
            </w:r>
          </w:p>
        </w:tc>
        <w:tc>
          <w:tcPr>
            <w:tcW w:w="4040" w:type="dxa"/>
            <w:vAlign w:val="bottom"/>
            <w:gridSpan w:val="4"/>
          </w:tcPr>
          <w:p>
            <w:pPr>
              <w:ind w:left="80"/>
              <w:spacing w:after="0"/>
              <w:rPr>
                <w:sz w:val="20"/>
                <w:szCs w:val="20"/>
                <w:color w:val="auto"/>
              </w:rPr>
            </w:pPr>
            <w:r>
              <w:rPr>
                <w:rFonts w:ascii="Arial" w:cs="Arial" w:eastAsia="Arial" w:hAnsi="Arial"/>
                <w:sz w:val="18"/>
                <w:szCs w:val="18"/>
                <w:color w:val="4C4C4C"/>
              </w:rPr>
              <w:t>Received a Master of Science degree and Ph.D.</w:t>
            </w: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040" w:type="dxa"/>
            <w:vAlign w:val="bottom"/>
            <w:gridSpan w:val="4"/>
          </w:tcPr>
          <w:p>
            <w:pPr>
              <w:ind w:left="100"/>
              <w:spacing w:after="0" w:line="202" w:lineRule="exact"/>
              <w:rPr>
                <w:sz w:val="20"/>
                <w:szCs w:val="20"/>
                <w:color w:val="auto"/>
              </w:rPr>
            </w:pPr>
            <w:r>
              <w:rPr>
                <w:rFonts w:ascii="Arial" w:cs="Arial" w:eastAsia="Arial" w:hAnsi="Arial"/>
                <w:sz w:val="18"/>
                <w:szCs w:val="18"/>
                <w:color w:val="4C4C4C"/>
              </w:rPr>
              <w:t>degree  from  the  University  of  California,</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040" w:type="dxa"/>
            <w:vAlign w:val="bottom"/>
            <w:gridSpan w:val="4"/>
          </w:tcPr>
          <w:p>
            <w:pPr>
              <w:ind w:left="100"/>
              <w:spacing w:after="0" w:line="202" w:lineRule="exact"/>
              <w:rPr>
                <w:sz w:val="20"/>
                <w:szCs w:val="20"/>
                <w:color w:val="auto"/>
              </w:rPr>
            </w:pPr>
            <w:r>
              <w:rPr>
                <w:rFonts w:ascii="Arial" w:cs="Arial" w:eastAsia="Arial" w:hAnsi="Arial"/>
                <w:sz w:val="18"/>
                <w:szCs w:val="18"/>
                <w:color w:val="4C4C4C"/>
              </w:rPr>
              <w:t>Berkeley and a Bachelor of Science degree</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040" w:type="dxa"/>
            <w:vAlign w:val="bottom"/>
            <w:gridSpan w:val="4"/>
          </w:tcPr>
          <w:p>
            <w:pPr>
              <w:ind w:left="100"/>
              <w:spacing w:after="0" w:line="202" w:lineRule="exact"/>
              <w:rPr>
                <w:sz w:val="20"/>
                <w:szCs w:val="20"/>
                <w:color w:val="auto"/>
              </w:rPr>
            </w:pPr>
            <w:r>
              <w:rPr>
                <w:rFonts w:ascii="Arial" w:cs="Arial" w:eastAsia="Arial" w:hAnsi="Arial"/>
                <w:sz w:val="18"/>
                <w:szCs w:val="18"/>
                <w:color w:val="4C4C4C"/>
              </w:rPr>
              <w:t>from National Taiwan University, all in electrical</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1080" w:type="dxa"/>
            <w:vAlign w:val="bottom"/>
          </w:tcPr>
          <w:p>
            <w:pPr>
              <w:ind w:left="100"/>
              <w:spacing w:after="0"/>
              <w:rPr>
                <w:sz w:val="20"/>
                <w:szCs w:val="20"/>
                <w:color w:val="auto"/>
              </w:rPr>
            </w:pPr>
            <w:r>
              <w:rPr>
                <w:rFonts w:ascii="Arial" w:cs="Arial" w:eastAsia="Arial" w:hAnsi="Arial"/>
                <w:sz w:val="18"/>
                <w:szCs w:val="18"/>
                <w:color w:val="4C4C4C"/>
                <w:w w:val="96"/>
              </w:rPr>
              <w:t>engineering.</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1820" w:type="dxa"/>
            <w:vAlign w:val="bottom"/>
            <w:gridSpan w:val="4"/>
          </w:tcPr>
          <w:p>
            <w:pPr>
              <w:spacing w:after="0"/>
              <w:rPr>
                <w:sz w:val="20"/>
                <w:szCs w:val="20"/>
                <w:color w:val="auto"/>
              </w:rPr>
            </w:pPr>
            <w:r>
              <w:rPr>
                <w:rFonts w:ascii="Arial" w:cs="Arial" w:eastAsia="Arial" w:hAnsi="Arial"/>
                <w:sz w:val="18"/>
                <w:szCs w:val="18"/>
                <w:b w:val="1"/>
                <w:bCs w:val="1"/>
                <w:color w:val="4C4C4C"/>
              </w:rPr>
              <w:t>Relevant Skills</w:t>
            </w:r>
          </w:p>
        </w:tc>
        <w:tc>
          <w:tcPr>
            <w:tcW w:w="238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4C4C4C"/>
              </w:rPr>
              <w:t>Relevant Skills</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60" w:type="dxa"/>
            <w:vAlign w:val="bottom"/>
          </w:tcPr>
          <w:p>
            <w:pPr>
              <w:spacing w:after="0"/>
              <w:rPr>
                <w:sz w:val="20"/>
                <w:szCs w:val="20"/>
                <w:color w:val="auto"/>
              </w:rPr>
            </w:pPr>
            <w:r>
              <w:rPr>
                <w:rFonts w:ascii="Arial" w:cs="Arial" w:eastAsia="Arial" w:hAnsi="Arial"/>
                <w:sz w:val="13"/>
                <w:szCs w:val="13"/>
                <w:color w:val="4C4C4C"/>
                <w:w w:val="79"/>
              </w:rPr>
              <w:t>• </w:t>
            </w:r>
          </w:p>
        </w:tc>
        <w:tc>
          <w:tcPr>
            <w:tcW w:w="1080" w:type="dxa"/>
            <w:vAlign w:val="bottom"/>
          </w:tcPr>
          <w:p>
            <w:pPr>
              <w:ind w:left="60"/>
              <w:spacing w:after="0"/>
              <w:rPr>
                <w:sz w:val="20"/>
                <w:szCs w:val="20"/>
                <w:color w:val="auto"/>
              </w:rPr>
            </w:pPr>
            <w:r>
              <w:rPr>
                <w:rFonts w:ascii="Arial" w:cs="Arial" w:eastAsia="Arial" w:hAnsi="Arial"/>
                <w:sz w:val="18"/>
                <w:szCs w:val="18"/>
                <w:color w:val="4C4C4C"/>
              </w:rPr>
              <w:t>Innovation</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4C4C4C"/>
                <w:w w:val="73"/>
              </w:rPr>
              <w:t>• </w:t>
            </w:r>
          </w:p>
        </w:tc>
        <w:tc>
          <w:tcPr>
            <w:tcW w:w="1660" w:type="dxa"/>
            <w:vAlign w:val="bottom"/>
          </w:tcPr>
          <w:p>
            <w:pPr>
              <w:ind w:left="60"/>
              <w:spacing w:after="0"/>
              <w:rPr>
                <w:sz w:val="20"/>
                <w:szCs w:val="20"/>
                <w:color w:val="auto"/>
              </w:rPr>
            </w:pPr>
            <w:r>
              <w:rPr>
                <w:rFonts w:ascii="Arial" w:cs="Arial" w:eastAsia="Arial" w:hAnsi="Arial"/>
                <w:sz w:val="18"/>
                <w:szCs w:val="18"/>
                <w:color w:val="4C4C4C"/>
              </w:rPr>
              <w:t>Finance</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0"/>
                <w:szCs w:val="20"/>
                <w:color w:val="auto"/>
              </w:rPr>
            </w:pPr>
            <w:r>
              <w:rPr>
                <w:rFonts w:ascii="Arial" w:cs="Arial" w:eastAsia="Arial" w:hAnsi="Arial"/>
                <w:sz w:val="13"/>
                <w:szCs w:val="13"/>
                <w:color w:val="4C4C4C"/>
                <w:w w:val="79"/>
              </w:rPr>
              <w:t>• </w:t>
            </w:r>
          </w:p>
        </w:tc>
        <w:tc>
          <w:tcPr>
            <w:tcW w:w="1080" w:type="dxa"/>
            <w:vAlign w:val="bottom"/>
          </w:tcPr>
          <w:p>
            <w:pPr>
              <w:ind w:left="60"/>
              <w:spacing w:after="0"/>
              <w:rPr>
                <w:sz w:val="20"/>
                <w:szCs w:val="20"/>
                <w:color w:val="auto"/>
              </w:rPr>
            </w:pPr>
            <w:r>
              <w:rPr>
                <w:rFonts w:ascii="Arial" w:cs="Arial" w:eastAsia="Arial" w:hAnsi="Arial"/>
                <w:sz w:val="18"/>
                <w:szCs w:val="18"/>
                <w:color w:val="4C4C4C"/>
              </w:rPr>
              <w:t>Industry</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4C4C4C"/>
                <w:w w:val="73"/>
              </w:rPr>
              <w:t>• </w:t>
            </w:r>
          </w:p>
        </w:tc>
        <w:tc>
          <w:tcPr>
            <w:tcW w:w="1660" w:type="dxa"/>
            <w:vAlign w:val="bottom"/>
          </w:tcPr>
          <w:p>
            <w:pPr>
              <w:ind w:left="60"/>
              <w:spacing w:after="0"/>
              <w:rPr>
                <w:sz w:val="20"/>
                <w:szCs w:val="20"/>
                <w:color w:val="auto"/>
              </w:rPr>
            </w:pPr>
            <w:r>
              <w:rPr>
                <w:rFonts w:ascii="Arial" w:cs="Arial" w:eastAsia="Arial" w:hAnsi="Arial"/>
                <w:sz w:val="18"/>
                <w:szCs w:val="18"/>
                <w:color w:val="4C4C4C"/>
              </w:rPr>
              <w:t>Leadership</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0"/>
                <w:szCs w:val="20"/>
                <w:color w:val="auto"/>
              </w:rPr>
            </w:pPr>
            <w:r>
              <w:rPr>
                <w:rFonts w:ascii="Arial" w:cs="Arial" w:eastAsia="Arial" w:hAnsi="Arial"/>
                <w:sz w:val="13"/>
                <w:szCs w:val="13"/>
                <w:color w:val="4C4C4C"/>
                <w:w w:val="79"/>
              </w:rPr>
              <w:t>• </w:t>
            </w:r>
          </w:p>
        </w:tc>
        <w:tc>
          <w:tcPr>
            <w:tcW w:w="1080" w:type="dxa"/>
            <w:vAlign w:val="bottom"/>
          </w:tcPr>
          <w:p>
            <w:pPr>
              <w:ind w:left="60"/>
              <w:spacing w:after="0"/>
              <w:rPr>
                <w:sz w:val="20"/>
                <w:szCs w:val="20"/>
                <w:color w:val="auto"/>
              </w:rPr>
            </w:pPr>
            <w:r>
              <w:rPr>
                <w:rFonts w:ascii="Arial" w:cs="Arial" w:eastAsia="Arial" w:hAnsi="Arial"/>
                <w:sz w:val="18"/>
                <w:szCs w:val="18"/>
                <w:color w:val="4C4C4C"/>
              </w:rPr>
              <w:t>Education</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4C4C4C"/>
                <w:w w:val="73"/>
              </w:rPr>
              <w:t>• </w:t>
            </w:r>
          </w:p>
        </w:tc>
        <w:tc>
          <w:tcPr>
            <w:tcW w:w="1660" w:type="dxa"/>
            <w:vAlign w:val="bottom"/>
          </w:tcPr>
          <w:p>
            <w:pPr>
              <w:ind w:left="60"/>
              <w:spacing w:after="0"/>
              <w:rPr>
                <w:sz w:val="20"/>
                <w:szCs w:val="20"/>
                <w:color w:val="auto"/>
              </w:rPr>
            </w:pPr>
            <w:r>
              <w:rPr>
                <w:rFonts w:ascii="Arial" w:cs="Arial" w:eastAsia="Arial" w:hAnsi="Arial"/>
                <w:sz w:val="18"/>
                <w:szCs w:val="18"/>
                <w:color w:val="4C4C4C"/>
              </w:rPr>
              <w:t>Global</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-5968365</wp:posOffset>
            </wp:positionV>
            <wp:extent cx="925830" cy="12344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25830" cy="1234440"/>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-5968365</wp:posOffset>
            </wp:positionV>
            <wp:extent cx="925830" cy="12344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25830" cy="1234440"/>
                    </a:xfrm>
                    <a:prstGeom prst="rect">
                      <a:avLst/>
                    </a:prstGeom>
                    <a:noFill/>
                  </pic:spPr>
                </pic:pic>
              </a:graphicData>
            </a:graphic>
          </wp:anchor>
        </w:drawing>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4C4C4C"/>
        </w:rPr>
        <w:t>Other Public Board Service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•  Ambarella, Inc.          2010-present</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•   Inphi Corporation      2011-April 2021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4C4C4C"/>
        </w:rPr>
        <w:t>XIAO 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-118745</wp:posOffset>
            </wp:positionV>
            <wp:extent cx="925830" cy="12344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25830" cy="1234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4C4C4C"/>
        </w:rPr>
        <w:t>Age: 46</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4694D0"/>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4C4C4C"/>
        </w:rPr>
        <w:t xml:space="preserve">  </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4C4C4C"/>
        </w:rPr>
        <w:t>Professional Experience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•   Vice President of Shanghai Pudong Haiwang</w:t>
      </w:r>
    </w:p>
    <w:p>
      <w:pPr>
        <w:spacing w:after="0" w:line="9" w:lineRule="exact"/>
        <w:rPr>
          <w:sz w:val="20"/>
          <w:szCs w:val="20"/>
          <w:color w:val="auto"/>
        </w:rPr>
      </w:pPr>
    </w:p>
    <w:p>
      <w:pPr>
        <w:ind w:left="560"/>
        <w:spacing w:after="0"/>
        <w:tabs>
          <w:tab w:leader="none" w:pos="1280" w:val="left"/>
          <w:tab w:leader="none" w:pos="1860" w:val="left"/>
          <w:tab w:leader="none" w:pos="3100" w:val="left"/>
          <w:tab w:leader="none" w:pos="3560" w:val="left"/>
          <w:tab w:leader="none" w:pos="3980" w:val="left"/>
        </w:tabs>
        <w:rPr>
          <w:sz w:val="20"/>
          <w:szCs w:val="20"/>
          <w:color w:val="auto"/>
        </w:rPr>
      </w:pPr>
      <w:r>
        <w:rPr>
          <w:rFonts w:ascii="Arial" w:cs="Arial" w:eastAsia="Arial" w:hAnsi="Arial"/>
          <w:sz w:val="18"/>
          <w:szCs w:val="18"/>
          <w:color w:val="4C4C4C"/>
        </w:rPr>
        <w:t>Private</w:t>
        <w:tab/>
        <w:t>Fund</w:t>
        <w:tab/>
        <w:t>Management</w:t>
        <w:tab/>
        <w:t>Co.</w:t>
        <w:tab/>
        <w:t>Ltd</w:t>
      </w:r>
      <w:r>
        <w:rPr>
          <w:sz w:val="20"/>
          <w:szCs w:val="20"/>
          <w:color w:val="auto"/>
        </w:rPr>
        <w:tab/>
      </w:r>
      <w:r>
        <w:rPr>
          <w:rFonts w:ascii="Arial" w:cs="Arial" w:eastAsia="Arial" w:hAnsi="Arial"/>
          <w:sz w:val="17"/>
          <w:szCs w:val="17"/>
          <w:color w:val="4C4C4C"/>
        </w:rPr>
        <w:t>since</w:t>
      </w:r>
    </w:p>
    <w:p>
      <w:pPr>
        <w:ind w:left="560"/>
        <w:spacing w:after="0"/>
        <w:rPr>
          <w:sz w:val="20"/>
          <w:szCs w:val="20"/>
          <w:color w:val="auto"/>
        </w:rPr>
      </w:pPr>
      <w:r>
        <w:rPr>
          <w:rFonts w:ascii="Arial" w:cs="Arial" w:eastAsia="Arial" w:hAnsi="Arial"/>
          <w:sz w:val="18"/>
          <w:szCs w:val="18"/>
          <w:color w:val="4C4C4C"/>
        </w:rPr>
        <w:t>September 2021.</w:t>
      </w:r>
    </w:p>
    <w:p>
      <w:pPr>
        <w:spacing w:after="0" w:line="32" w:lineRule="exact"/>
        <w:rPr>
          <w:sz w:val="20"/>
          <w:szCs w:val="20"/>
          <w:color w:val="auto"/>
        </w:rPr>
      </w:pPr>
    </w:p>
    <w:p>
      <w:pPr>
        <w:ind w:left="300"/>
        <w:spacing w:after="0"/>
        <w:tabs>
          <w:tab w:leader="none" w:pos="1380" w:val="left"/>
          <w:tab w:leader="none" w:pos="2320" w:val="left"/>
          <w:tab w:leader="none" w:pos="2700" w:val="left"/>
          <w:tab w:leader="none" w:pos="3520" w:val="left"/>
        </w:tabs>
        <w:rPr>
          <w:sz w:val="20"/>
          <w:szCs w:val="20"/>
          <w:color w:val="auto"/>
        </w:rPr>
      </w:pPr>
      <w:r>
        <w:rPr>
          <w:rFonts w:ascii="Arial" w:cs="Arial" w:eastAsia="Arial" w:hAnsi="Arial"/>
          <w:sz w:val="18"/>
          <w:szCs w:val="18"/>
          <w:color w:val="4C4C4C"/>
        </w:rPr>
        <w:t>•   General</w:t>
        <w:tab/>
        <w:t>Manager</w:t>
        <w:tab/>
        <w:t>of</w:t>
        <w:tab/>
        <w:t>various</w:t>
      </w:r>
      <w:r>
        <w:rPr>
          <w:sz w:val="20"/>
          <w:szCs w:val="20"/>
          <w:color w:val="auto"/>
        </w:rPr>
        <w:tab/>
      </w:r>
      <w:r>
        <w:rPr>
          <w:rFonts w:ascii="Arial" w:cs="Arial" w:eastAsia="Arial" w:hAnsi="Arial"/>
          <w:sz w:val="17"/>
          <w:szCs w:val="17"/>
          <w:color w:val="4C4C4C"/>
        </w:rPr>
        <w:t>Investment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4C4C4C"/>
        </w:rPr>
        <w:t>Departments of Shanghai Pudong SPINNOTEC</w:t>
      </w:r>
    </w:p>
    <w:p>
      <w:pPr>
        <w:ind w:left="560"/>
        <w:spacing w:after="0"/>
        <w:rPr>
          <w:sz w:val="20"/>
          <w:szCs w:val="20"/>
          <w:color w:val="auto"/>
        </w:rPr>
      </w:pPr>
      <w:r>
        <w:rPr>
          <w:rFonts w:ascii="Arial" w:cs="Arial" w:eastAsia="Arial" w:hAnsi="Arial"/>
          <w:sz w:val="18"/>
          <w:szCs w:val="18"/>
          <w:color w:val="4C4C4C"/>
        </w:rPr>
        <w:t>Group Co., Ltd from 2018-2021.</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•   Deputy General Manager of Zhangjiang Torch</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4C4C4C"/>
        </w:rPr>
        <w:t>Entrepreneurship Park Investment Development</w:t>
      </w:r>
    </w:p>
    <w:p>
      <w:pPr>
        <w:ind w:left="560"/>
        <w:spacing w:after="0"/>
        <w:rPr>
          <w:sz w:val="20"/>
          <w:szCs w:val="20"/>
          <w:color w:val="auto"/>
        </w:rPr>
      </w:pPr>
      <w:r>
        <w:rPr>
          <w:rFonts w:ascii="Arial" w:cs="Arial" w:eastAsia="Arial" w:hAnsi="Arial"/>
          <w:sz w:val="18"/>
          <w:szCs w:val="18"/>
          <w:color w:val="4C4C4C"/>
        </w:rPr>
        <w:t>Co., Ltd. Of Shanghai from 2012-2018.</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•   Received a Bachelor of Science degree and a</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4C4C4C"/>
        </w:rPr>
        <w:t>Master of Business Administration degree from</w:t>
      </w:r>
    </w:p>
    <w:p>
      <w:pPr>
        <w:ind w:left="560"/>
        <w:spacing w:after="0"/>
        <w:rPr>
          <w:sz w:val="20"/>
          <w:szCs w:val="20"/>
          <w:color w:val="auto"/>
        </w:rPr>
      </w:pPr>
      <w:r>
        <w:rPr>
          <w:rFonts w:ascii="Arial" w:cs="Arial" w:eastAsia="Arial" w:hAnsi="Arial"/>
          <w:sz w:val="18"/>
          <w:szCs w:val="18"/>
          <w:color w:val="4C4C4C"/>
        </w:rPr>
        <w:t>Zhejiang University.</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4C4C4C"/>
        </w:rPr>
        <w:t>Relevant Skills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•   Finance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•   Leadership</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79C1"/>
        </w:rPr>
        <w:t>The board of directors recommends a vote</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0079C1"/>
        </w:rPr>
        <w:t>FOR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0079C1"/>
        </w:rPr>
        <w:t>each of the five nominees for election as directors.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Beneficial Ownership of Common Stock</w:t>
      </w:r>
    </w:p>
    <w:p>
      <w:pPr>
        <w:spacing w:after="0" w:line="339"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4C4C4C"/>
        </w:rPr>
        <w:t>The following table sets forth the number of outstanding shares of Class A and Class B common stock beneficially owned and the percentage of each class beneficially owned, as of the record date of May 3, 2022, by:</w:t>
      </w:r>
    </w:p>
    <w:p>
      <w:pPr>
        <w:spacing w:after="0" w:line="61" w:lineRule="exact"/>
        <w:rPr>
          <w:sz w:val="20"/>
          <w:szCs w:val="20"/>
          <w:color w:val="auto"/>
        </w:rPr>
      </w:pPr>
    </w:p>
    <w:p>
      <w:pPr>
        <w:ind w:left="640" w:right="299" w:hanging="348"/>
        <w:spacing w:after="0" w:line="271" w:lineRule="auto"/>
        <w:tabs>
          <w:tab w:leader="none" w:pos="640" w:val="left"/>
        </w:tabs>
        <w:numPr>
          <w:ilvl w:val="0"/>
          <w:numId w:val="38"/>
        </w:numPr>
        <w:rPr>
          <w:rFonts w:ascii="Arial" w:cs="Arial" w:eastAsia="Arial" w:hAnsi="Arial"/>
          <w:sz w:val="18"/>
          <w:szCs w:val="18"/>
          <w:color w:val="4C4C4C"/>
        </w:rPr>
      </w:pPr>
      <w:r>
        <w:rPr>
          <w:rFonts w:ascii="Arial" w:cs="Arial" w:eastAsia="Arial" w:hAnsi="Arial"/>
          <w:sz w:val="18"/>
          <w:szCs w:val="18"/>
          <w:color w:val="4C4C4C"/>
        </w:rPr>
        <w:t>each person known to us to be the beneficial owner of more than five percent of the then-outstanding Class A common stock (on an as-converted basis) or then-outstanding Class B common stock;</w:t>
      </w:r>
    </w:p>
    <w:p>
      <w:pPr>
        <w:spacing w:after="0" w:line="45" w:lineRule="exact"/>
        <w:rPr>
          <w:rFonts w:ascii="Arial" w:cs="Arial" w:eastAsia="Arial" w:hAnsi="Arial"/>
          <w:sz w:val="18"/>
          <w:szCs w:val="18"/>
          <w:color w:val="4C4C4C"/>
        </w:rPr>
      </w:pPr>
    </w:p>
    <w:p>
      <w:pPr>
        <w:ind w:left="640" w:hanging="348"/>
        <w:spacing w:after="0"/>
        <w:tabs>
          <w:tab w:leader="none" w:pos="640" w:val="left"/>
        </w:tabs>
        <w:numPr>
          <w:ilvl w:val="0"/>
          <w:numId w:val="38"/>
        </w:numPr>
        <w:rPr>
          <w:rFonts w:ascii="Arial" w:cs="Arial" w:eastAsia="Arial" w:hAnsi="Arial"/>
          <w:sz w:val="18"/>
          <w:szCs w:val="18"/>
          <w:color w:val="4C4C4C"/>
        </w:rPr>
      </w:pPr>
      <w:r>
        <w:rPr>
          <w:rFonts w:ascii="Arial" w:cs="Arial" w:eastAsia="Arial" w:hAnsi="Arial"/>
          <w:sz w:val="18"/>
          <w:szCs w:val="18"/>
          <w:color w:val="4C4C4C"/>
        </w:rPr>
        <w:t>each current director, the additional nominee for election as a director and each of the NEOs; and</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38"/>
        </w:numPr>
        <w:rPr>
          <w:rFonts w:ascii="Arial" w:cs="Arial" w:eastAsia="Arial" w:hAnsi="Arial"/>
          <w:sz w:val="18"/>
          <w:szCs w:val="18"/>
          <w:color w:val="4C4C4C"/>
        </w:rPr>
      </w:pPr>
      <w:r>
        <w:rPr>
          <w:rFonts w:ascii="Arial" w:cs="Arial" w:eastAsia="Arial" w:hAnsi="Arial"/>
          <w:sz w:val="18"/>
          <w:szCs w:val="18"/>
          <w:color w:val="4C4C4C"/>
        </w:rPr>
        <w:t>all of our current directors and executive officers as a group.</w:t>
      </w:r>
    </w:p>
    <w:p>
      <w:pPr>
        <w:spacing w:after="0" w:line="185"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4C4C4C"/>
        </w:rPr>
        <w:t>The number of shares of Class A and Class B common stock beneficially owned by each person is determined under the rules of the SEC. Under these rules, beneficial ownership includes any shares as to which the individual has sole or shared voting power or investment power and also any shares that the individual has the right to acquire by July 2, 2022 (sixty days after May 3, 2022) through the exercise or conversion of a security or other right. As of May 3, 2022, there were 54,074,653 shares of Class A common stock outstanding and 5,086,812 shares of Class B common stock outstanding. Unless otherwise indicated, each person has sole investment and voting power, or shares such power with a family member, with respect to the shares set forth in the following table. The inclusion in this table of any shares deemed beneficially owned does not constitute an admission of beneficial ownership of those shares for any other purpose. Unless otherwise indicated, the address of all individuals listed below is c/o ACM Research, Inc., 42307 Osgood Road, Suite I, Fremont, California 94539.</w:t>
      </w:r>
    </w:p>
    <w:p>
      <w:pPr>
        <w:spacing w:after="0" w:line="56" w:lineRule="exact"/>
        <w:rPr>
          <w:sz w:val="20"/>
          <w:szCs w:val="20"/>
          <w:color w:val="auto"/>
        </w:rPr>
      </w:pPr>
    </w:p>
    <w:tbl>
      <w:tblPr>
        <w:tblLayout w:type="fixed"/>
        <w:tblInd w:w="300" w:type="dxa"/>
        <w:tblCellMar>
          <w:top w:w="0" w:type="dxa"/>
          <w:left w:w="0" w:type="dxa"/>
          <w:bottom w:w="0" w:type="dxa"/>
          <w:right w:w="0" w:type="dxa"/>
        </w:tblCellMar>
      </w:tblPr>
      <w:tr>
        <w:trPr>
          <w:trHeight w:val="308"/>
        </w:trPr>
        <w:tc>
          <w:tcPr>
            <w:tcW w:w="20" w:type="dxa"/>
            <w:vAlign w:val="bottom"/>
            <w:shd w:val="clear" w:color="auto" w:fill="0D3F64"/>
          </w:tcPr>
          <w:p>
            <w:pPr>
              <w:spacing w:after="0"/>
              <w:rPr>
                <w:sz w:val="24"/>
                <w:szCs w:val="24"/>
                <w:color w:val="auto"/>
              </w:rPr>
            </w:pPr>
          </w:p>
        </w:tc>
        <w:tc>
          <w:tcPr>
            <w:tcW w:w="1460" w:type="dxa"/>
            <w:vAlign w:val="bottom"/>
            <w:shd w:val="clear" w:color="auto" w:fill="0D3F64"/>
          </w:tcPr>
          <w:p>
            <w:pPr>
              <w:spacing w:after="0"/>
              <w:rPr>
                <w:sz w:val="24"/>
                <w:szCs w:val="24"/>
                <w:color w:val="auto"/>
              </w:rPr>
            </w:pPr>
          </w:p>
        </w:tc>
        <w:tc>
          <w:tcPr>
            <w:tcW w:w="140" w:type="dxa"/>
            <w:vAlign w:val="bottom"/>
            <w:shd w:val="clear" w:color="auto" w:fill="0D3F64"/>
          </w:tcPr>
          <w:p>
            <w:pPr>
              <w:spacing w:after="0"/>
              <w:rPr>
                <w:sz w:val="24"/>
                <w:szCs w:val="24"/>
                <w:color w:val="auto"/>
              </w:rPr>
            </w:pPr>
          </w:p>
        </w:tc>
        <w:tc>
          <w:tcPr>
            <w:tcW w:w="1880" w:type="dxa"/>
            <w:vAlign w:val="bottom"/>
            <w:shd w:val="clear" w:color="auto" w:fill="0D3F64"/>
          </w:tcPr>
          <w:p>
            <w:pPr>
              <w:spacing w:after="0"/>
              <w:rPr>
                <w:sz w:val="24"/>
                <w:szCs w:val="24"/>
                <w:color w:val="auto"/>
              </w:rPr>
            </w:pPr>
          </w:p>
        </w:tc>
        <w:tc>
          <w:tcPr>
            <w:tcW w:w="620" w:type="dxa"/>
            <w:vAlign w:val="bottom"/>
            <w:shd w:val="clear" w:color="auto" w:fill="0D3F64"/>
          </w:tcPr>
          <w:p>
            <w:pPr>
              <w:spacing w:after="0"/>
              <w:rPr>
                <w:sz w:val="24"/>
                <w:szCs w:val="24"/>
                <w:color w:val="auto"/>
              </w:rPr>
            </w:pPr>
          </w:p>
        </w:tc>
        <w:tc>
          <w:tcPr>
            <w:tcW w:w="1520" w:type="dxa"/>
            <w:vAlign w:val="bottom"/>
            <w:gridSpan w:val="2"/>
            <w:shd w:val="clear" w:color="auto" w:fill="0D3F64"/>
          </w:tcPr>
          <w:p>
            <w:pPr>
              <w:ind w:left="440"/>
              <w:spacing w:after="0"/>
              <w:rPr>
                <w:sz w:val="20"/>
                <w:szCs w:val="20"/>
                <w:color w:val="auto"/>
              </w:rPr>
            </w:pPr>
            <w:r>
              <w:rPr>
                <w:rFonts w:ascii="Arial" w:cs="Arial" w:eastAsia="Arial" w:hAnsi="Arial"/>
                <w:sz w:val="14"/>
                <w:szCs w:val="14"/>
                <w:b w:val="1"/>
                <w:bCs w:val="1"/>
                <w:color w:val="FFFFFF"/>
              </w:rPr>
              <w:t>Class A(1)</w:t>
            </w:r>
          </w:p>
        </w:tc>
        <w:tc>
          <w:tcPr>
            <w:tcW w:w="1540" w:type="dxa"/>
            <w:vAlign w:val="bottom"/>
            <w:gridSpan w:val="2"/>
            <w:shd w:val="clear" w:color="auto" w:fill="0D3F64"/>
          </w:tcPr>
          <w:p>
            <w:pPr>
              <w:jc w:val="right"/>
              <w:ind w:right="391"/>
              <w:spacing w:after="0"/>
              <w:rPr>
                <w:sz w:val="20"/>
                <w:szCs w:val="20"/>
                <w:color w:val="auto"/>
              </w:rPr>
            </w:pPr>
            <w:r>
              <w:rPr>
                <w:rFonts w:ascii="Arial" w:cs="Arial" w:eastAsia="Arial" w:hAnsi="Arial"/>
                <w:sz w:val="14"/>
                <w:szCs w:val="14"/>
                <w:b w:val="1"/>
                <w:bCs w:val="1"/>
                <w:color w:val="FFFFFF"/>
              </w:rPr>
              <w:t>Class B</w:t>
            </w:r>
          </w:p>
        </w:tc>
        <w:tc>
          <w:tcPr>
            <w:tcW w:w="1240" w:type="dxa"/>
            <w:vAlign w:val="bottom"/>
            <w:vMerge w:val="restart"/>
            <w:shd w:val="clear" w:color="auto" w:fill="0D3F64"/>
          </w:tcPr>
          <w:p>
            <w:pPr>
              <w:jc w:val="right"/>
              <w:spacing w:after="0"/>
              <w:rPr>
                <w:sz w:val="20"/>
                <w:szCs w:val="20"/>
                <w:color w:val="auto"/>
              </w:rPr>
            </w:pPr>
            <w:r>
              <w:rPr>
                <w:rFonts w:ascii="Arial" w:cs="Arial" w:eastAsia="Arial" w:hAnsi="Arial"/>
                <w:sz w:val="14"/>
                <w:szCs w:val="14"/>
                <w:b w:val="1"/>
                <w:bCs w:val="1"/>
                <w:color w:val="FFFFFF"/>
              </w:rPr>
              <w:t>% of Total Voting</w:t>
            </w:r>
          </w:p>
        </w:tc>
        <w:tc>
          <w:tcPr>
            <w:tcW w:w="0" w:type="dxa"/>
            <w:vAlign w:val="bottom"/>
          </w:tcPr>
          <w:p>
            <w:pPr>
              <w:spacing w:after="0"/>
              <w:rPr>
                <w:sz w:val="1"/>
                <w:szCs w:val="1"/>
                <w:color w:val="auto"/>
              </w:rPr>
            </w:pPr>
          </w:p>
        </w:tc>
      </w:tr>
      <w:tr>
        <w:trPr>
          <w:trHeight w:val="101"/>
        </w:trPr>
        <w:tc>
          <w:tcPr>
            <w:tcW w:w="20" w:type="dxa"/>
            <w:vAlign w:val="bottom"/>
            <w:shd w:val="clear" w:color="auto" w:fill="0D3F64"/>
          </w:tcPr>
          <w:p>
            <w:pPr>
              <w:spacing w:after="0"/>
              <w:rPr>
                <w:sz w:val="8"/>
                <w:szCs w:val="8"/>
                <w:color w:val="auto"/>
              </w:rPr>
            </w:pPr>
          </w:p>
        </w:tc>
        <w:tc>
          <w:tcPr>
            <w:tcW w:w="1460" w:type="dxa"/>
            <w:vAlign w:val="bottom"/>
            <w:shd w:val="clear" w:color="auto" w:fill="0D3F64"/>
          </w:tcPr>
          <w:p>
            <w:pPr>
              <w:spacing w:after="0"/>
              <w:rPr>
                <w:sz w:val="8"/>
                <w:szCs w:val="8"/>
                <w:color w:val="auto"/>
              </w:rPr>
            </w:pPr>
          </w:p>
        </w:tc>
        <w:tc>
          <w:tcPr>
            <w:tcW w:w="140" w:type="dxa"/>
            <w:vAlign w:val="bottom"/>
            <w:shd w:val="clear" w:color="auto" w:fill="0D3F64"/>
          </w:tcPr>
          <w:p>
            <w:pPr>
              <w:spacing w:after="0"/>
              <w:rPr>
                <w:sz w:val="8"/>
                <w:szCs w:val="8"/>
                <w:color w:val="auto"/>
              </w:rPr>
            </w:pPr>
          </w:p>
        </w:tc>
        <w:tc>
          <w:tcPr>
            <w:tcW w:w="1880" w:type="dxa"/>
            <w:vAlign w:val="bottom"/>
            <w:shd w:val="clear" w:color="auto" w:fill="0D3F64"/>
          </w:tcPr>
          <w:p>
            <w:pPr>
              <w:spacing w:after="0"/>
              <w:rPr>
                <w:sz w:val="8"/>
                <w:szCs w:val="8"/>
                <w:color w:val="auto"/>
              </w:rPr>
            </w:pPr>
          </w:p>
        </w:tc>
        <w:tc>
          <w:tcPr>
            <w:tcW w:w="620" w:type="dxa"/>
            <w:vAlign w:val="bottom"/>
            <w:shd w:val="clear" w:color="auto" w:fill="0D3F64"/>
          </w:tcPr>
          <w:p>
            <w:pPr>
              <w:spacing w:after="0"/>
              <w:rPr>
                <w:sz w:val="8"/>
                <w:szCs w:val="8"/>
                <w:color w:val="auto"/>
              </w:rPr>
            </w:pPr>
          </w:p>
        </w:tc>
        <w:tc>
          <w:tcPr>
            <w:tcW w:w="980" w:type="dxa"/>
            <w:vAlign w:val="bottom"/>
            <w:shd w:val="clear" w:color="auto" w:fill="0D3F64"/>
          </w:tcPr>
          <w:p>
            <w:pPr>
              <w:spacing w:after="0"/>
              <w:rPr>
                <w:sz w:val="8"/>
                <w:szCs w:val="8"/>
                <w:color w:val="auto"/>
              </w:rPr>
            </w:pPr>
          </w:p>
        </w:tc>
        <w:tc>
          <w:tcPr>
            <w:tcW w:w="540" w:type="dxa"/>
            <w:vAlign w:val="bottom"/>
            <w:shd w:val="clear" w:color="auto" w:fill="0D3F64"/>
          </w:tcPr>
          <w:p>
            <w:pPr>
              <w:spacing w:after="0"/>
              <w:rPr>
                <w:sz w:val="8"/>
                <w:szCs w:val="8"/>
                <w:color w:val="auto"/>
              </w:rPr>
            </w:pPr>
          </w:p>
        </w:tc>
        <w:tc>
          <w:tcPr>
            <w:tcW w:w="920" w:type="dxa"/>
            <w:vAlign w:val="bottom"/>
            <w:shd w:val="clear" w:color="auto" w:fill="0D3F64"/>
          </w:tcPr>
          <w:p>
            <w:pPr>
              <w:spacing w:after="0"/>
              <w:rPr>
                <w:sz w:val="8"/>
                <w:szCs w:val="8"/>
                <w:color w:val="auto"/>
              </w:rPr>
            </w:pPr>
          </w:p>
        </w:tc>
        <w:tc>
          <w:tcPr>
            <w:tcW w:w="620" w:type="dxa"/>
            <w:vAlign w:val="bottom"/>
            <w:shd w:val="clear" w:color="auto" w:fill="0D3F64"/>
          </w:tcPr>
          <w:p>
            <w:pPr>
              <w:spacing w:after="0"/>
              <w:rPr>
                <w:sz w:val="8"/>
                <w:szCs w:val="8"/>
                <w:color w:val="auto"/>
              </w:rPr>
            </w:pPr>
          </w:p>
        </w:tc>
        <w:tc>
          <w:tcPr>
            <w:tcW w:w="1240" w:type="dxa"/>
            <w:vAlign w:val="bottom"/>
            <w:vMerge w:val="continue"/>
            <w:shd w:val="clear" w:color="auto" w:fill="0D3F64"/>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0D3F64"/>
            </w:tcBorders>
            <w:shd w:val="clear" w:color="auto" w:fill="0D3F64"/>
          </w:tcPr>
          <w:p>
            <w:pPr>
              <w:spacing w:after="0"/>
              <w:rPr>
                <w:sz w:val="17"/>
                <w:szCs w:val="17"/>
                <w:color w:val="auto"/>
              </w:rPr>
            </w:pPr>
          </w:p>
        </w:tc>
        <w:tc>
          <w:tcPr>
            <w:tcW w:w="4100" w:type="dxa"/>
            <w:vAlign w:val="bottom"/>
            <w:tcBorders>
              <w:bottom w:val="single" w:sz="8" w:color="0D3F64"/>
            </w:tcBorders>
            <w:gridSpan w:val="4"/>
            <w:shd w:val="clear" w:color="auto" w:fill="0D3F64"/>
          </w:tcPr>
          <w:p>
            <w:pPr>
              <w:spacing w:after="0"/>
              <w:rPr>
                <w:sz w:val="20"/>
                <w:szCs w:val="20"/>
                <w:color w:val="auto"/>
              </w:rPr>
            </w:pPr>
            <w:r>
              <w:rPr>
                <w:rFonts w:ascii="Arial" w:cs="Arial" w:eastAsia="Arial" w:hAnsi="Arial"/>
                <w:sz w:val="14"/>
                <w:szCs w:val="14"/>
                <w:b w:val="1"/>
                <w:bCs w:val="1"/>
                <w:color w:val="FFFFFF"/>
              </w:rPr>
              <w:t>Beneficial Owner</w:t>
            </w:r>
          </w:p>
        </w:tc>
        <w:tc>
          <w:tcPr>
            <w:tcW w:w="980" w:type="dxa"/>
            <w:vAlign w:val="bottom"/>
            <w:tcBorders>
              <w:bottom w:val="single" w:sz="8" w:color="0D3F64"/>
            </w:tcBorders>
            <w:shd w:val="clear" w:color="auto" w:fill="0D3F64"/>
          </w:tcPr>
          <w:p>
            <w:pPr>
              <w:jc w:val="right"/>
              <w:ind w:right="172"/>
              <w:spacing w:after="0"/>
              <w:rPr>
                <w:sz w:val="20"/>
                <w:szCs w:val="20"/>
                <w:color w:val="auto"/>
              </w:rPr>
            </w:pPr>
            <w:r>
              <w:rPr>
                <w:rFonts w:ascii="Arial" w:cs="Arial" w:eastAsia="Arial" w:hAnsi="Arial"/>
                <w:sz w:val="14"/>
                <w:szCs w:val="14"/>
                <w:b w:val="1"/>
                <w:bCs w:val="1"/>
                <w:color w:val="FFFFFF"/>
              </w:rPr>
              <w:t>Shares</w:t>
            </w:r>
          </w:p>
        </w:tc>
        <w:tc>
          <w:tcPr>
            <w:tcW w:w="540" w:type="dxa"/>
            <w:vAlign w:val="bottom"/>
            <w:tcBorders>
              <w:bottom w:val="single" w:sz="8" w:color="0D3F64"/>
            </w:tcBorders>
            <w:shd w:val="clear" w:color="auto" w:fill="0D3F64"/>
          </w:tcPr>
          <w:p>
            <w:pPr>
              <w:ind w:left="220"/>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0D3F64"/>
            </w:tcBorders>
            <w:shd w:val="clear" w:color="auto" w:fill="0D3F64"/>
          </w:tcPr>
          <w:p>
            <w:pPr>
              <w:jc w:val="right"/>
              <w:ind w:right="112"/>
              <w:spacing w:after="0"/>
              <w:rPr>
                <w:sz w:val="20"/>
                <w:szCs w:val="20"/>
                <w:color w:val="auto"/>
              </w:rPr>
            </w:pPr>
            <w:r>
              <w:rPr>
                <w:rFonts w:ascii="Arial" w:cs="Arial" w:eastAsia="Arial" w:hAnsi="Arial"/>
                <w:sz w:val="14"/>
                <w:szCs w:val="14"/>
                <w:b w:val="1"/>
                <w:bCs w:val="1"/>
                <w:color w:val="FFFFFF"/>
              </w:rPr>
              <w:t>Shares</w:t>
            </w:r>
          </w:p>
        </w:tc>
        <w:tc>
          <w:tcPr>
            <w:tcW w:w="620" w:type="dxa"/>
            <w:vAlign w:val="bottom"/>
            <w:tcBorders>
              <w:bottom w:val="single" w:sz="8" w:color="0D3F64"/>
            </w:tcBorders>
            <w:shd w:val="clear" w:color="auto" w:fill="0D3F64"/>
          </w:tcPr>
          <w:p>
            <w:pPr>
              <w:jc w:val="right"/>
              <w:ind w:right="151"/>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0D3F64"/>
            </w:tcBorders>
            <w:shd w:val="clear" w:color="auto" w:fill="0D3F64"/>
          </w:tcPr>
          <w:p>
            <w:pPr>
              <w:jc w:val="right"/>
              <w:ind w:right="212"/>
              <w:spacing w:after="0"/>
              <w:rPr>
                <w:sz w:val="20"/>
                <w:szCs w:val="20"/>
                <w:color w:val="auto"/>
              </w:rPr>
            </w:pPr>
            <w:r>
              <w:rPr>
                <w:rFonts w:ascii="Arial" w:cs="Arial" w:eastAsia="Arial" w:hAnsi="Arial"/>
                <w:sz w:val="14"/>
                <w:szCs w:val="14"/>
                <w:b w:val="1"/>
                <w:bCs w:val="1"/>
                <w:color w:val="FFFFFF"/>
              </w:rPr>
              <w:t>Power(2)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4"/>
          </w:tcPr>
          <w:p>
            <w:pPr>
              <w:spacing w:after="0"/>
              <w:rPr>
                <w:sz w:val="20"/>
                <w:szCs w:val="20"/>
                <w:color w:val="auto"/>
              </w:rPr>
            </w:pPr>
            <w:r>
              <w:rPr>
                <w:rFonts w:ascii="Arial" w:cs="Arial" w:eastAsia="Arial" w:hAnsi="Arial"/>
                <w:sz w:val="18"/>
                <w:szCs w:val="18"/>
                <w:b w:val="1"/>
                <w:bCs w:val="1"/>
                <w:i w:val="1"/>
                <w:iCs w:val="1"/>
                <w:color w:val="4C4C4C"/>
              </w:rPr>
              <w:t>5% Stockholders</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Borders>
              <w:bottom w:val="single" w:sz="8" w:color="BAE2F8"/>
            </w:tcBorders>
            <w:shd w:val="clear" w:color="auto" w:fill="BAE2F8"/>
          </w:tcPr>
          <w:p>
            <w:pPr>
              <w:spacing w:after="0"/>
              <w:rPr>
                <w:sz w:val="24"/>
                <w:szCs w:val="24"/>
                <w:color w:val="auto"/>
              </w:rPr>
            </w:pPr>
          </w:p>
        </w:tc>
        <w:tc>
          <w:tcPr>
            <w:tcW w:w="4100" w:type="dxa"/>
            <w:vAlign w:val="bottom"/>
            <w:tcBorders>
              <w:bottom w:val="single" w:sz="8" w:color="BAE2F8"/>
            </w:tcBorders>
            <w:gridSpan w:val="4"/>
            <w:shd w:val="clear" w:color="auto" w:fill="BAE2F8"/>
          </w:tcPr>
          <w:p>
            <w:pPr>
              <w:spacing w:after="0"/>
              <w:rPr>
                <w:sz w:val="20"/>
                <w:szCs w:val="20"/>
                <w:color w:val="auto"/>
              </w:rPr>
            </w:pPr>
            <w:r>
              <w:rPr>
                <w:rFonts w:ascii="Arial" w:cs="Arial" w:eastAsia="Arial" w:hAnsi="Arial"/>
                <w:sz w:val="18"/>
                <w:szCs w:val="18"/>
                <w:color w:val="4C4C4C"/>
              </w:rPr>
              <w:t>Yiheng Capital Partners, L.P.(3)</w:t>
            </w:r>
          </w:p>
        </w:tc>
        <w:tc>
          <w:tcPr>
            <w:tcW w:w="98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4,245,300</w:t>
            </w:r>
          </w:p>
        </w:tc>
        <w:tc>
          <w:tcPr>
            <w:tcW w:w="540" w:type="dxa"/>
            <w:vAlign w:val="bottom"/>
            <w:tcBorders>
              <w:bottom w:val="single" w:sz="8" w:color="BAE2F8"/>
            </w:tcBorders>
            <w:shd w:val="clear" w:color="auto" w:fill="BAE2F8"/>
          </w:tcPr>
          <w:p>
            <w:pPr>
              <w:ind w:left="140"/>
              <w:spacing w:after="0"/>
              <w:rPr>
                <w:sz w:val="20"/>
                <w:szCs w:val="20"/>
                <w:color w:val="auto"/>
              </w:rPr>
            </w:pPr>
            <w:r>
              <w:rPr>
                <w:rFonts w:ascii="Arial" w:cs="Arial" w:eastAsia="Arial" w:hAnsi="Arial"/>
                <w:sz w:val="18"/>
                <w:szCs w:val="18"/>
                <w:color w:val="4C4C4C"/>
                <w:w w:val="92"/>
              </w:rPr>
              <w:t>7.9%</w:t>
            </w:r>
          </w:p>
        </w:tc>
        <w:tc>
          <w:tcPr>
            <w:tcW w:w="92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w:t>
            </w:r>
          </w:p>
        </w:tc>
        <w:tc>
          <w:tcPr>
            <w:tcW w:w="620" w:type="dxa"/>
            <w:vAlign w:val="bottom"/>
            <w:tcBorders>
              <w:bottom w:val="single" w:sz="8" w:color="BAE2F8"/>
            </w:tcBorders>
            <w:shd w:val="clear" w:color="auto" w:fill="BAE2F8"/>
          </w:tcPr>
          <w:p>
            <w:pPr>
              <w:jc w:val="right"/>
              <w:ind w:right="151"/>
              <w:spacing w:after="0"/>
              <w:rPr>
                <w:sz w:val="20"/>
                <w:szCs w:val="20"/>
                <w:color w:val="auto"/>
              </w:rPr>
            </w:pPr>
            <w:r>
              <w:rPr>
                <w:rFonts w:ascii="Arial" w:cs="Arial" w:eastAsia="Arial" w:hAnsi="Arial"/>
                <w:sz w:val="18"/>
                <w:szCs w:val="18"/>
                <w:color w:val="4C4C4C"/>
              </w:rPr>
              <w:t>—</w:t>
            </w:r>
          </w:p>
        </w:tc>
        <w:tc>
          <w:tcPr>
            <w:tcW w:w="1240" w:type="dxa"/>
            <w:vAlign w:val="bottom"/>
            <w:tcBorders>
              <w:bottom w:val="single" w:sz="8" w:color="BAE2F8"/>
            </w:tcBorders>
            <w:shd w:val="clear" w:color="auto" w:fill="BAE2F8"/>
          </w:tcPr>
          <w:p>
            <w:pPr>
              <w:jc w:val="right"/>
              <w:ind w:right="252"/>
              <w:spacing w:after="0"/>
              <w:rPr>
                <w:sz w:val="20"/>
                <w:szCs w:val="20"/>
                <w:color w:val="auto"/>
              </w:rPr>
            </w:pPr>
            <w:r>
              <w:rPr>
                <w:rFonts w:ascii="Arial" w:cs="Arial" w:eastAsia="Arial" w:hAnsi="Arial"/>
                <w:sz w:val="18"/>
                <w:szCs w:val="18"/>
                <w:color w:val="4C4C4C"/>
              </w:rPr>
              <w:t>2.7%</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4C4C4C"/>
              </w:rPr>
              <w:t>Morgan Stanley(4)</w:t>
            </w:r>
          </w:p>
        </w:tc>
        <w:tc>
          <w:tcPr>
            <w:tcW w:w="980" w:type="dxa"/>
            <w:vAlign w:val="bottom"/>
          </w:tcPr>
          <w:p>
            <w:pPr>
              <w:jc w:val="right"/>
              <w:spacing w:after="0"/>
              <w:rPr>
                <w:sz w:val="20"/>
                <w:szCs w:val="20"/>
                <w:color w:val="auto"/>
              </w:rPr>
            </w:pPr>
            <w:r>
              <w:rPr>
                <w:rFonts w:ascii="Arial" w:cs="Arial" w:eastAsia="Arial" w:hAnsi="Arial"/>
                <w:sz w:val="18"/>
                <w:szCs w:val="18"/>
                <w:color w:val="4C4C4C"/>
              </w:rPr>
              <w:t>3,787,575</w:t>
            </w:r>
          </w:p>
        </w:tc>
        <w:tc>
          <w:tcPr>
            <w:tcW w:w="540" w:type="dxa"/>
            <w:vAlign w:val="bottom"/>
          </w:tcPr>
          <w:p>
            <w:pPr>
              <w:ind w:left="140"/>
              <w:spacing w:after="0"/>
              <w:rPr>
                <w:sz w:val="20"/>
                <w:szCs w:val="20"/>
                <w:color w:val="auto"/>
              </w:rPr>
            </w:pPr>
            <w:r>
              <w:rPr>
                <w:rFonts w:ascii="Arial" w:cs="Arial" w:eastAsia="Arial" w:hAnsi="Arial"/>
                <w:sz w:val="18"/>
                <w:szCs w:val="18"/>
                <w:color w:val="4C4C4C"/>
              </w:rPr>
              <w:t>7.0</w:t>
            </w:r>
          </w:p>
        </w:tc>
        <w:tc>
          <w:tcPr>
            <w:tcW w:w="920" w:type="dxa"/>
            <w:vAlign w:val="bottom"/>
          </w:tcPr>
          <w:p>
            <w:pPr>
              <w:jc w:val="right"/>
              <w:spacing w:after="0"/>
              <w:rPr>
                <w:sz w:val="20"/>
                <w:szCs w:val="20"/>
                <w:color w:val="auto"/>
              </w:rPr>
            </w:pPr>
            <w:r>
              <w:rPr>
                <w:rFonts w:ascii="Arial" w:cs="Arial" w:eastAsia="Arial" w:hAnsi="Arial"/>
                <w:sz w:val="18"/>
                <w:szCs w:val="18"/>
                <w:color w:val="4C4C4C"/>
              </w:rPr>
              <w:t>—</w:t>
            </w:r>
          </w:p>
        </w:tc>
        <w:tc>
          <w:tcPr>
            <w:tcW w:w="620" w:type="dxa"/>
            <w:vAlign w:val="bottom"/>
          </w:tcPr>
          <w:p>
            <w:pPr>
              <w:jc w:val="right"/>
              <w:ind w:right="151"/>
              <w:spacing w:after="0"/>
              <w:rPr>
                <w:sz w:val="20"/>
                <w:szCs w:val="20"/>
                <w:color w:val="auto"/>
              </w:rPr>
            </w:pPr>
            <w:r>
              <w:rPr>
                <w:rFonts w:ascii="Arial" w:cs="Arial" w:eastAsia="Arial" w:hAnsi="Arial"/>
                <w:sz w:val="18"/>
                <w:szCs w:val="18"/>
                <w:color w:val="4C4C4C"/>
              </w:rPr>
              <w:t>—</w:t>
            </w:r>
          </w:p>
        </w:tc>
        <w:tc>
          <w:tcPr>
            <w:tcW w:w="1240" w:type="dxa"/>
            <w:vAlign w:val="bottom"/>
          </w:tcPr>
          <w:p>
            <w:pPr>
              <w:jc w:val="right"/>
              <w:ind w:right="412"/>
              <w:spacing w:after="0"/>
              <w:rPr>
                <w:sz w:val="20"/>
                <w:szCs w:val="20"/>
                <w:color w:val="auto"/>
              </w:rPr>
            </w:pPr>
            <w:r>
              <w:rPr>
                <w:rFonts w:ascii="Arial" w:cs="Arial" w:eastAsia="Arial" w:hAnsi="Arial"/>
                <w:sz w:val="18"/>
                <w:szCs w:val="18"/>
                <w:color w:val="4C4C4C"/>
              </w:rPr>
              <w:t>2.4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shd w:val="clear" w:color="auto" w:fill="BAE2F8"/>
          </w:tcPr>
          <w:p>
            <w:pPr>
              <w:spacing w:after="0"/>
              <w:rPr>
                <w:sz w:val="20"/>
                <w:szCs w:val="20"/>
                <w:color w:val="auto"/>
              </w:rPr>
            </w:pPr>
          </w:p>
        </w:tc>
        <w:tc>
          <w:tcPr>
            <w:tcW w:w="4100" w:type="dxa"/>
            <w:vAlign w:val="bottom"/>
            <w:gridSpan w:val="4"/>
            <w:shd w:val="clear" w:color="auto" w:fill="BAE2F8"/>
          </w:tcPr>
          <w:p>
            <w:pPr>
              <w:spacing w:after="0"/>
              <w:rPr>
                <w:sz w:val="20"/>
                <w:szCs w:val="20"/>
                <w:color w:val="auto"/>
              </w:rPr>
            </w:pPr>
            <w:r>
              <w:rPr>
                <w:rFonts w:ascii="Arial" w:cs="Arial" w:eastAsia="Arial" w:hAnsi="Arial"/>
                <w:sz w:val="18"/>
                <w:szCs w:val="18"/>
                <w:color w:val="4C4C4C"/>
              </w:rPr>
              <w:t>Shanghai Science and Technology Venture Capital</w:t>
            </w:r>
          </w:p>
        </w:tc>
        <w:tc>
          <w:tcPr>
            <w:tcW w:w="980" w:type="dxa"/>
            <w:vAlign w:val="bottom"/>
            <w:shd w:val="clear" w:color="auto" w:fill="BAE2F8"/>
          </w:tcPr>
          <w:p>
            <w:pPr>
              <w:spacing w:after="0"/>
              <w:rPr>
                <w:sz w:val="20"/>
                <w:szCs w:val="20"/>
                <w:color w:val="auto"/>
              </w:rPr>
            </w:pPr>
          </w:p>
        </w:tc>
        <w:tc>
          <w:tcPr>
            <w:tcW w:w="540" w:type="dxa"/>
            <w:vAlign w:val="bottom"/>
            <w:shd w:val="clear" w:color="auto" w:fill="BAE2F8"/>
          </w:tcPr>
          <w:p>
            <w:pPr>
              <w:spacing w:after="0"/>
              <w:rPr>
                <w:sz w:val="20"/>
                <w:szCs w:val="20"/>
                <w:color w:val="auto"/>
              </w:rPr>
            </w:pPr>
          </w:p>
        </w:tc>
        <w:tc>
          <w:tcPr>
            <w:tcW w:w="920" w:type="dxa"/>
            <w:vAlign w:val="bottom"/>
            <w:shd w:val="clear" w:color="auto" w:fill="BAE2F8"/>
          </w:tcPr>
          <w:p>
            <w:pPr>
              <w:spacing w:after="0"/>
              <w:rPr>
                <w:sz w:val="20"/>
                <w:szCs w:val="20"/>
                <w:color w:val="auto"/>
              </w:rPr>
            </w:pPr>
          </w:p>
        </w:tc>
        <w:tc>
          <w:tcPr>
            <w:tcW w:w="620" w:type="dxa"/>
            <w:vAlign w:val="bottom"/>
            <w:shd w:val="clear" w:color="auto" w:fill="BAE2F8"/>
          </w:tcPr>
          <w:p>
            <w:pPr>
              <w:spacing w:after="0"/>
              <w:rPr>
                <w:sz w:val="20"/>
                <w:szCs w:val="20"/>
                <w:color w:val="auto"/>
              </w:rPr>
            </w:pPr>
          </w:p>
        </w:tc>
        <w:tc>
          <w:tcPr>
            <w:tcW w:w="1240" w:type="dxa"/>
            <w:vAlign w:val="bottom"/>
            <w:shd w:val="clear" w:color="auto" w:fill="BAE2F8"/>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BAE2F8"/>
            </w:tcBorders>
            <w:shd w:val="clear" w:color="auto" w:fill="BAE2F8"/>
          </w:tcPr>
          <w:p>
            <w:pPr>
              <w:spacing w:after="0"/>
              <w:rPr>
                <w:sz w:val="22"/>
                <w:szCs w:val="22"/>
                <w:color w:val="auto"/>
              </w:rPr>
            </w:pPr>
          </w:p>
        </w:tc>
        <w:tc>
          <w:tcPr>
            <w:tcW w:w="4100" w:type="dxa"/>
            <w:vAlign w:val="bottom"/>
            <w:tcBorders>
              <w:bottom w:val="single" w:sz="8" w:color="BAE2F8"/>
            </w:tcBorders>
            <w:gridSpan w:val="4"/>
            <w:shd w:val="clear" w:color="auto" w:fill="BAE2F8"/>
          </w:tcPr>
          <w:p>
            <w:pPr>
              <w:spacing w:after="0"/>
              <w:rPr>
                <w:sz w:val="20"/>
                <w:szCs w:val="20"/>
                <w:color w:val="auto"/>
              </w:rPr>
            </w:pPr>
            <w:r>
              <w:rPr>
                <w:rFonts w:ascii="Arial" w:cs="Arial" w:eastAsia="Arial" w:hAnsi="Arial"/>
                <w:sz w:val="18"/>
                <w:szCs w:val="18"/>
                <w:color w:val="4C4C4C"/>
              </w:rPr>
              <w:t>Co., Ltd.(5)</w:t>
            </w:r>
          </w:p>
        </w:tc>
        <w:tc>
          <w:tcPr>
            <w:tcW w:w="98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3,438,510</w:t>
            </w:r>
          </w:p>
        </w:tc>
        <w:tc>
          <w:tcPr>
            <w:tcW w:w="540" w:type="dxa"/>
            <w:vAlign w:val="bottom"/>
            <w:tcBorders>
              <w:bottom w:val="single" w:sz="8" w:color="BAE2F8"/>
            </w:tcBorders>
            <w:shd w:val="clear" w:color="auto" w:fill="BAE2F8"/>
          </w:tcPr>
          <w:p>
            <w:pPr>
              <w:ind w:left="140"/>
              <w:spacing w:after="0"/>
              <w:rPr>
                <w:sz w:val="20"/>
                <w:szCs w:val="20"/>
                <w:color w:val="auto"/>
              </w:rPr>
            </w:pPr>
            <w:r>
              <w:rPr>
                <w:rFonts w:ascii="Arial" w:cs="Arial" w:eastAsia="Arial" w:hAnsi="Arial"/>
                <w:sz w:val="18"/>
                <w:szCs w:val="18"/>
                <w:color w:val="4C4C4C"/>
              </w:rPr>
              <w:t>6.4</w:t>
            </w:r>
          </w:p>
        </w:tc>
        <w:tc>
          <w:tcPr>
            <w:tcW w:w="92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w:t>
            </w:r>
          </w:p>
        </w:tc>
        <w:tc>
          <w:tcPr>
            <w:tcW w:w="620" w:type="dxa"/>
            <w:vAlign w:val="bottom"/>
            <w:tcBorders>
              <w:bottom w:val="single" w:sz="8" w:color="BAE2F8"/>
            </w:tcBorders>
            <w:shd w:val="clear" w:color="auto" w:fill="BAE2F8"/>
          </w:tcPr>
          <w:p>
            <w:pPr>
              <w:jc w:val="right"/>
              <w:ind w:right="151"/>
              <w:spacing w:after="0"/>
              <w:rPr>
                <w:sz w:val="20"/>
                <w:szCs w:val="20"/>
                <w:color w:val="auto"/>
              </w:rPr>
            </w:pPr>
            <w:r>
              <w:rPr>
                <w:rFonts w:ascii="Arial" w:cs="Arial" w:eastAsia="Arial" w:hAnsi="Arial"/>
                <w:sz w:val="18"/>
                <w:szCs w:val="18"/>
                <w:color w:val="4C4C4C"/>
              </w:rPr>
              <w:t>—</w:t>
            </w:r>
          </w:p>
        </w:tc>
        <w:tc>
          <w:tcPr>
            <w:tcW w:w="1240" w:type="dxa"/>
            <w:vAlign w:val="bottom"/>
            <w:tcBorders>
              <w:bottom w:val="single" w:sz="8" w:color="BAE2F8"/>
            </w:tcBorders>
            <w:shd w:val="clear" w:color="auto" w:fill="BAE2F8"/>
          </w:tcPr>
          <w:p>
            <w:pPr>
              <w:jc w:val="right"/>
              <w:ind w:right="412"/>
              <w:spacing w:after="0"/>
              <w:rPr>
                <w:sz w:val="20"/>
                <w:szCs w:val="20"/>
                <w:color w:val="auto"/>
              </w:rPr>
            </w:pPr>
            <w:r>
              <w:rPr>
                <w:rFonts w:ascii="Arial" w:cs="Arial" w:eastAsia="Arial" w:hAnsi="Arial"/>
                <w:sz w:val="18"/>
                <w:szCs w:val="18"/>
                <w:color w:val="4C4C4C"/>
              </w:rPr>
              <w:t>2.2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4C4C4C"/>
              </w:rPr>
              <w:t>Pudong Science and Technology (Cayman) Co.,</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4C4C4C"/>
              </w:rPr>
              <w:t>Ltd.(6)</w:t>
            </w:r>
          </w:p>
        </w:tc>
        <w:tc>
          <w:tcPr>
            <w:tcW w:w="980" w:type="dxa"/>
            <w:vAlign w:val="bottom"/>
          </w:tcPr>
          <w:p>
            <w:pPr>
              <w:jc w:val="right"/>
              <w:spacing w:after="0"/>
              <w:rPr>
                <w:sz w:val="20"/>
                <w:szCs w:val="20"/>
                <w:color w:val="auto"/>
              </w:rPr>
            </w:pPr>
            <w:r>
              <w:rPr>
                <w:rFonts w:ascii="Arial" w:cs="Arial" w:eastAsia="Arial" w:hAnsi="Arial"/>
                <w:sz w:val="18"/>
                <w:szCs w:val="18"/>
                <w:color w:val="4C4C4C"/>
              </w:rPr>
              <w:t>3,358,728</w:t>
            </w:r>
          </w:p>
        </w:tc>
        <w:tc>
          <w:tcPr>
            <w:tcW w:w="540" w:type="dxa"/>
            <w:vAlign w:val="bottom"/>
          </w:tcPr>
          <w:p>
            <w:pPr>
              <w:ind w:left="140"/>
              <w:spacing w:after="0"/>
              <w:rPr>
                <w:sz w:val="20"/>
                <w:szCs w:val="20"/>
                <w:color w:val="auto"/>
              </w:rPr>
            </w:pPr>
            <w:r>
              <w:rPr>
                <w:rFonts w:ascii="Arial" w:cs="Arial" w:eastAsia="Arial" w:hAnsi="Arial"/>
                <w:sz w:val="18"/>
                <w:szCs w:val="18"/>
                <w:color w:val="4C4C4C"/>
              </w:rPr>
              <w:t>6.2</w:t>
            </w:r>
          </w:p>
        </w:tc>
        <w:tc>
          <w:tcPr>
            <w:tcW w:w="920" w:type="dxa"/>
            <w:vAlign w:val="bottom"/>
          </w:tcPr>
          <w:p>
            <w:pPr>
              <w:jc w:val="right"/>
              <w:spacing w:after="0"/>
              <w:rPr>
                <w:sz w:val="20"/>
                <w:szCs w:val="20"/>
                <w:color w:val="auto"/>
              </w:rPr>
            </w:pPr>
            <w:r>
              <w:rPr>
                <w:rFonts w:ascii="Arial" w:cs="Arial" w:eastAsia="Arial" w:hAnsi="Arial"/>
                <w:sz w:val="18"/>
                <w:szCs w:val="18"/>
                <w:color w:val="4C4C4C"/>
              </w:rPr>
              <w:t>—</w:t>
            </w:r>
          </w:p>
        </w:tc>
        <w:tc>
          <w:tcPr>
            <w:tcW w:w="620" w:type="dxa"/>
            <w:vAlign w:val="bottom"/>
          </w:tcPr>
          <w:p>
            <w:pPr>
              <w:jc w:val="right"/>
              <w:ind w:right="151"/>
              <w:spacing w:after="0"/>
              <w:rPr>
                <w:sz w:val="20"/>
                <w:szCs w:val="20"/>
                <w:color w:val="auto"/>
              </w:rPr>
            </w:pPr>
            <w:r>
              <w:rPr>
                <w:rFonts w:ascii="Arial" w:cs="Arial" w:eastAsia="Arial" w:hAnsi="Arial"/>
                <w:sz w:val="18"/>
                <w:szCs w:val="18"/>
                <w:color w:val="4C4C4C"/>
              </w:rPr>
              <w:t>—</w:t>
            </w:r>
          </w:p>
        </w:tc>
        <w:tc>
          <w:tcPr>
            <w:tcW w:w="1240" w:type="dxa"/>
            <w:vAlign w:val="bottom"/>
          </w:tcPr>
          <w:p>
            <w:pPr>
              <w:jc w:val="right"/>
              <w:ind w:right="412"/>
              <w:spacing w:after="0"/>
              <w:rPr>
                <w:sz w:val="20"/>
                <w:szCs w:val="20"/>
                <w:color w:val="auto"/>
              </w:rPr>
            </w:pPr>
            <w:r>
              <w:rPr>
                <w:rFonts w:ascii="Arial" w:cs="Arial" w:eastAsia="Arial" w:hAnsi="Arial"/>
                <w:sz w:val="18"/>
                <w:szCs w:val="18"/>
                <w:color w:val="4C4C4C"/>
              </w:rPr>
              <w:t>2.2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BAE2F8"/>
          </w:tcPr>
          <w:p>
            <w:pPr>
              <w:spacing w:after="0"/>
              <w:rPr>
                <w:sz w:val="19"/>
                <w:szCs w:val="19"/>
                <w:color w:val="auto"/>
              </w:rPr>
            </w:pPr>
          </w:p>
        </w:tc>
        <w:tc>
          <w:tcPr>
            <w:tcW w:w="4100" w:type="dxa"/>
            <w:vAlign w:val="bottom"/>
            <w:gridSpan w:val="4"/>
            <w:shd w:val="clear" w:color="auto" w:fill="BAE2F8"/>
          </w:tcPr>
          <w:p>
            <w:pPr>
              <w:spacing w:after="0"/>
              <w:rPr>
                <w:sz w:val="20"/>
                <w:szCs w:val="20"/>
                <w:color w:val="auto"/>
              </w:rPr>
            </w:pPr>
            <w:r>
              <w:rPr>
                <w:rFonts w:ascii="Arial" w:cs="Arial" w:eastAsia="Arial" w:hAnsi="Arial"/>
                <w:sz w:val="18"/>
                <w:szCs w:val="18"/>
                <w:b w:val="1"/>
                <w:bCs w:val="1"/>
                <w:i w:val="1"/>
                <w:iCs w:val="1"/>
                <w:color w:val="4C4C4C"/>
              </w:rPr>
              <w:t>Named Executive Officers, Directors and</w:t>
            </w:r>
          </w:p>
        </w:tc>
        <w:tc>
          <w:tcPr>
            <w:tcW w:w="980" w:type="dxa"/>
            <w:vAlign w:val="bottom"/>
            <w:shd w:val="clear" w:color="auto" w:fill="BAE2F8"/>
          </w:tcPr>
          <w:p>
            <w:pPr>
              <w:spacing w:after="0"/>
              <w:rPr>
                <w:sz w:val="19"/>
                <w:szCs w:val="19"/>
                <w:color w:val="auto"/>
              </w:rPr>
            </w:pPr>
          </w:p>
        </w:tc>
        <w:tc>
          <w:tcPr>
            <w:tcW w:w="540" w:type="dxa"/>
            <w:vAlign w:val="bottom"/>
            <w:shd w:val="clear" w:color="auto" w:fill="BAE2F8"/>
          </w:tcPr>
          <w:p>
            <w:pPr>
              <w:spacing w:after="0"/>
              <w:rPr>
                <w:sz w:val="19"/>
                <w:szCs w:val="19"/>
                <w:color w:val="auto"/>
              </w:rPr>
            </w:pPr>
          </w:p>
        </w:tc>
        <w:tc>
          <w:tcPr>
            <w:tcW w:w="920" w:type="dxa"/>
            <w:vAlign w:val="bottom"/>
            <w:shd w:val="clear" w:color="auto" w:fill="BAE2F8"/>
          </w:tcPr>
          <w:p>
            <w:pPr>
              <w:spacing w:after="0"/>
              <w:rPr>
                <w:sz w:val="19"/>
                <w:szCs w:val="19"/>
                <w:color w:val="auto"/>
              </w:rPr>
            </w:pPr>
          </w:p>
        </w:tc>
        <w:tc>
          <w:tcPr>
            <w:tcW w:w="620" w:type="dxa"/>
            <w:vAlign w:val="bottom"/>
            <w:shd w:val="clear" w:color="auto" w:fill="BAE2F8"/>
          </w:tcPr>
          <w:p>
            <w:pPr>
              <w:spacing w:after="0"/>
              <w:rPr>
                <w:sz w:val="19"/>
                <w:szCs w:val="19"/>
                <w:color w:val="auto"/>
              </w:rPr>
            </w:pPr>
          </w:p>
        </w:tc>
        <w:tc>
          <w:tcPr>
            <w:tcW w:w="1240" w:type="dxa"/>
            <w:vAlign w:val="bottom"/>
            <w:shd w:val="clear" w:color="auto" w:fill="BAE2F8"/>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BAE2F8"/>
            </w:tcBorders>
            <w:shd w:val="clear" w:color="auto" w:fill="BAE2F8"/>
          </w:tcPr>
          <w:p>
            <w:pPr>
              <w:spacing w:after="0"/>
              <w:rPr>
                <w:sz w:val="15"/>
                <w:szCs w:val="15"/>
                <w:color w:val="auto"/>
              </w:rPr>
            </w:pPr>
          </w:p>
        </w:tc>
        <w:tc>
          <w:tcPr>
            <w:tcW w:w="3480" w:type="dxa"/>
            <w:vAlign w:val="bottom"/>
            <w:tcBorders>
              <w:top w:val="single" w:sz="8" w:color="auto"/>
            </w:tcBorders>
            <w:gridSpan w:val="3"/>
            <w:shd w:val="clear" w:color="auto" w:fill="BAE2F8"/>
          </w:tcPr>
          <w:p>
            <w:pPr>
              <w:spacing w:after="0" w:line="182" w:lineRule="exact"/>
              <w:rPr>
                <w:sz w:val="20"/>
                <w:szCs w:val="20"/>
                <w:color w:val="auto"/>
              </w:rPr>
            </w:pPr>
            <w:r>
              <w:rPr>
                <w:rFonts w:ascii="Arial" w:cs="Arial" w:eastAsia="Arial" w:hAnsi="Arial"/>
                <w:sz w:val="18"/>
                <w:szCs w:val="18"/>
                <w:b w:val="1"/>
                <w:bCs w:val="1"/>
                <w:i w:val="1"/>
                <w:iCs w:val="1"/>
                <w:color w:val="4C4C4C"/>
              </w:rPr>
              <w:t>Director Nominees</w:t>
            </w:r>
          </w:p>
        </w:tc>
        <w:tc>
          <w:tcPr>
            <w:tcW w:w="620" w:type="dxa"/>
            <w:vAlign w:val="bottom"/>
            <w:tcBorders>
              <w:top w:val="single" w:sz="8" w:color="BAE2F8"/>
            </w:tcBorders>
            <w:shd w:val="clear" w:color="auto" w:fill="BAE2F8"/>
          </w:tcPr>
          <w:p>
            <w:pPr>
              <w:spacing w:after="0"/>
              <w:rPr>
                <w:sz w:val="15"/>
                <w:szCs w:val="15"/>
                <w:color w:val="auto"/>
              </w:rPr>
            </w:pPr>
          </w:p>
        </w:tc>
        <w:tc>
          <w:tcPr>
            <w:tcW w:w="980" w:type="dxa"/>
            <w:vAlign w:val="bottom"/>
            <w:tcBorders>
              <w:top w:val="single" w:sz="8" w:color="BAE2F8"/>
            </w:tcBorders>
            <w:shd w:val="clear" w:color="auto" w:fill="BAE2F8"/>
          </w:tcPr>
          <w:p>
            <w:pPr>
              <w:spacing w:after="0"/>
              <w:rPr>
                <w:sz w:val="15"/>
                <w:szCs w:val="15"/>
                <w:color w:val="auto"/>
              </w:rPr>
            </w:pPr>
          </w:p>
        </w:tc>
        <w:tc>
          <w:tcPr>
            <w:tcW w:w="540" w:type="dxa"/>
            <w:vAlign w:val="bottom"/>
            <w:tcBorders>
              <w:top w:val="single" w:sz="8" w:color="BAE2F8"/>
            </w:tcBorders>
            <w:shd w:val="clear" w:color="auto" w:fill="BAE2F8"/>
          </w:tcPr>
          <w:p>
            <w:pPr>
              <w:spacing w:after="0"/>
              <w:rPr>
                <w:sz w:val="15"/>
                <w:szCs w:val="15"/>
                <w:color w:val="auto"/>
              </w:rPr>
            </w:pPr>
          </w:p>
        </w:tc>
        <w:tc>
          <w:tcPr>
            <w:tcW w:w="920" w:type="dxa"/>
            <w:vAlign w:val="bottom"/>
            <w:tcBorders>
              <w:top w:val="single" w:sz="8" w:color="BAE2F8"/>
            </w:tcBorders>
            <w:shd w:val="clear" w:color="auto" w:fill="BAE2F8"/>
          </w:tcPr>
          <w:p>
            <w:pPr>
              <w:spacing w:after="0"/>
              <w:rPr>
                <w:sz w:val="15"/>
                <w:szCs w:val="15"/>
                <w:color w:val="auto"/>
              </w:rPr>
            </w:pPr>
          </w:p>
        </w:tc>
        <w:tc>
          <w:tcPr>
            <w:tcW w:w="620" w:type="dxa"/>
            <w:vAlign w:val="bottom"/>
            <w:tcBorders>
              <w:top w:val="single" w:sz="8" w:color="BAE2F8"/>
            </w:tcBorders>
            <w:shd w:val="clear" w:color="auto" w:fill="BAE2F8"/>
          </w:tcPr>
          <w:p>
            <w:pPr>
              <w:spacing w:after="0"/>
              <w:rPr>
                <w:sz w:val="15"/>
                <w:szCs w:val="15"/>
                <w:color w:val="auto"/>
              </w:rPr>
            </w:pPr>
          </w:p>
        </w:tc>
        <w:tc>
          <w:tcPr>
            <w:tcW w:w="1240" w:type="dxa"/>
            <w:vAlign w:val="bottom"/>
            <w:tcBorders>
              <w:top w:val="single" w:sz="8" w:color="BAE2F8"/>
            </w:tcBorders>
            <w:shd w:val="clear" w:color="auto" w:fill="BAE2F8"/>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BAE2F8"/>
            </w:tcBorders>
            <w:shd w:val="clear" w:color="auto" w:fill="BAE2F8"/>
          </w:tcPr>
          <w:p>
            <w:pPr>
              <w:spacing w:after="0"/>
              <w:rPr>
                <w:sz w:val="5"/>
                <w:szCs w:val="5"/>
                <w:color w:val="auto"/>
              </w:rPr>
            </w:pPr>
          </w:p>
        </w:tc>
        <w:tc>
          <w:tcPr>
            <w:tcW w:w="1460" w:type="dxa"/>
            <w:vAlign w:val="bottom"/>
            <w:tcBorders>
              <w:top w:val="single" w:sz="8" w:color="auto"/>
            </w:tcBorders>
            <w:shd w:val="clear" w:color="auto" w:fill="BAE2F8"/>
          </w:tcPr>
          <w:p>
            <w:pPr>
              <w:spacing w:after="0"/>
              <w:rPr>
                <w:sz w:val="5"/>
                <w:szCs w:val="5"/>
                <w:color w:val="auto"/>
              </w:rPr>
            </w:pPr>
          </w:p>
        </w:tc>
        <w:tc>
          <w:tcPr>
            <w:tcW w:w="140" w:type="dxa"/>
            <w:vAlign w:val="bottom"/>
            <w:tcBorders>
              <w:top w:val="single" w:sz="8" w:color="auto"/>
            </w:tcBorders>
            <w:shd w:val="clear" w:color="auto" w:fill="BAE2F8"/>
          </w:tcPr>
          <w:p>
            <w:pPr>
              <w:spacing w:after="0"/>
              <w:rPr>
                <w:sz w:val="5"/>
                <w:szCs w:val="5"/>
                <w:color w:val="auto"/>
              </w:rPr>
            </w:pPr>
          </w:p>
        </w:tc>
        <w:tc>
          <w:tcPr>
            <w:tcW w:w="1880" w:type="dxa"/>
            <w:vAlign w:val="bottom"/>
            <w:tcBorders>
              <w:top w:val="single" w:sz="8" w:color="BAE2F8"/>
            </w:tcBorders>
            <w:shd w:val="clear" w:color="auto" w:fill="BAE2F8"/>
          </w:tcPr>
          <w:p>
            <w:pPr>
              <w:spacing w:after="0"/>
              <w:rPr>
                <w:sz w:val="5"/>
                <w:szCs w:val="5"/>
                <w:color w:val="auto"/>
              </w:rPr>
            </w:pPr>
          </w:p>
        </w:tc>
        <w:tc>
          <w:tcPr>
            <w:tcW w:w="620" w:type="dxa"/>
            <w:vAlign w:val="bottom"/>
            <w:tcBorders>
              <w:top w:val="single" w:sz="8" w:color="BAE2F8"/>
            </w:tcBorders>
            <w:shd w:val="clear" w:color="auto" w:fill="BAE2F8"/>
          </w:tcPr>
          <w:p>
            <w:pPr>
              <w:spacing w:after="0"/>
              <w:rPr>
                <w:sz w:val="5"/>
                <w:szCs w:val="5"/>
                <w:color w:val="auto"/>
              </w:rPr>
            </w:pPr>
          </w:p>
        </w:tc>
        <w:tc>
          <w:tcPr>
            <w:tcW w:w="980" w:type="dxa"/>
            <w:vAlign w:val="bottom"/>
            <w:tcBorders>
              <w:top w:val="single" w:sz="8" w:color="BAE2F8"/>
            </w:tcBorders>
            <w:shd w:val="clear" w:color="auto" w:fill="BAE2F8"/>
          </w:tcPr>
          <w:p>
            <w:pPr>
              <w:spacing w:after="0"/>
              <w:rPr>
                <w:sz w:val="5"/>
                <w:szCs w:val="5"/>
                <w:color w:val="auto"/>
              </w:rPr>
            </w:pPr>
          </w:p>
        </w:tc>
        <w:tc>
          <w:tcPr>
            <w:tcW w:w="540" w:type="dxa"/>
            <w:vAlign w:val="bottom"/>
            <w:tcBorders>
              <w:top w:val="single" w:sz="8" w:color="BAE2F8"/>
            </w:tcBorders>
            <w:shd w:val="clear" w:color="auto" w:fill="BAE2F8"/>
          </w:tcPr>
          <w:p>
            <w:pPr>
              <w:spacing w:after="0"/>
              <w:rPr>
                <w:sz w:val="5"/>
                <w:szCs w:val="5"/>
                <w:color w:val="auto"/>
              </w:rPr>
            </w:pPr>
          </w:p>
        </w:tc>
        <w:tc>
          <w:tcPr>
            <w:tcW w:w="920" w:type="dxa"/>
            <w:vAlign w:val="bottom"/>
            <w:tcBorders>
              <w:top w:val="single" w:sz="8" w:color="BAE2F8"/>
            </w:tcBorders>
            <w:shd w:val="clear" w:color="auto" w:fill="BAE2F8"/>
          </w:tcPr>
          <w:p>
            <w:pPr>
              <w:spacing w:after="0"/>
              <w:rPr>
                <w:sz w:val="5"/>
                <w:szCs w:val="5"/>
                <w:color w:val="auto"/>
              </w:rPr>
            </w:pPr>
          </w:p>
        </w:tc>
        <w:tc>
          <w:tcPr>
            <w:tcW w:w="620" w:type="dxa"/>
            <w:vAlign w:val="bottom"/>
            <w:tcBorders>
              <w:top w:val="single" w:sz="8" w:color="BAE2F8"/>
            </w:tcBorders>
            <w:shd w:val="clear" w:color="auto" w:fill="BAE2F8"/>
          </w:tcPr>
          <w:p>
            <w:pPr>
              <w:spacing w:after="0"/>
              <w:rPr>
                <w:sz w:val="5"/>
                <w:szCs w:val="5"/>
                <w:color w:val="auto"/>
              </w:rPr>
            </w:pPr>
          </w:p>
        </w:tc>
        <w:tc>
          <w:tcPr>
            <w:tcW w:w="1240" w:type="dxa"/>
            <w:vAlign w:val="bottom"/>
            <w:tcBorders>
              <w:top w:val="single" w:sz="8" w:color="BAE2F8"/>
            </w:tcBorders>
            <w:shd w:val="clear" w:color="auto" w:fill="BAE2F8"/>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4C4C4C"/>
              </w:rPr>
              <w:t>David H. Wang(7)</w:t>
            </w:r>
          </w:p>
        </w:tc>
        <w:tc>
          <w:tcPr>
            <w:tcW w:w="980" w:type="dxa"/>
            <w:vAlign w:val="bottom"/>
          </w:tcPr>
          <w:p>
            <w:pPr>
              <w:jc w:val="right"/>
              <w:spacing w:after="0"/>
              <w:rPr>
                <w:sz w:val="20"/>
                <w:szCs w:val="20"/>
                <w:color w:val="auto"/>
              </w:rPr>
            </w:pPr>
            <w:r>
              <w:rPr>
                <w:rFonts w:ascii="Arial" w:cs="Arial" w:eastAsia="Arial" w:hAnsi="Arial"/>
                <w:sz w:val="18"/>
                <w:szCs w:val="18"/>
                <w:color w:val="4C4C4C"/>
              </w:rPr>
              <w:t>8,480,814</w:t>
            </w:r>
          </w:p>
        </w:tc>
        <w:tc>
          <w:tcPr>
            <w:tcW w:w="540" w:type="dxa"/>
            <w:vAlign w:val="bottom"/>
          </w:tcPr>
          <w:p>
            <w:pPr>
              <w:ind w:left="40"/>
              <w:spacing w:after="0"/>
              <w:rPr>
                <w:sz w:val="20"/>
                <w:szCs w:val="20"/>
                <w:color w:val="auto"/>
              </w:rPr>
            </w:pPr>
            <w:r>
              <w:rPr>
                <w:rFonts w:ascii="Arial" w:cs="Arial" w:eastAsia="Arial" w:hAnsi="Arial"/>
                <w:sz w:val="18"/>
                <w:szCs w:val="18"/>
                <w:color w:val="4C4C4C"/>
              </w:rPr>
              <w:t>15.7</w:t>
            </w:r>
          </w:p>
        </w:tc>
        <w:tc>
          <w:tcPr>
            <w:tcW w:w="920" w:type="dxa"/>
            <w:vAlign w:val="bottom"/>
          </w:tcPr>
          <w:p>
            <w:pPr>
              <w:jc w:val="right"/>
              <w:spacing w:after="0"/>
              <w:rPr>
                <w:sz w:val="20"/>
                <w:szCs w:val="20"/>
                <w:color w:val="auto"/>
              </w:rPr>
            </w:pPr>
            <w:r>
              <w:rPr>
                <w:rFonts w:ascii="Arial" w:cs="Arial" w:eastAsia="Arial" w:hAnsi="Arial"/>
                <w:sz w:val="18"/>
                <w:szCs w:val="18"/>
                <w:color w:val="4C4C4C"/>
              </w:rPr>
              <w:t>4,166,808</w:t>
            </w:r>
          </w:p>
        </w:tc>
        <w:tc>
          <w:tcPr>
            <w:tcW w:w="620" w:type="dxa"/>
            <w:vAlign w:val="bottom"/>
          </w:tcPr>
          <w:p>
            <w:pPr>
              <w:ind w:left="60"/>
              <w:spacing w:after="0"/>
              <w:rPr>
                <w:sz w:val="20"/>
                <w:szCs w:val="20"/>
                <w:color w:val="auto"/>
              </w:rPr>
            </w:pPr>
            <w:r>
              <w:rPr>
                <w:rFonts w:ascii="Arial" w:cs="Arial" w:eastAsia="Arial" w:hAnsi="Arial"/>
                <w:sz w:val="18"/>
                <w:szCs w:val="18"/>
                <w:color w:val="4C4C4C"/>
              </w:rPr>
              <w:t>81.9%</w:t>
            </w:r>
          </w:p>
        </w:tc>
        <w:tc>
          <w:tcPr>
            <w:tcW w:w="1240" w:type="dxa"/>
            <w:vAlign w:val="bottom"/>
          </w:tcPr>
          <w:p>
            <w:pPr>
              <w:jc w:val="right"/>
              <w:ind w:right="392"/>
              <w:spacing w:after="0"/>
              <w:rPr>
                <w:sz w:val="20"/>
                <w:szCs w:val="20"/>
                <w:color w:val="auto"/>
              </w:rPr>
            </w:pPr>
            <w:r>
              <w:rPr>
                <w:rFonts w:ascii="Arial" w:cs="Arial" w:eastAsia="Arial" w:hAnsi="Arial"/>
                <w:sz w:val="18"/>
                <w:szCs w:val="18"/>
                <w:color w:val="4C4C4C"/>
              </w:rPr>
              <w:t>58.9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Borders>
              <w:bottom w:val="single" w:sz="8" w:color="BAE2F8"/>
            </w:tcBorders>
            <w:shd w:val="clear" w:color="auto" w:fill="BAE2F8"/>
          </w:tcPr>
          <w:p>
            <w:pPr>
              <w:spacing w:after="0"/>
              <w:rPr>
                <w:sz w:val="24"/>
                <w:szCs w:val="24"/>
                <w:color w:val="auto"/>
              </w:rPr>
            </w:pPr>
          </w:p>
        </w:tc>
        <w:tc>
          <w:tcPr>
            <w:tcW w:w="4100" w:type="dxa"/>
            <w:vAlign w:val="bottom"/>
            <w:tcBorders>
              <w:bottom w:val="single" w:sz="8" w:color="BAE2F8"/>
            </w:tcBorders>
            <w:gridSpan w:val="4"/>
            <w:shd w:val="clear" w:color="auto" w:fill="BAE2F8"/>
          </w:tcPr>
          <w:p>
            <w:pPr>
              <w:spacing w:after="0"/>
              <w:rPr>
                <w:sz w:val="20"/>
                <w:szCs w:val="20"/>
                <w:color w:val="auto"/>
              </w:rPr>
            </w:pPr>
            <w:r>
              <w:rPr>
                <w:rFonts w:ascii="Arial" w:cs="Arial" w:eastAsia="Arial" w:hAnsi="Arial"/>
                <w:sz w:val="18"/>
                <w:szCs w:val="18"/>
                <w:color w:val="4C4C4C"/>
              </w:rPr>
              <w:t>Yinan Xiang(8)</w:t>
            </w:r>
          </w:p>
        </w:tc>
        <w:tc>
          <w:tcPr>
            <w:tcW w:w="98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3,438,510</w:t>
            </w:r>
          </w:p>
        </w:tc>
        <w:tc>
          <w:tcPr>
            <w:tcW w:w="540" w:type="dxa"/>
            <w:vAlign w:val="bottom"/>
            <w:tcBorders>
              <w:bottom w:val="single" w:sz="8" w:color="BAE2F8"/>
            </w:tcBorders>
            <w:shd w:val="clear" w:color="auto" w:fill="BAE2F8"/>
          </w:tcPr>
          <w:p>
            <w:pPr>
              <w:ind w:left="140"/>
              <w:spacing w:after="0"/>
              <w:rPr>
                <w:sz w:val="20"/>
                <w:szCs w:val="20"/>
                <w:color w:val="auto"/>
              </w:rPr>
            </w:pPr>
            <w:r>
              <w:rPr>
                <w:rFonts w:ascii="Arial" w:cs="Arial" w:eastAsia="Arial" w:hAnsi="Arial"/>
                <w:sz w:val="18"/>
                <w:szCs w:val="18"/>
                <w:color w:val="4C4C4C"/>
              </w:rPr>
              <w:t>6.4</w:t>
            </w:r>
          </w:p>
        </w:tc>
        <w:tc>
          <w:tcPr>
            <w:tcW w:w="92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w:t>
            </w:r>
          </w:p>
        </w:tc>
        <w:tc>
          <w:tcPr>
            <w:tcW w:w="620" w:type="dxa"/>
            <w:vAlign w:val="bottom"/>
            <w:tcBorders>
              <w:bottom w:val="single" w:sz="8" w:color="BAE2F8"/>
            </w:tcBorders>
            <w:shd w:val="clear" w:color="auto" w:fill="BAE2F8"/>
          </w:tcPr>
          <w:p>
            <w:pPr>
              <w:jc w:val="right"/>
              <w:ind w:right="151"/>
              <w:spacing w:after="0"/>
              <w:rPr>
                <w:sz w:val="20"/>
                <w:szCs w:val="20"/>
                <w:color w:val="auto"/>
              </w:rPr>
            </w:pPr>
            <w:r>
              <w:rPr>
                <w:rFonts w:ascii="Arial" w:cs="Arial" w:eastAsia="Arial" w:hAnsi="Arial"/>
                <w:sz w:val="18"/>
                <w:szCs w:val="18"/>
                <w:color w:val="4C4C4C"/>
              </w:rPr>
              <w:t>—</w:t>
            </w:r>
          </w:p>
        </w:tc>
        <w:tc>
          <w:tcPr>
            <w:tcW w:w="1240" w:type="dxa"/>
            <w:vAlign w:val="bottom"/>
            <w:tcBorders>
              <w:bottom w:val="single" w:sz="8" w:color="BAE2F8"/>
            </w:tcBorders>
            <w:shd w:val="clear" w:color="auto" w:fill="BAE2F8"/>
          </w:tcPr>
          <w:p>
            <w:pPr>
              <w:jc w:val="right"/>
              <w:ind w:right="412"/>
              <w:spacing w:after="0"/>
              <w:rPr>
                <w:sz w:val="20"/>
                <w:szCs w:val="20"/>
                <w:color w:val="auto"/>
              </w:rPr>
            </w:pPr>
            <w:r>
              <w:rPr>
                <w:rFonts w:ascii="Arial" w:cs="Arial" w:eastAsia="Arial" w:hAnsi="Arial"/>
                <w:sz w:val="18"/>
                <w:szCs w:val="18"/>
                <w:color w:val="4C4C4C"/>
              </w:rPr>
              <w:t>2.2</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4C4C4C"/>
              </w:rPr>
              <w:t>Haiping Dun(9)</w:t>
            </w:r>
          </w:p>
        </w:tc>
        <w:tc>
          <w:tcPr>
            <w:tcW w:w="980" w:type="dxa"/>
            <w:vAlign w:val="bottom"/>
          </w:tcPr>
          <w:p>
            <w:pPr>
              <w:jc w:val="right"/>
              <w:spacing w:after="0"/>
              <w:rPr>
                <w:sz w:val="20"/>
                <w:szCs w:val="20"/>
                <w:color w:val="auto"/>
              </w:rPr>
            </w:pPr>
            <w:r>
              <w:rPr>
                <w:rFonts w:ascii="Arial" w:cs="Arial" w:eastAsia="Arial" w:hAnsi="Arial"/>
                <w:sz w:val="18"/>
                <w:szCs w:val="18"/>
                <w:color w:val="4C4C4C"/>
              </w:rPr>
              <w:t>1,710,090</w:t>
            </w:r>
          </w:p>
        </w:tc>
        <w:tc>
          <w:tcPr>
            <w:tcW w:w="540" w:type="dxa"/>
            <w:vAlign w:val="bottom"/>
          </w:tcPr>
          <w:p>
            <w:pPr>
              <w:ind w:left="140"/>
              <w:spacing w:after="0"/>
              <w:rPr>
                <w:sz w:val="20"/>
                <w:szCs w:val="20"/>
                <w:color w:val="auto"/>
              </w:rPr>
            </w:pPr>
            <w:r>
              <w:rPr>
                <w:rFonts w:ascii="Arial" w:cs="Arial" w:eastAsia="Arial" w:hAnsi="Arial"/>
                <w:sz w:val="18"/>
                <w:szCs w:val="18"/>
                <w:color w:val="4C4C4C"/>
              </w:rPr>
              <w:t>3.2</w:t>
            </w:r>
          </w:p>
        </w:tc>
        <w:tc>
          <w:tcPr>
            <w:tcW w:w="920" w:type="dxa"/>
            <w:vAlign w:val="bottom"/>
          </w:tcPr>
          <w:p>
            <w:pPr>
              <w:jc w:val="right"/>
              <w:spacing w:after="0"/>
              <w:rPr>
                <w:sz w:val="20"/>
                <w:szCs w:val="20"/>
                <w:color w:val="auto"/>
              </w:rPr>
            </w:pPr>
            <w:r>
              <w:rPr>
                <w:rFonts w:ascii="Arial" w:cs="Arial" w:eastAsia="Arial" w:hAnsi="Arial"/>
                <w:sz w:val="18"/>
                <w:szCs w:val="18"/>
                <w:color w:val="4C4C4C"/>
              </w:rPr>
              <w:t>300,000</w:t>
            </w:r>
          </w:p>
        </w:tc>
        <w:tc>
          <w:tcPr>
            <w:tcW w:w="620" w:type="dxa"/>
            <w:vAlign w:val="bottom"/>
          </w:tcPr>
          <w:p>
            <w:pPr>
              <w:jc w:val="right"/>
              <w:ind w:right="151"/>
              <w:spacing w:after="0"/>
              <w:rPr>
                <w:sz w:val="20"/>
                <w:szCs w:val="20"/>
                <w:color w:val="auto"/>
              </w:rPr>
            </w:pPr>
            <w:r>
              <w:rPr>
                <w:rFonts w:ascii="Arial" w:cs="Arial" w:eastAsia="Arial" w:hAnsi="Arial"/>
                <w:sz w:val="18"/>
                <w:szCs w:val="18"/>
                <w:color w:val="4C4C4C"/>
              </w:rPr>
              <w:t>5.9</w:t>
            </w:r>
          </w:p>
        </w:tc>
        <w:tc>
          <w:tcPr>
            <w:tcW w:w="1240" w:type="dxa"/>
            <w:vAlign w:val="bottom"/>
          </w:tcPr>
          <w:p>
            <w:pPr>
              <w:jc w:val="right"/>
              <w:ind w:right="412"/>
              <w:spacing w:after="0"/>
              <w:rPr>
                <w:sz w:val="20"/>
                <w:szCs w:val="20"/>
                <w:color w:val="auto"/>
              </w:rPr>
            </w:pPr>
            <w:r>
              <w:rPr>
                <w:rFonts w:ascii="Arial" w:cs="Arial" w:eastAsia="Arial" w:hAnsi="Arial"/>
                <w:sz w:val="18"/>
                <w:szCs w:val="18"/>
                <w:color w:val="4C4C4C"/>
              </w:rPr>
              <w:t>4.9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Borders>
              <w:bottom w:val="single" w:sz="8" w:color="BAE2F8"/>
            </w:tcBorders>
            <w:shd w:val="clear" w:color="auto" w:fill="BAE2F8"/>
          </w:tcPr>
          <w:p>
            <w:pPr>
              <w:spacing w:after="0"/>
              <w:rPr>
                <w:sz w:val="24"/>
                <w:szCs w:val="24"/>
                <w:color w:val="auto"/>
              </w:rPr>
            </w:pPr>
          </w:p>
        </w:tc>
        <w:tc>
          <w:tcPr>
            <w:tcW w:w="4100" w:type="dxa"/>
            <w:vAlign w:val="bottom"/>
            <w:tcBorders>
              <w:bottom w:val="single" w:sz="8" w:color="BAE2F8"/>
            </w:tcBorders>
            <w:gridSpan w:val="4"/>
            <w:shd w:val="clear" w:color="auto" w:fill="BAE2F8"/>
          </w:tcPr>
          <w:p>
            <w:pPr>
              <w:spacing w:after="0"/>
              <w:rPr>
                <w:sz w:val="20"/>
                <w:szCs w:val="20"/>
                <w:color w:val="auto"/>
              </w:rPr>
            </w:pPr>
            <w:r>
              <w:rPr>
                <w:rFonts w:ascii="Arial" w:cs="Arial" w:eastAsia="Arial" w:hAnsi="Arial"/>
                <w:sz w:val="18"/>
                <w:szCs w:val="18"/>
                <w:color w:val="4C4C4C"/>
              </w:rPr>
              <w:t>Jian Wang(10)</w:t>
            </w:r>
          </w:p>
        </w:tc>
        <w:tc>
          <w:tcPr>
            <w:tcW w:w="98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591,909</w:t>
            </w:r>
          </w:p>
        </w:tc>
        <w:tc>
          <w:tcPr>
            <w:tcW w:w="540" w:type="dxa"/>
            <w:vAlign w:val="bottom"/>
            <w:tcBorders>
              <w:bottom w:val="single" w:sz="8" w:color="BAE2F8"/>
            </w:tcBorders>
            <w:shd w:val="clear" w:color="auto" w:fill="BAE2F8"/>
          </w:tcPr>
          <w:p>
            <w:pPr>
              <w:ind w:left="140"/>
              <w:spacing w:after="0"/>
              <w:rPr>
                <w:sz w:val="20"/>
                <w:szCs w:val="20"/>
                <w:color w:val="auto"/>
              </w:rPr>
            </w:pPr>
            <w:r>
              <w:rPr>
                <w:rFonts w:ascii="Arial" w:cs="Arial" w:eastAsia="Arial" w:hAnsi="Arial"/>
                <w:sz w:val="18"/>
                <w:szCs w:val="18"/>
                <w:color w:val="4C4C4C"/>
              </w:rPr>
              <w:t>1.1</w:t>
            </w:r>
          </w:p>
        </w:tc>
        <w:tc>
          <w:tcPr>
            <w:tcW w:w="92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150,003</w:t>
            </w:r>
          </w:p>
        </w:tc>
        <w:tc>
          <w:tcPr>
            <w:tcW w:w="620" w:type="dxa"/>
            <w:vAlign w:val="bottom"/>
            <w:tcBorders>
              <w:bottom w:val="single" w:sz="8" w:color="BAE2F8"/>
            </w:tcBorders>
            <w:shd w:val="clear" w:color="auto" w:fill="BAE2F8"/>
          </w:tcPr>
          <w:p>
            <w:pPr>
              <w:jc w:val="right"/>
              <w:ind w:right="151"/>
              <w:spacing w:after="0"/>
              <w:rPr>
                <w:sz w:val="20"/>
                <w:szCs w:val="20"/>
                <w:color w:val="auto"/>
              </w:rPr>
            </w:pPr>
            <w:r>
              <w:rPr>
                <w:rFonts w:ascii="Arial" w:cs="Arial" w:eastAsia="Arial" w:hAnsi="Arial"/>
                <w:sz w:val="18"/>
                <w:szCs w:val="18"/>
                <w:color w:val="4C4C4C"/>
              </w:rPr>
              <w:t>2.9</w:t>
            </w:r>
          </w:p>
        </w:tc>
        <w:tc>
          <w:tcPr>
            <w:tcW w:w="1240" w:type="dxa"/>
            <w:vAlign w:val="bottom"/>
            <w:tcBorders>
              <w:bottom w:val="single" w:sz="8" w:color="BAE2F8"/>
            </w:tcBorders>
            <w:shd w:val="clear" w:color="auto" w:fill="BAE2F8"/>
          </w:tcPr>
          <w:p>
            <w:pPr>
              <w:jc w:val="right"/>
              <w:ind w:right="412"/>
              <w:spacing w:after="0"/>
              <w:rPr>
                <w:sz w:val="20"/>
                <w:szCs w:val="20"/>
                <w:color w:val="auto"/>
              </w:rPr>
            </w:pPr>
            <w:r>
              <w:rPr>
                <w:rFonts w:ascii="Arial" w:cs="Arial" w:eastAsia="Arial" w:hAnsi="Arial"/>
                <w:sz w:val="18"/>
                <w:szCs w:val="18"/>
                <w:color w:val="4C4C4C"/>
              </w:rPr>
              <w:t>2.3</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4C4C4C"/>
              </w:rPr>
              <w:t>Chenming Hu(11)</w:t>
            </w:r>
          </w:p>
        </w:tc>
        <w:tc>
          <w:tcPr>
            <w:tcW w:w="980" w:type="dxa"/>
            <w:vAlign w:val="bottom"/>
          </w:tcPr>
          <w:p>
            <w:pPr>
              <w:jc w:val="right"/>
              <w:spacing w:after="0"/>
              <w:rPr>
                <w:sz w:val="20"/>
                <w:szCs w:val="20"/>
                <w:color w:val="auto"/>
              </w:rPr>
            </w:pPr>
            <w:r>
              <w:rPr>
                <w:rFonts w:ascii="Arial" w:cs="Arial" w:eastAsia="Arial" w:hAnsi="Arial"/>
                <w:sz w:val="18"/>
                <w:szCs w:val="18"/>
                <w:color w:val="4C4C4C"/>
              </w:rPr>
              <w:t>278,310</w:t>
            </w:r>
          </w:p>
        </w:tc>
        <w:tc>
          <w:tcPr>
            <w:tcW w:w="540" w:type="dxa"/>
            <w:vAlign w:val="bottom"/>
          </w:tcPr>
          <w:p>
            <w:pPr>
              <w:ind w:left="360"/>
              <w:spacing w:after="0"/>
              <w:rPr>
                <w:sz w:val="20"/>
                <w:szCs w:val="20"/>
                <w:color w:val="auto"/>
              </w:rPr>
            </w:pPr>
            <w:r>
              <w:rPr>
                <w:rFonts w:ascii="Arial" w:cs="Arial" w:eastAsia="Arial" w:hAnsi="Arial"/>
                <w:sz w:val="18"/>
                <w:szCs w:val="18"/>
                <w:color w:val="4C4C4C"/>
              </w:rPr>
              <w:t>*</w:t>
            </w:r>
          </w:p>
        </w:tc>
        <w:tc>
          <w:tcPr>
            <w:tcW w:w="920" w:type="dxa"/>
            <w:vAlign w:val="bottom"/>
          </w:tcPr>
          <w:p>
            <w:pPr>
              <w:jc w:val="right"/>
              <w:spacing w:after="0"/>
              <w:rPr>
                <w:sz w:val="20"/>
                <w:szCs w:val="20"/>
                <w:color w:val="auto"/>
              </w:rPr>
            </w:pPr>
            <w:r>
              <w:rPr>
                <w:rFonts w:ascii="Arial" w:cs="Arial" w:eastAsia="Arial" w:hAnsi="Arial"/>
                <w:sz w:val="18"/>
                <w:szCs w:val="18"/>
                <w:color w:val="4C4C4C"/>
              </w:rPr>
              <w:t>—</w:t>
            </w:r>
          </w:p>
        </w:tc>
        <w:tc>
          <w:tcPr>
            <w:tcW w:w="620" w:type="dxa"/>
            <w:vAlign w:val="bottom"/>
          </w:tcPr>
          <w:p>
            <w:pPr>
              <w:jc w:val="right"/>
              <w:ind w:right="151"/>
              <w:spacing w:after="0"/>
              <w:rPr>
                <w:sz w:val="20"/>
                <w:szCs w:val="20"/>
                <w:color w:val="auto"/>
              </w:rPr>
            </w:pPr>
            <w:r>
              <w:rPr>
                <w:rFonts w:ascii="Arial" w:cs="Arial" w:eastAsia="Arial" w:hAnsi="Arial"/>
                <w:sz w:val="18"/>
                <w:szCs w:val="18"/>
                <w:color w:val="4C4C4C"/>
              </w:rPr>
              <w:t>—</w:t>
            </w:r>
          </w:p>
        </w:tc>
        <w:tc>
          <w:tcPr>
            <w:tcW w:w="1240" w:type="dxa"/>
            <w:vAlign w:val="bottom"/>
          </w:tcPr>
          <w:p>
            <w:pPr>
              <w:jc w:val="right"/>
              <w:ind w:right="372"/>
              <w:spacing w:after="0"/>
              <w:rPr>
                <w:sz w:val="20"/>
                <w:szCs w:val="20"/>
                <w:color w:val="auto"/>
              </w:rPr>
            </w:pPr>
            <w:r>
              <w:rPr>
                <w:rFonts w:ascii="Arial" w:cs="Arial" w:eastAsia="Arial" w:hAnsi="Arial"/>
                <w:sz w:val="18"/>
                <w:szCs w:val="18"/>
                <w:color w:val="4C4C4C"/>
              </w:rPr>
              <w:t>*</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BAE2F8"/>
            </w:tcBorders>
            <w:shd w:val="clear" w:color="auto" w:fill="BAE2F8"/>
          </w:tcPr>
          <w:p>
            <w:pPr>
              <w:spacing w:after="0"/>
              <w:rPr>
                <w:sz w:val="24"/>
                <w:szCs w:val="24"/>
                <w:color w:val="auto"/>
              </w:rPr>
            </w:pPr>
          </w:p>
        </w:tc>
        <w:tc>
          <w:tcPr>
            <w:tcW w:w="4100" w:type="dxa"/>
            <w:vAlign w:val="bottom"/>
            <w:tcBorders>
              <w:bottom w:val="single" w:sz="8" w:color="BAE2F8"/>
            </w:tcBorders>
            <w:gridSpan w:val="4"/>
            <w:shd w:val="clear" w:color="auto" w:fill="BAE2F8"/>
          </w:tcPr>
          <w:p>
            <w:pPr>
              <w:spacing w:after="0"/>
              <w:rPr>
                <w:sz w:val="20"/>
                <w:szCs w:val="20"/>
                <w:color w:val="auto"/>
              </w:rPr>
            </w:pPr>
            <w:r>
              <w:rPr>
                <w:rFonts w:ascii="Arial" w:cs="Arial" w:eastAsia="Arial" w:hAnsi="Arial"/>
                <w:sz w:val="18"/>
                <w:szCs w:val="18"/>
                <w:color w:val="4C4C4C"/>
              </w:rPr>
              <w:t>Fuping Chen(12)</w:t>
            </w:r>
          </w:p>
        </w:tc>
        <w:tc>
          <w:tcPr>
            <w:tcW w:w="980" w:type="dxa"/>
            <w:vAlign w:val="bottom"/>
            <w:tcBorders>
              <w:bottom w:val="single" w:sz="8" w:color="BAE2F8"/>
            </w:tcBorders>
            <w:shd w:val="clear" w:color="auto" w:fill="BAE2F8"/>
          </w:tcPr>
          <w:p>
            <w:pPr>
              <w:jc w:val="right"/>
              <w:ind w:right="12"/>
              <w:spacing w:after="0"/>
              <w:rPr>
                <w:sz w:val="20"/>
                <w:szCs w:val="20"/>
                <w:color w:val="auto"/>
              </w:rPr>
            </w:pPr>
            <w:r>
              <w:rPr>
                <w:rFonts w:ascii="Arial" w:cs="Arial" w:eastAsia="Arial" w:hAnsi="Arial"/>
                <w:sz w:val="18"/>
                <w:szCs w:val="18"/>
                <w:color w:val="4C4C4C"/>
              </w:rPr>
              <w:t>297,411</w:t>
            </w:r>
          </w:p>
        </w:tc>
        <w:tc>
          <w:tcPr>
            <w:tcW w:w="540" w:type="dxa"/>
            <w:vAlign w:val="bottom"/>
            <w:tcBorders>
              <w:bottom w:val="single" w:sz="8" w:color="BAE2F8"/>
            </w:tcBorders>
            <w:shd w:val="clear" w:color="auto" w:fill="BAE2F8"/>
          </w:tcPr>
          <w:p>
            <w:pPr>
              <w:ind w:left="360"/>
              <w:spacing w:after="0"/>
              <w:rPr>
                <w:sz w:val="20"/>
                <w:szCs w:val="20"/>
                <w:color w:val="auto"/>
              </w:rPr>
            </w:pPr>
            <w:r>
              <w:rPr>
                <w:rFonts w:ascii="Arial" w:cs="Arial" w:eastAsia="Arial" w:hAnsi="Arial"/>
                <w:sz w:val="18"/>
                <w:szCs w:val="18"/>
                <w:color w:val="4C4C4C"/>
              </w:rPr>
              <w:t>*</w:t>
            </w:r>
          </w:p>
        </w:tc>
        <w:tc>
          <w:tcPr>
            <w:tcW w:w="92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w:t>
            </w:r>
          </w:p>
        </w:tc>
        <w:tc>
          <w:tcPr>
            <w:tcW w:w="620" w:type="dxa"/>
            <w:vAlign w:val="bottom"/>
            <w:tcBorders>
              <w:bottom w:val="single" w:sz="8" w:color="BAE2F8"/>
            </w:tcBorders>
            <w:shd w:val="clear" w:color="auto" w:fill="BAE2F8"/>
          </w:tcPr>
          <w:p>
            <w:pPr>
              <w:jc w:val="right"/>
              <w:ind w:right="151"/>
              <w:spacing w:after="0"/>
              <w:rPr>
                <w:sz w:val="20"/>
                <w:szCs w:val="20"/>
                <w:color w:val="auto"/>
              </w:rPr>
            </w:pPr>
            <w:r>
              <w:rPr>
                <w:rFonts w:ascii="Arial" w:cs="Arial" w:eastAsia="Arial" w:hAnsi="Arial"/>
                <w:sz w:val="18"/>
                <w:szCs w:val="18"/>
                <w:color w:val="4C4C4C"/>
              </w:rPr>
              <w:t>—</w:t>
            </w:r>
          </w:p>
        </w:tc>
        <w:tc>
          <w:tcPr>
            <w:tcW w:w="1240" w:type="dxa"/>
            <w:vAlign w:val="bottom"/>
            <w:tcBorders>
              <w:bottom w:val="single" w:sz="8" w:color="BAE2F8"/>
            </w:tcBorders>
            <w:shd w:val="clear" w:color="auto" w:fill="BAE2F8"/>
          </w:tcPr>
          <w:p>
            <w:pPr>
              <w:jc w:val="right"/>
              <w:ind w:right="372"/>
              <w:spacing w:after="0"/>
              <w:rPr>
                <w:sz w:val="20"/>
                <w:szCs w:val="20"/>
                <w:color w:val="auto"/>
              </w:rPr>
            </w:pPr>
            <w:r>
              <w:rPr>
                <w:rFonts w:ascii="Arial" w:cs="Arial" w:eastAsia="Arial" w:hAnsi="Arial"/>
                <w:sz w:val="18"/>
                <w:szCs w:val="18"/>
                <w:color w:val="4C4C4C"/>
              </w:rPr>
              <w:t>*</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4C4C4C"/>
              </w:rPr>
              <w:t>Tracy Liu(13)</w:t>
            </w:r>
          </w:p>
        </w:tc>
        <w:tc>
          <w:tcPr>
            <w:tcW w:w="980" w:type="dxa"/>
            <w:vAlign w:val="bottom"/>
          </w:tcPr>
          <w:p>
            <w:pPr>
              <w:jc w:val="right"/>
              <w:spacing w:after="0"/>
              <w:rPr>
                <w:sz w:val="20"/>
                <w:szCs w:val="20"/>
                <w:color w:val="auto"/>
              </w:rPr>
            </w:pPr>
            <w:r>
              <w:rPr>
                <w:rFonts w:ascii="Arial" w:cs="Arial" w:eastAsia="Arial" w:hAnsi="Arial"/>
                <w:sz w:val="18"/>
                <w:szCs w:val="18"/>
                <w:color w:val="4C4C4C"/>
              </w:rPr>
              <w:t>191,499</w:t>
            </w:r>
          </w:p>
        </w:tc>
        <w:tc>
          <w:tcPr>
            <w:tcW w:w="540" w:type="dxa"/>
            <w:vAlign w:val="bottom"/>
          </w:tcPr>
          <w:p>
            <w:pPr>
              <w:ind w:left="360"/>
              <w:spacing w:after="0"/>
              <w:rPr>
                <w:sz w:val="20"/>
                <w:szCs w:val="20"/>
                <w:color w:val="auto"/>
              </w:rPr>
            </w:pPr>
            <w:r>
              <w:rPr>
                <w:rFonts w:ascii="Arial" w:cs="Arial" w:eastAsia="Arial" w:hAnsi="Arial"/>
                <w:sz w:val="18"/>
                <w:szCs w:val="18"/>
                <w:color w:val="4C4C4C"/>
              </w:rPr>
              <w:t>*</w:t>
            </w:r>
          </w:p>
        </w:tc>
        <w:tc>
          <w:tcPr>
            <w:tcW w:w="920" w:type="dxa"/>
            <w:vAlign w:val="bottom"/>
          </w:tcPr>
          <w:p>
            <w:pPr>
              <w:jc w:val="right"/>
              <w:spacing w:after="0"/>
              <w:rPr>
                <w:sz w:val="20"/>
                <w:szCs w:val="20"/>
                <w:color w:val="auto"/>
              </w:rPr>
            </w:pPr>
            <w:r>
              <w:rPr>
                <w:rFonts w:ascii="Arial" w:cs="Arial" w:eastAsia="Arial" w:hAnsi="Arial"/>
                <w:sz w:val="18"/>
                <w:szCs w:val="18"/>
                <w:color w:val="4C4C4C"/>
              </w:rPr>
              <w:t>—</w:t>
            </w:r>
          </w:p>
        </w:tc>
        <w:tc>
          <w:tcPr>
            <w:tcW w:w="620" w:type="dxa"/>
            <w:vAlign w:val="bottom"/>
          </w:tcPr>
          <w:p>
            <w:pPr>
              <w:jc w:val="right"/>
              <w:ind w:right="151"/>
              <w:spacing w:after="0"/>
              <w:rPr>
                <w:sz w:val="20"/>
                <w:szCs w:val="20"/>
                <w:color w:val="auto"/>
              </w:rPr>
            </w:pPr>
            <w:r>
              <w:rPr>
                <w:rFonts w:ascii="Arial" w:cs="Arial" w:eastAsia="Arial" w:hAnsi="Arial"/>
                <w:sz w:val="18"/>
                <w:szCs w:val="18"/>
                <w:color w:val="4C4C4C"/>
              </w:rPr>
              <w:t>—</w:t>
            </w:r>
          </w:p>
        </w:tc>
        <w:tc>
          <w:tcPr>
            <w:tcW w:w="1240" w:type="dxa"/>
            <w:vAlign w:val="bottom"/>
          </w:tcPr>
          <w:p>
            <w:pPr>
              <w:jc w:val="right"/>
              <w:ind w:right="372"/>
              <w:spacing w:after="0"/>
              <w:rPr>
                <w:sz w:val="20"/>
                <w:szCs w:val="20"/>
                <w:color w:val="auto"/>
              </w:rPr>
            </w:pPr>
            <w:r>
              <w:rPr>
                <w:rFonts w:ascii="Arial" w:cs="Arial" w:eastAsia="Arial" w:hAnsi="Arial"/>
                <w:sz w:val="18"/>
                <w:szCs w:val="18"/>
                <w:color w:val="4C4C4C"/>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Borders>
              <w:bottom w:val="single" w:sz="8" w:color="BAE2F8"/>
            </w:tcBorders>
            <w:shd w:val="clear" w:color="auto" w:fill="BAE2F8"/>
          </w:tcPr>
          <w:p>
            <w:pPr>
              <w:spacing w:after="0"/>
              <w:rPr>
                <w:sz w:val="24"/>
                <w:szCs w:val="24"/>
                <w:color w:val="auto"/>
              </w:rPr>
            </w:pPr>
          </w:p>
        </w:tc>
        <w:tc>
          <w:tcPr>
            <w:tcW w:w="4100" w:type="dxa"/>
            <w:vAlign w:val="bottom"/>
            <w:tcBorders>
              <w:bottom w:val="single" w:sz="8" w:color="BAE2F8"/>
            </w:tcBorders>
            <w:gridSpan w:val="4"/>
            <w:shd w:val="clear" w:color="auto" w:fill="BAE2F8"/>
          </w:tcPr>
          <w:p>
            <w:pPr>
              <w:spacing w:after="0"/>
              <w:rPr>
                <w:sz w:val="20"/>
                <w:szCs w:val="20"/>
                <w:color w:val="auto"/>
              </w:rPr>
            </w:pPr>
            <w:r>
              <w:rPr>
                <w:rFonts w:ascii="Arial" w:cs="Arial" w:eastAsia="Arial" w:hAnsi="Arial"/>
                <w:sz w:val="18"/>
                <w:szCs w:val="18"/>
                <w:color w:val="4C4C4C"/>
              </w:rPr>
              <w:t>Lisa Feng(14)</w:t>
            </w:r>
          </w:p>
        </w:tc>
        <w:tc>
          <w:tcPr>
            <w:tcW w:w="98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187,996</w:t>
            </w:r>
          </w:p>
        </w:tc>
        <w:tc>
          <w:tcPr>
            <w:tcW w:w="540" w:type="dxa"/>
            <w:vAlign w:val="bottom"/>
            <w:tcBorders>
              <w:bottom w:val="single" w:sz="8" w:color="BAE2F8"/>
            </w:tcBorders>
            <w:shd w:val="clear" w:color="auto" w:fill="BAE2F8"/>
          </w:tcPr>
          <w:p>
            <w:pPr>
              <w:ind w:left="360"/>
              <w:spacing w:after="0"/>
              <w:rPr>
                <w:sz w:val="20"/>
                <w:szCs w:val="20"/>
                <w:color w:val="auto"/>
              </w:rPr>
            </w:pPr>
            <w:r>
              <w:rPr>
                <w:rFonts w:ascii="Arial" w:cs="Arial" w:eastAsia="Arial" w:hAnsi="Arial"/>
                <w:sz w:val="18"/>
                <w:szCs w:val="18"/>
                <w:color w:val="4C4C4C"/>
              </w:rPr>
              <w:t>*</w:t>
            </w:r>
          </w:p>
        </w:tc>
        <w:tc>
          <w:tcPr>
            <w:tcW w:w="92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w:t>
            </w:r>
          </w:p>
        </w:tc>
        <w:tc>
          <w:tcPr>
            <w:tcW w:w="620" w:type="dxa"/>
            <w:vAlign w:val="bottom"/>
            <w:tcBorders>
              <w:bottom w:val="single" w:sz="8" w:color="BAE2F8"/>
            </w:tcBorders>
            <w:shd w:val="clear" w:color="auto" w:fill="BAE2F8"/>
          </w:tcPr>
          <w:p>
            <w:pPr>
              <w:jc w:val="right"/>
              <w:ind w:right="151"/>
              <w:spacing w:after="0"/>
              <w:rPr>
                <w:sz w:val="20"/>
                <w:szCs w:val="20"/>
                <w:color w:val="auto"/>
              </w:rPr>
            </w:pPr>
            <w:r>
              <w:rPr>
                <w:rFonts w:ascii="Arial" w:cs="Arial" w:eastAsia="Arial" w:hAnsi="Arial"/>
                <w:sz w:val="18"/>
                <w:szCs w:val="18"/>
                <w:color w:val="4C4C4C"/>
              </w:rPr>
              <w:t>—</w:t>
            </w:r>
          </w:p>
        </w:tc>
        <w:tc>
          <w:tcPr>
            <w:tcW w:w="1240" w:type="dxa"/>
            <w:vAlign w:val="bottom"/>
            <w:tcBorders>
              <w:bottom w:val="single" w:sz="8" w:color="BAE2F8"/>
            </w:tcBorders>
            <w:shd w:val="clear" w:color="auto" w:fill="BAE2F8"/>
          </w:tcPr>
          <w:p>
            <w:pPr>
              <w:jc w:val="right"/>
              <w:ind w:right="372"/>
              <w:spacing w:after="0"/>
              <w:rPr>
                <w:sz w:val="20"/>
                <w:szCs w:val="20"/>
                <w:color w:val="auto"/>
              </w:rPr>
            </w:pPr>
            <w:r>
              <w:rPr>
                <w:rFonts w:ascii="Arial" w:cs="Arial" w:eastAsia="Arial" w:hAnsi="Arial"/>
                <w:sz w:val="18"/>
                <w:szCs w:val="18"/>
                <w:color w:val="4C4C4C"/>
              </w:rPr>
              <w:t>*</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4C4C4C"/>
              </w:rPr>
              <w:t>Mark McKechnie(15)</w:t>
            </w:r>
          </w:p>
        </w:tc>
        <w:tc>
          <w:tcPr>
            <w:tcW w:w="980" w:type="dxa"/>
            <w:vAlign w:val="bottom"/>
          </w:tcPr>
          <w:p>
            <w:pPr>
              <w:jc w:val="right"/>
              <w:spacing w:after="0"/>
              <w:rPr>
                <w:sz w:val="20"/>
                <w:szCs w:val="20"/>
                <w:color w:val="auto"/>
              </w:rPr>
            </w:pPr>
            <w:r>
              <w:rPr>
                <w:rFonts w:ascii="Arial" w:cs="Arial" w:eastAsia="Arial" w:hAnsi="Arial"/>
                <w:sz w:val="18"/>
                <w:szCs w:val="18"/>
                <w:color w:val="4C4C4C"/>
              </w:rPr>
              <w:t>99,912</w:t>
            </w:r>
          </w:p>
        </w:tc>
        <w:tc>
          <w:tcPr>
            <w:tcW w:w="540" w:type="dxa"/>
            <w:vAlign w:val="bottom"/>
          </w:tcPr>
          <w:p>
            <w:pPr>
              <w:ind w:left="360"/>
              <w:spacing w:after="0"/>
              <w:rPr>
                <w:sz w:val="20"/>
                <w:szCs w:val="20"/>
                <w:color w:val="auto"/>
              </w:rPr>
            </w:pPr>
            <w:r>
              <w:rPr>
                <w:rFonts w:ascii="Arial" w:cs="Arial" w:eastAsia="Arial" w:hAnsi="Arial"/>
                <w:sz w:val="18"/>
                <w:szCs w:val="18"/>
                <w:color w:val="4C4C4C"/>
              </w:rPr>
              <w:t>*</w:t>
            </w:r>
          </w:p>
        </w:tc>
        <w:tc>
          <w:tcPr>
            <w:tcW w:w="920" w:type="dxa"/>
            <w:vAlign w:val="bottom"/>
          </w:tcPr>
          <w:p>
            <w:pPr>
              <w:jc w:val="right"/>
              <w:spacing w:after="0"/>
              <w:rPr>
                <w:sz w:val="20"/>
                <w:szCs w:val="20"/>
                <w:color w:val="auto"/>
              </w:rPr>
            </w:pPr>
            <w:r>
              <w:rPr>
                <w:rFonts w:ascii="Arial" w:cs="Arial" w:eastAsia="Arial" w:hAnsi="Arial"/>
                <w:sz w:val="18"/>
                <w:szCs w:val="18"/>
                <w:color w:val="4C4C4C"/>
              </w:rPr>
              <w:t>—</w:t>
            </w:r>
          </w:p>
        </w:tc>
        <w:tc>
          <w:tcPr>
            <w:tcW w:w="620" w:type="dxa"/>
            <w:vAlign w:val="bottom"/>
          </w:tcPr>
          <w:p>
            <w:pPr>
              <w:jc w:val="right"/>
              <w:ind w:right="151"/>
              <w:spacing w:after="0"/>
              <w:rPr>
                <w:sz w:val="20"/>
                <w:szCs w:val="20"/>
                <w:color w:val="auto"/>
              </w:rPr>
            </w:pPr>
            <w:r>
              <w:rPr>
                <w:rFonts w:ascii="Arial" w:cs="Arial" w:eastAsia="Arial" w:hAnsi="Arial"/>
                <w:sz w:val="18"/>
                <w:szCs w:val="18"/>
                <w:color w:val="4C4C4C"/>
              </w:rPr>
              <w:t>—</w:t>
            </w:r>
          </w:p>
        </w:tc>
        <w:tc>
          <w:tcPr>
            <w:tcW w:w="1240" w:type="dxa"/>
            <w:vAlign w:val="bottom"/>
          </w:tcPr>
          <w:p>
            <w:pPr>
              <w:jc w:val="right"/>
              <w:ind w:right="372"/>
              <w:spacing w:after="0"/>
              <w:rPr>
                <w:sz w:val="20"/>
                <w:szCs w:val="20"/>
                <w:color w:val="auto"/>
              </w:rPr>
            </w:pPr>
            <w:r>
              <w:rPr>
                <w:rFonts w:ascii="Arial" w:cs="Arial" w:eastAsia="Arial" w:hAnsi="Arial"/>
                <w:sz w:val="18"/>
                <w:szCs w:val="18"/>
                <w:color w:val="4C4C4C"/>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Borders>
              <w:bottom w:val="single" w:sz="8" w:color="BAE2F8"/>
            </w:tcBorders>
            <w:shd w:val="clear" w:color="auto" w:fill="BAE2F8"/>
          </w:tcPr>
          <w:p>
            <w:pPr>
              <w:spacing w:after="0"/>
              <w:rPr>
                <w:sz w:val="24"/>
                <w:szCs w:val="24"/>
                <w:color w:val="auto"/>
              </w:rPr>
            </w:pPr>
          </w:p>
        </w:tc>
        <w:tc>
          <w:tcPr>
            <w:tcW w:w="4100" w:type="dxa"/>
            <w:vAlign w:val="bottom"/>
            <w:tcBorders>
              <w:bottom w:val="single" w:sz="8" w:color="BAE2F8"/>
            </w:tcBorders>
            <w:gridSpan w:val="4"/>
            <w:shd w:val="clear" w:color="auto" w:fill="BAE2F8"/>
          </w:tcPr>
          <w:p>
            <w:pPr>
              <w:spacing w:after="0"/>
              <w:rPr>
                <w:sz w:val="20"/>
                <w:szCs w:val="20"/>
                <w:color w:val="auto"/>
              </w:rPr>
            </w:pPr>
            <w:r>
              <w:rPr>
                <w:rFonts w:ascii="Arial" w:cs="Arial" w:eastAsia="Arial" w:hAnsi="Arial"/>
                <w:sz w:val="18"/>
                <w:szCs w:val="18"/>
                <w:color w:val="4C4C4C"/>
              </w:rPr>
              <w:t>Xiao Xing(16)</w:t>
            </w:r>
          </w:p>
        </w:tc>
        <w:tc>
          <w:tcPr>
            <w:tcW w:w="98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3,438,510</w:t>
            </w:r>
          </w:p>
        </w:tc>
        <w:tc>
          <w:tcPr>
            <w:tcW w:w="540" w:type="dxa"/>
            <w:vAlign w:val="bottom"/>
            <w:tcBorders>
              <w:bottom w:val="single" w:sz="8" w:color="BAE2F8"/>
            </w:tcBorders>
            <w:shd w:val="clear" w:color="auto" w:fill="BAE2F8"/>
          </w:tcPr>
          <w:p>
            <w:pPr>
              <w:ind w:left="140"/>
              <w:spacing w:after="0"/>
              <w:rPr>
                <w:sz w:val="20"/>
                <w:szCs w:val="20"/>
                <w:color w:val="auto"/>
              </w:rPr>
            </w:pPr>
            <w:r>
              <w:rPr>
                <w:rFonts w:ascii="Arial" w:cs="Arial" w:eastAsia="Arial" w:hAnsi="Arial"/>
                <w:sz w:val="18"/>
                <w:szCs w:val="18"/>
                <w:color w:val="4C4C4C"/>
              </w:rPr>
              <w:t>6.4</w:t>
            </w:r>
          </w:p>
        </w:tc>
        <w:tc>
          <w:tcPr>
            <w:tcW w:w="920" w:type="dxa"/>
            <w:vAlign w:val="bottom"/>
            <w:tcBorders>
              <w:bottom w:val="single" w:sz="8" w:color="BAE2F8"/>
            </w:tcBorders>
            <w:shd w:val="clear" w:color="auto" w:fill="BAE2F8"/>
          </w:tcPr>
          <w:p>
            <w:pPr>
              <w:jc w:val="right"/>
              <w:spacing w:after="0"/>
              <w:rPr>
                <w:sz w:val="20"/>
                <w:szCs w:val="20"/>
                <w:color w:val="auto"/>
              </w:rPr>
            </w:pPr>
            <w:r>
              <w:rPr>
                <w:rFonts w:ascii="Arial" w:cs="Arial" w:eastAsia="Arial" w:hAnsi="Arial"/>
                <w:sz w:val="18"/>
                <w:szCs w:val="18"/>
                <w:color w:val="4C4C4C"/>
              </w:rPr>
              <w:t>—</w:t>
            </w:r>
          </w:p>
        </w:tc>
        <w:tc>
          <w:tcPr>
            <w:tcW w:w="620" w:type="dxa"/>
            <w:vAlign w:val="bottom"/>
            <w:tcBorders>
              <w:bottom w:val="single" w:sz="8" w:color="BAE2F8"/>
            </w:tcBorders>
            <w:shd w:val="clear" w:color="auto" w:fill="BAE2F8"/>
          </w:tcPr>
          <w:p>
            <w:pPr>
              <w:jc w:val="right"/>
              <w:ind w:right="151"/>
              <w:spacing w:after="0"/>
              <w:rPr>
                <w:sz w:val="20"/>
                <w:szCs w:val="20"/>
                <w:color w:val="auto"/>
              </w:rPr>
            </w:pPr>
            <w:r>
              <w:rPr>
                <w:rFonts w:ascii="Arial" w:cs="Arial" w:eastAsia="Arial" w:hAnsi="Arial"/>
                <w:sz w:val="18"/>
                <w:szCs w:val="18"/>
                <w:color w:val="4C4C4C"/>
              </w:rPr>
              <w:t>—</w:t>
            </w:r>
          </w:p>
        </w:tc>
        <w:tc>
          <w:tcPr>
            <w:tcW w:w="1240" w:type="dxa"/>
            <w:vAlign w:val="bottom"/>
            <w:tcBorders>
              <w:bottom w:val="single" w:sz="8" w:color="BAE2F8"/>
            </w:tcBorders>
            <w:shd w:val="clear" w:color="auto" w:fill="BAE2F8"/>
          </w:tcPr>
          <w:p>
            <w:pPr>
              <w:jc w:val="right"/>
              <w:ind w:right="432"/>
              <w:spacing w:after="0"/>
              <w:rPr>
                <w:sz w:val="20"/>
                <w:szCs w:val="20"/>
                <w:color w:val="auto"/>
              </w:rPr>
            </w:pPr>
            <w:r>
              <w:rPr>
                <w:rFonts w:ascii="Arial" w:cs="Arial" w:eastAsia="Arial" w:hAnsi="Arial"/>
                <w:sz w:val="18"/>
                <w:szCs w:val="18"/>
                <w:color w:val="4C4C4C"/>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4C4C4C"/>
              </w:rPr>
              <w:t>All directors, director nominees and executive</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4C4C4C"/>
              </w:rPr>
              <w:t>officers, as a group (12 persons)(17)</w:t>
            </w:r>
          </w:p>
        </w:tc>
        <w:tc>
          <w:tcPr>
            <w:tcW w:w="980" w:type="dxa"/>
            <w:vAlign w:val="bottom"/>
          </w:tcPr>
          <w:p>
            <w:pPr>
              <w:jc w:val="right"/>
              <w:spacing w:after="0"/>
              <w:rPr>
                <w:sz w:val="20"/>
                <w:szCs w:val="20"/>
                <w:color w:val="auto"/>
              </w:rPr>
            </w:pPr>
            <w:r>
              <w:rPr>
                <w:rFonts w:ascii="Arial" w:cs="Arial" w:eastAsia="Arial" w:hAnsi="Arial"/>
                <w:sz w:val="18"/>
                <w:szCs w:val="18"/>
                <w:color w:val="4C4C4C"/>
                <w:w w:val="99"/>
              </w:rPr>
              <w:t>15,472,196</w:t>
            </w:r>
          </w:p>
        </w:tc>
        <w:tc>
          <w:tcPr>
            <w:tcW w:w="540" w:type="dxa"/>
            <w:vAlign w:val="bottom"/>
          </w:tcPr>
          <w:p>
            <w:pPr>
              <w:ind w:left="40"/>
              <w:spacing w:after="0"/>
              <w:rPr>
                <w:sz w:val="20"/>
                <w:szCs w:val="20"/>
                <w:color w:val="auto"/>
              </w:rPr>
            </w:pPr>
            <w:r>
              <w:rPr>
                <w:rFonts w:ascii="Arial" w:cs="Arial" w:eastAsia="Arial" w:hAnsi="Arial"/>
                <w:sz w:val="18"/>
                <w:szCs w:val="18"/>
                <w:color w:val="4C4C4C"/>
              </w:rPr>
              <w:t>28.6</w:t>
            </w:r>
          </w:p>
        </w:tc>
        <w:tc>
          <w:tcPr>
            <w:tcW w:w="920" w:type="dxa"/>
            <w:vAlign w:val="bottom"/>
          </w:tcPr>
          <w:p>
            <w:pPr>
              <w:jc w:val="right"/>
              <w:spacing w:after="0"/>
              <w:rPr>
                <w:sz w:val="20"/>
                <w:szCs w:val="20"/>
                <w:color w:val="auto"/>
              </w:rPr>
            </w:pPr>
            <w:r>
              <w:rPr>
                <w:rFonts w:ascii="Arial" w:cs="Arial" w:eastAsia="Arial" w:hAnsi="Arial"/>
                <w:sz w:val="18"/>
                <w:szCs w:val="18"/>
                <w:color w:val="4C4C4C"/>
              </w:rPr>
              <w:t>4,616,811</w:t>
            </w:r>
          </w:p>
        </w:tc>
        <w:tc>
          <w:tcPr>
            <w:tcW w:w="620" w:type="dxa"/>
            <w:vAlign w:val="bottom"/>
          </w:tcPr>
          <w:p>
            <w:pPr>
              <w:ind w:left="60"/>
              <w:spacing w:after="0"/>
              <w:rPr>
                <w:sz w:val="20"/>
                <w:szCs w:val="20"/>
                <w:color w:val="auto"/>
              </w:rPr>
            </w:pPr>
            <w:r>
              <w:rPr>
                <w:rFonts w:ascii="Arial" w:cs="Arial" w:eastAsia="Arial" w:hAnsi="Arial"/>
                <w:sz w:val="18"/>
                <w:szCs w:val="18"/>
                <w:color w:val="4C4C4C"/>
              </w:rPr>
              <w:t>90.8</w:t>
            </w:r>
          </w:p>
        </w:tc>
        <w:tc>
          <w:tcPr>
            <w:tcW w:w="1240" w:type="dxa"/>
            <w:vAlign w:val="bottom"/>
          </w:tcPr>
          <w:p>
            <w:pPr>
              <w:jc w:val="right"/>
              <w:ind w:right="392"/>
              <w:spacing w:after="0"/>
              <w:rPr>
                <w:sz w:val="20"/>
                <w:szCs w:val="20"/>
                <w:color w:val="auto"/>
              </w:rPr>
            </w:pPr>
            <w:r>
              <w:rPr>
                <w:rFonts w:ascii="Arial" w:cs="Arial" w:eastAsia="Arial" w:hAnsi="Arial"/>
                <w:sz w:val="18"/>
                <w:szCs w:val="18"/>
                <w:color w:val="4C4C4C"/>
              </w:rPr>
              <w:t>69.2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-4030980</wp:posOffset>
            </wp:positionV>
            <wp:extent cx="19373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61" w:lineRule="exact"/>
        <w:rPr>
          <w:sz w:val="20"/>
          <w:szCs w:val="20"/>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55" w:lineRule="exact"/>
        <w:rPr>
          <w:sz w:val="20"/>
          <w:szCs w:val="20"/>
          <w:color w:val="auto"/>
        </w:rPr>
      </w:pPr>
    </w:p>
    <w:p>
      <w:pPr>
        <w:ind w:left="640" w:right="319" w:hanging="348"/>
        <w:spacing w:after="0" w:line="281" w:lineRule="auto"/>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the number of shares of Class A common stock issuable upon conversion of shares of Class B common stock, which are convertible at any time into shares of Class A common stock.</w:t>
      </w:r>
    </w:p>
    <w:p>
      <w:pPr>
        <w:spacing w:after="0" w:line="1" w:lineRule="exact"/>
        <w:rPr>
          <w:rFonts w:ascii="Arial" w:cs="Arial" w:eastAsia="Arial" w:hAnsi="Arial"/>
          <w:sz w:val="14"/>
          <w:szCs w:val="14"/>
          <w:color w:val="auto"/>
        </w:rPr>
      </w:pPr>
    </w:p>
    <w:p>
      <w:pPr>
        <w:jc w:val="both"/>
        <w:ind w:left="640" w:right="299" w:hanging="348"/>
        <w:spacing w:after="0" w:line="263" w:lineRule="auto"/>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Class A and Class B common stock, voting as a single class. Holders are entitled to one vote per share of Class A common stock and twenty votes per share of Class B common stock.</w:t>
      </w:r>
    </w:p>
    <w:p>
      <w:pPr>
        <w:spacing w:after="0" w:line="10" w:lineRule="exact"/>
        <w:rPr>
          <w:rFonts w:ascii="Arial" w:cs="Arial" w:eastAsia="Arial" w:hAnsi="Arial"/>
          <w:sz w:val="14"/>
          <w:szCs w:val="14"/>
          <w:color w:val="auto"/>
        </w:rPr>
      </w:pPr>
    </w:p>
    <w:p>
      <w:pPr>
        <w:jc w:val="both"/>
        <w:ind w:left="640" w:right="299" w:hanging="348"/>
        <w:spacing w:after="0" w:line="263" w:lineRule="auto"/>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2022 by Yiheng Capital Management, L.P. Yiheng Capital Management, L.P. has shared voting power over 4,245,300 shares and shared dispositive power over 4,245,300 shares. The address of Yiheng Capital Partners, L.P. is 101 California Street, Suite 2880, San Francisco, California 94111.</w:t>
      </w:r>
    </w:p>
    <w:p>
      <w:pPr>
        <w:spacing w:after="0" w:line="10" w:lineRule="exact"/>
        <w:rPr>
          <w:rFonts w:ascii="Arial" w:cs="Arial" w:eastAsia="Arial" w:hAnsi="Arial"/>
          <w:sz w:val="14"/>
          <w:szCs w:val="14"/>
          <w:color w:val="auto"/>
        </w:rPr>
      </w:pPr>
    </w:p>
    <w:p>
      <w:pPr>
        <w:jc w:val="both"/>
        <w:ind w:left="640" w:right="299" w:hanging="348"/>
        <w:spacing w:after="0" w:line="263" w:lineRule="auto"/>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9, 2022 by Morgan Stanley. Morgan Stanley has shared voting power over 3,787,575 shares and shared dispositive power over 3,787,575 shares. The address of Morgan Stanley is 1585 Broadway New York, New York 10036.</w:t>
      </w:r>
    </w:p>
    <w:p>
      <w:pPr>
        <w:spacing w:after="0" w:line="26" w:lineRule="exact"/>
        <w:rPr>
          <w:sz w:val="20"/>
          <w:szCs w:val="20"/>
          <w:color w:val="auto"/>
        </w:rPr>
      </w:pPr>
    </w:p>
    <w:p>
      <w:pPr>
        <w:jc w:val="right"/>
        <w:ind w:right="299"/>
        <w:spacing w:after="0"/>
        <w:rPr>
          <w:sz w:val="20"/>
          <w:szCs w:val="20"/>
          <w:color w:val="auto"/>
        </w:rPr>
      </w:pPr>
      <w:r>
        <w:rPr>
          <w:rFonts w:ascii="Arial" w:cs="Arial" w:eastAsia="Arial" w:hAnsi="Arial"/>
          <w:sz w:val="14"/>
          <w:szCs w:val="14"/>
          <w:i w:val="1"/>
          <w:iCs w:val="1"/>
          <w:color w:val="auto"/>
        </w:rPr>
        <w:t>[Footnotes continued on next page]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15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both"/>
        <w:ind w:left="640" w:right="299" w:hanging="348"/>
        <w:spacing w:after="0" w:line="263"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Weiguo Shen is the Chairman and General Manager of Shanghai Science and Technology Venture Co., Ltd., or SSTVC, and may be deemed to beneficially own the shares held by SSTVC. The address of SSTVC and Mr. Shen is Floor 39, #669 Xin Zha Road, Jing An District, Shanghai, PRC.</w:t>
      </w:r>
    </w:p>
    <w:p>
      <w:pPr>
        <w:spacing w:after="0" w:line="10" w:lineRule="exact"/>
        <w:rPr>
          <w:rFonts w:ascii="Arial" w:cs="Arial" w:eastAsia="Arial" w:hAnsi="Arial"/>
          <w:sz w:val="14"/>
          <w:szCs w:val="14"/>
          <w:color w:val="auto"/>
        </w:rPr>
      </w:pPr>
    </w:p>
    <w:p>
      <w:pPr>
        <w:jc w:val="both"/>
        <w:ind w:left="640" w:right="299" w:hanging="348"/>
        <w:spacing w:after="0" w:line="256"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Pudong Science and Technology (Cayman) Co., Ltd., or PST, is a wholly owned subsidiary of Shanghai Pudong High-Tech Investment Co., Ltd. Long Ji is the Corporate Representative of Pudong High-Tech Investment Co., Ltd. and may be deemed to beneficially own the shares held by PST. The address of PST, its parent and Mr. Ji is No. 439, 13 Building, Chunxiao Road, Zhangjiang Hi-tech Park, Pudong District, Shanghai.</w:t>
      </w:r>
    </w:p>
    <w:p>
      <w:pPr>
        <w:spacing w:after="0" w:line="15" w:lineRule="exact"/>
        <w:rPr>
          <w:rFonts w:ascii="Arial" w:cs="Arial" w:eastAsia="Arial" w:hAnsi="Arial"/>
          <w:sz w:val="14"/>
          <w:szCs w:val="14"/>
          <w:color w:val="auto"/>
        </w:rPr>
      </w:pPr>
    </w:p>
    <w:p>
      <w:pPr>
        <w:jc w:val="both"/>
        <w:ind w:left="640" w:right="299" w:hanging="348"/>
        <w:spacing w:after="0" w:line="248"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(a) 620,001 shares of Class A common stock held by Dr. Wang and Jing Chen, as Trustees for the Wang-Chen Family Living Trust; (b) 180,000 shares of Class A common stock held by Dr. Wang and Jing Chen, as Trustees for The David Hui Wang and Jing Chen Family Irrevocable Trust for Wang Children; (c) 100,02 shares held by Dr. Wang’s wife, Jing Chen;</w:t>
      </w:r>
    </w:p>
    <w:p>
      <w:pPr>
        <w:jc w:val="both"/>
        <w:ind w:left="640" w:right="299" w:firstLine="3"/>
        <w:spacing w:after="0" w:line="246" w:lineRule="auto"/>
        <w:tabs>
          <w:tab w:leader="none" w:pos="876" w:val="left"/>
        </w:tabs>
        <w:numPr>
          <w:ilvl w:val="1"/>
          <w:numId w:val="41"/>
        </w:numPr>
        <w:rPr>
          <w:rFonts w:ascii="Arial" w:cs="Arial" w:eastAsia="Arial" w:hAnsi="Arial"/>
          <w:sz w:val="14"/>
          <w:szCs w:val="14"/>
          <w:color w:val="auto"/>
        </w:rPr>
      </w:pPr>
      <w:r>
        <w:rPr>
          <w:rFonts w:ascii="Arial" w:cs="Arial" w:eastAsia="Arial" w:hAnsi="Arial"/>
          <w:sz w:val="14"/>
          <w:szCs w:val="14"/>
          <w:color w:val="auto"/>
        </w:rPr>
        <w:t>45,837 shares of Class A common stock held by Dr. Wang’s daughter, Sophia Wang; (e) 4,166,808 shares of Class A common stock issuable upon conversion of Class B common stock, of which shares of Class B common stock a total of 352,002 are held by Dr. Wang’s son, Brian Wang, 352,002 are held by Dr. Wang’s daughter, Sophia Wang, and 22,002 are held by Dr. Wang and Jing Chen, as Trustees for The David Hui Wang and Jing Chen Family Irrevocable Trust for Wang Children; and (d) 2,861,022 shares of Class A common stock issuable upon the exercise of options exercisable by July 2, 2022.</w:t>
      </w:r>
    </w:p>
    <w:p>
      <w:pPr>
        <w:spacing w:after="0" w:line="186" w:lineRule="exact"/>
        <w:rPr>
          <w:rFonts w:ascii="Arial" w:cs="Arial" w:eastAsia="Arial" w:hAnsi="Arial"/>
          <w:sz w:val="14"/>
          <w:szCs w:val="14"/>
          <w:color w:val="auto"/>
        </w:rPr>
      </w:pPr>
    </w:p>
    <w:p>
      <w:pPr>
        <w:jc w:val="both"/>
        <w:ind w:left="640" w:right="299" w:hanging="348"/>
        <w:spacing w:after="0" w:line="263"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shares owned by SSTVC (see note (5) above). Ms. Xiang is an employee of an affiliate of SSTVC. Ms. Xiang disclaims beneficial ownership of the shares beneficially owned by SSTVC except to the extent of her pecuniary interest therein. Ms. Xiang is not standing for re-election at the Annual Meeting.</w:t>
      </w:r>
    </w:p>
    <w:p>
      <w:pPr>
        <w:spacing w:after="0" w:line="10" w:lineRule="exact"/>
        <w:rPr>
          <w:rFonts w:ascii="Arial" w:cs="Arial" w:eastAsia="Arial" w:hAnsi="Arial"/>
          <w:sz w:val="14"/>
          <w:szCs w:val="14"/>
          <w:color w:val="auto"/>
        </w:rPr>
      </w:pPr>
    </w:p>
    <w:p>
      <w:pPr>
        <w:ind w:left="640" w:right="299" w:hanging="348"/>
        <w:spacing w:after="0" w:line="281"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(a) 555,000 shares of Class A common stock issuable under options exercisable by July 2, 2022 and (b) 300,000 shares of Class A common stock issuable upon conversion of Class B common stock.</w:t>
      </w:r>
    </w:p>
    <w:p>
      <w:pPr>
        <w:spacing w:after="0" w:line="1" w:lineRule="exact"/>
        <w:rPr>
          <w:rFonts w:ascii="Arial" w:cs="Arial" w:eastAsia="Arial" w:hAnsi="Arial"/>
          <w:sz w:val="14"/>
          <w:szCs w:val="14"/>
          <w:color w:val="auto"/>
        </w:rPr>
      </w:pPr>
    </w:p>
    <w:p>
      <w:pPr>
        <w:ind w:left="640" w:right="299" w:hanging="348"/>
        <w:spacing w:after="0" w:line="281"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(a) 188,748 shares of Class A common stock issuable under options exercisable by July 2, 2022 and (b) 150,003 shares of Class A common stock issuable upon conversion of Class B common stock.</w:t>
      </w:r>
    </w:p>
    <w:p>
      <w:pPr>
        <w:spacing w:after="0" w:line="1" w:lineRule="exact"/>
        <w:rPr>
          <w:rFonts w:ascii="Arial" w:cs="Arial" w:eastAsia="Arial" w:hAnsi="Arial"/>
          <w:sz w:val="14"/>
          <w:szCs w:val="14"/>
          <w:color w:val="auto"/>
        </w:rPr>
      </w:pPr>
    </w:p>
    <w:p>
      <w:pPr>
        <w:ind w:left="640" w:hanging="348"/>
        <w:spacing w:after="0"/>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15,000 shares of Class A common stock issuable under options exercisable by July 2, 2022.</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297,411 shares of Class A common stock issuable under options exercisable by July 2, 2022</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149,499 shares of Class A common stock issuable under options exercisable by July 2, 2022.</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139,995 shares of Class A common stock exercisable under options by July 2, 2022.</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99,012 shares of Class A common stock exercisable under options by July 2, 2022.</w:t>
      </w:r>
    </w:p>
    <w:p>
      <w:pPr>
        <w:spacing w:after="0" w:line="55" w:lineRule="exact"/>
        <w:rPr>
          <w:rFonts w:ascii="Arial" w:cs="Arial" w:eastAsia="Arial" w:hAnsi="Arial"/>
          <w:sz w:val="14"/>
          <w:szCs w:val="14"/>
          <w:color w:val="auto"/>
        </w:rPr>
      </w:pPr>
    </w:p>
    <w:p>
      <w:pPr>
        <w:jc w:val="both"/>
        <w:ind w:left="640" w:right="299" w:hanging="348"/>
        <w:spacing w:after="0" w:line="271"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shares owned by SSTVC (see note (5) above). Ms. Xing is an employee of an affiliate of SSTVC. Ms. Xing disclaims beneficial ownership of the shares beneficially owned by SSTVC except to the extent of her pecuniary interest therein.</w:t>
      </w:r>
    </w:p>
    <w:p>
      <w:pPr>
        <w:spacing w:after="0" w:line="176" w:lineRule="exact"/>
        <w:rPr>
          <w:rFonts w:ascii="Arial" w:cs="Arial" w:eastAsia="Arial" w:hAnsi="Arial"/>
          <w:sz w:val="14"/>
          <w:szCs w:val="14"/>
          <w:color w:val="auto"/>
        </w:rPr>
      </w:pPr>
    </w:p>
    <w:p>
      <w:pPr>
        <w:jc w:val="both"/>
        <w:ind w:left="640" w:right="319" w:hanging="348"/>
        <w:spacing w:after="0" w:line="271"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(a) 4,372,557 shares of Class A common stock issuable under options exercisable by July 2, 2022, (b) 4,616,811 shares of Class A common stock issuable upon conversion of Class B common stock and (c) shares held jointly, indirectly and/or in trust.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Delinquent Section 16(a) Reports</w:t>
      </w:r>
    </w:p>
    <w:p>
      <w:pPr>
        <w:spacing w:after="0" w:line="339"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4C4C4C"/>
        </w:rPr>
        <w:t>Section 16(a) of the Securities Exchange Act requires our executive officers and directors and any persons owning ten percent or more of our Class A common stock to file reports with the SEC to report their beneficial ownership of and transactions in our securities and to furnish us with copies of the reports.</w:t>
      </w:r>
    </w:p>
    <w:p>
      <w:pPr>
        <w:spacing w:after="0" w:line="128"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Based solely upon a review of the Section 16(a) reports furnished to us, along with written representations from our executive officers and directors, we believe that all required reports were timely filed during 2021, except that Haiping Dun, Chenming Hu and Tracy Liu each inadvertently failed to file one report and as a result one transaction was not reported on a timely basis.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Executive Officers</w:t>
      </w:r>
    </w:p>
    <w:p>
      <w:pPr>
        <w:spacing w:after="0" w:line="339" w:lineRule="exact"/>
        <w:rPr>
          <w:sz w:val="20"/>
          <w:szCs w:val="20"/>
          <w:color w:val="auto"/>
        </w:rPr>
      </w:pPr>
    </w:p>
    <w:p>
      <w:pPr>
        <w:jc w:val="both"/>
        <w:ind w:left="300" w:right="319"/>
        <w:spacing w:after="0" w:line="247" w:lineRule="auto"/>
        <w:rPr>
          <w:sz w:val="20"/>
          <w:szCs w:val="20"/>
          <w:color w:val="auto"/>
        </w:rPr>
      </w:pPr>
      <w:r>
        <w:rPr>
          <w:rFonts w:ascii="Arial" w:cs="Arial" w:eastAsia="Arial" w:hAnsi="Arial"/>
          <w:sz w:val="18"/>
          <w:szCs w:val="18"/>
          <w:color w:val="4C4C4C"/>
        </w:rPr>
        <w:t>The following table sets forth, as of May 3, 2022, the names of our executive officers, their ages, their positions and business experience, and the year of their first election as officers. Each executive officer serves at the discretion of the board of directors and holds office until his successor is duly elected and qualified or until his earlier resignation or removal.</w:t>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83"/>
        </w:trPr>
        <w:tc>
          <w:tcPr>
            <w:tcW w:w="1300" w:type="dxa"/>
            <w:vAlign w:val="bottom"/>
            <w:shd w:val="clear" w:color="auto" w:fill="0D3F64"/>
          </w:tcPr>
          <w:p>
            <w:pPr>
              <w:spacing w:after="0"/>
              <w:rPr>
                <w:sz w:val="24"/>
                <w:szCs w:val="24"/>
                <w:color w:val="auto"/>
              </w:rPr>
            </w:pPr>
          </w:p>
        </w:tc>
        <w:tc>
          <w:tcPr>
            <w:tcW w:w="420" w:type="dxa"/>
            <w:vAlign w:val="bottom"/>
            <w:shd w:val="clear" w:color="auto" w:fill="0D3F64"/>
          </w:tcPr>
          <w:p>
            <w:pPr>
              <w:spacing w:after="0"/>
              <w:rPr>
                <w:sz w:val="24"/>
                <w:szCs w:val="24"/>
                <w:color w:val="auto"/>
              </w:rPr>
            </w:pPr>
          </w:p>
        </w:tc>
        <w:tc>
          <w:tcPr>
            <w:tcW w:w="5840" w:type="dxa"/>
            <w:vAlign w:val="bottom"/>
            <w:shd w:val="clear" w:color="auto" w:fill="0D3F64"/>
          </w:tcPr>
          <w:p>
            <w:pPr>
              <w:spacing w:after="0"/>
              <w:rPr>
                <w:sz w:val="24"/>
                <w:szCs w:val="24"/>
                <w:color w:val="auto"/>
              </w:rPr>
            </w:pPr>
          </w:p>
        </w:tc>
        <w:tc>
          <w:tcPr>
            <w:tcW w:w="860" w:type="dxa"/>
            <w:vAlign w:val="bottom"/>
            <w:shd w:val="clear" w:color="auto" w:fill="0D3F64"/>
          </w:tcPr>
          <w:p>
            <w:pPr>
              <w:jc w:val="center"/>
              <w:spacing w:after="0"/>
              <w:rPr>
                <w:sz w:val="20"/>
                <w:szCs w:val="20"/>
                <w:color w:val="auto"/>
              </w:rPr>
            </w:pPr>
            <w:r>
              <w:rPr>
                <w:rFonts w:ascii="Arial" w:cs="Arial" w:eastAsia="Arial" w:hAnsi="Arial"/>
                <w:sz w:val="16"/>
                <w:szCs w:val="16"/>
                <w:b w:val="1"/>
                <w:bCs w:val="1"/>
                <w:color w:val="FFFFFF"/>
              </w:rPr>
              <w:t>Year First</w:t>
            </w:r>
          </w:p>
        </w:tc>
      </w:tr>
      <w:tr>
        <w:trPr>
          <w:trHeight w:val="189"/>
        </w:trPr>
        <w:tc>
          <w:tcPr>
            <w:tcW w:w="1300" w:type="dxa"/>
            <w:vAlign w:val="bottom"/>
            <w:shd w:val="clear" w:color="auto" w:fill="0D3F64"/>
          </w:tcPr>
          <w:p>
            <w:pPr>
              <w:spacing w:after="0"/>
              <w:rPr>
                <w:sz w:val="16"/>
                <w:szCs w:val="16"/>
                <w:color w:val="auto"/>
              </w:rPr>
            </w:pPr>
          </w:p>
        </w:tc>
        <w:tc>
          <w:tcPr>
            <w:tcW w:w="420" w:type="dxa"/>
            <w:vAlign w:val="bottom"/>
            <w:shd w:val="clear" w:color="auto" w:fill="0D3F64"/>
          </w:tcPr>
          <w:p>
            <w:pPr>
              <w:spacing w:after="0"/>
              <w:rPr>
                <w:sz w:val="16"/>
                <w:szCs w:val="16"/>
                <w:color w:val="auto"/>
              </w:rPr>
            </w:pPr>
          </w:p>
        </w:tc>
        <w:tc>
          <w:tcPr>
            <w:tcW w:w="5840" w:type="dxa"/>
            <w:vAlign w:val="bottom"/>
            <w:shd w:val="clear" w:color="auto" w:fill="0D3F64"/>
          </w:tcPr>
          <w:p>
            <w:pPr>
              <w:spacing w:after="0"/>
              <w:rPr>
                <w:sz w:val="16"/>
                <w:szCs w:val="16"/>
                <w:color w:val="auto"/>
              </w:rPr>
            </w:pPr>
          </w:p>
        </w:tc>
        <w:tc>
          <w:tcPr>
            <w:tcW w:w="860" w:type="dxa"/>
            <w:vAlign w:val="bottom"/>
            <w:shd w:val="clear" w:color="auto" w:fill="0D3F64"/>
          </w:tcPr>
          <w:p>
            <w:pPr>
              <w:jc w:val="center"/>
              <w:spacing w:after="0"/>
              <w:rPr>
                <w:sz w:val="20"/>
                <w:szCs w:val="20"/>
                <w:color w:val="auto"/>
              </w:rPr>
            </w:pPr>
            <w:r>
              <w:rPr>
                <w:rFonts w:ascii="Arial" w:cs="Arial" w:eastAsia="Arial" w:hAnsi="Arial"/>
                <w:sz w:val="16"/>
                <w:szCs w:val="16"/>
                <w:b w:val="1"/>
                <w:bCs w:val="1"/>
                <w:color w:val="FFFFFF"/>
              </w:rPr>
              <w:t>Elected</w:t>
            </w:r>
          </w:p>
        </w:tc>
      </w:tr>
      <w:tr>
        <w:trPr>
          <w:trHeight w:val="223"/>
        </w:trPr>
        <w:tc>
          <w:tcPr>
            <w:tcW w:w="1300" w:type="dxa"/>
            <w:vAlign w:val="bottom"/>
            <w:shd w:val="clear" w:color="auto" w:fill="0D3F64"/>
          </w:tcPr>
          <w:p>
            <w:pPr>
              <w:ind w:left="20"/>
              <w:spacing w:after="0"/>
              <w:rPr>
                <w:sz w:val="20"/>
                <w:szCs w:val="20"/>
                <w:color w:val="auto"/>
              </w:rPr>
            </w:pPr>
            <w:r>
              <w:rPr>
                <w:rFonts w:ascii="Arial" w:cs="Arial" w:eastAsia="Arial" w:hAnsi="Arial"/>
                <w:sz w:val="16"/>
                <w:szCs w:val="16"/>
                <w:b w:val="1"/>
                <w:bCs w:val="1"/>
                <w:color w:val="FFFFFF"/>
              </w:rPr>
              <w:t>Name</w:t>
            </w:r>
          </w:p>
        </w:tc>
        <w:tc>
          <w:tcPr>
            <w:tcW w:w="420" w:type="dxa"/>
            <w:vAlign w:val="bottom"/>
            <w:shd w:val="clear" w:color="auto" w:fill="0D3F64"/>
          </w:tcPr>
          <w:p>
            <w:pPr>
              <w:ind w:left="60"/>
              <w:spacing w:after="0"/>
              <w:rPr>
                <w:sz w:val="20"/>
                <w:szCs w:val="20"/>
                <w:color w:val="auto"/>
              </w:rPr>
            </w:pPr>
            <w:r>
              <w:rPr>
                <w:rFonts w:ascii="Arial" w:cs="Arial" w:eastAsia="Arial" w:hAnsi="Arial"/>
                <w:sz w:val="16"/>
                <w:szCs w:val="16"/>
                <w:b w:val="1"/>
                <w:bCs w:val="1"/>
                <w:color w:val="FFFFFF"/>
              </w:rPr>
              <w:t>Age</w:t>
            </w:r>
          </w:p>
        </w:tc>
        <w:tc>
          <w:tcPr>
            <w:tcW w:w="5840" w:type="dxa"/>
            <w:vAlign w:val="bottom"/>
            <w:shd w:val="clear" w:color="auto" w:fill="0D3F64"/>
          </w:tcPr>
          <w:p>
            <w:pPr>
              <w:ind w:left="1540"/>
              <w:spacing w:after="0"/>
              <w:rPr>
                <w:sz w:val="20"/>
                <w:szCs w:val="20"/>
                <w:color w:val="auto"/>
              </w:rPr>
            </w:pPr>
            <w:r>
              <w:rPr>
                <w:rFonts w:ascii="Arial" w:cs="Arial" w:eastAsia="Arial" w:hAnsi="Arial"/>
                <w:sz w:val="16"/>
                <w:szCs w:val="16"/>
                <w:b w:val="1"/>
                <w:bCs w:val="1"/>
                <w:color w:val="FFFFFF"/>
              </w:rPr>
              <w:t>Positions and Business Experience</w:t>
            </w:r>
          </w:p>
        </w:tc>
        <w:tc>
          <w:tcPr>
            <w:tcW w:w="860" w:type="dxa"/>
            <w:vAlign w:val="bottom"/>
            <w:shd w:val="clear" w:color="auto" w:fill="0D3F64"/>
          </w:tcPr>
          <w:p>
            <w:pPr>
              <w:jc w:val="center"/>
              <w:spacing w:after="0"/>
              <w:rPr>
                <w:sz w:val="20"/>
                <w:szCs w:val="20"/>
                <w:color w:val="auto"/>
              </w:rPr>
            </w:pPr>
            <w:r>
              <w:rPr>
                <w:rFonts w:ascii="Arial" w:cs="Arial" w:eastAsia="Arial" w:hAnsi="Arial"/>
                <w:sz w:val="16"/>
                <w:szCs w:val="16"/>
                <w:b w:val="1"/>
                <w:bCs w:val="1"/>
                <w:color w:val="FFFFFF"/>
              </w:rPr>
              <w:t>Officer</w:t>
            </w:r>
          </w:p>
        </w:tc>
      </w:tr>
      <w:tr>
        <w:trPr>
          <w:trHeight w:val="62"/>
        </w:trPr>
        <w:tc>
          <w:tcPr>
            <w:tcW w:w="1300" w:type="dxa"/>
            <w:vAlign w:val="bottom"/>
            <w:shd w:val="clear" w:color="auto" w:fill="0D3F64"/>
          </w:tcPr>
          <w:p>
            <w:pPr>
              <w:spacing w:after="0"/>
              <w:rPr>
                <w:sz w:val="5"/>
                <w:szCs w:val="5"/>
                <w:color w:val="auto"/>
              </w:rPr>
            </w:pPr>
          </w:p>
        </w:tc>
        <w:tc>
          <w:tcPr>
            <w:tcW w:w="420" w:type="dxa"/>
            <w:vAlign w:val="bottom"/>
            <w:shd w:val="clear" w:color="auto" w:fill="0D3F64"/>
          </w:tcPr>
          <w:p>
            <w:pPr>
              <w:spacing w:after="0"/>
              <w:rPr>
                <w:sz w:val="5"/>
                <w:szCs w:val="5"/>
                <w:color w:val="auto"/>
              </w:rPr>
            </w:pPr>
          </w:p>
        </w:tc>
        <w:tc>
          <w:tcPr>
            <w:tcW w:w="5840" w:type="dxa"/>
            <w:vAlign w:val="bottom"/>
            <w:shd w:val="clear" w:color="auto" w:fill="0D3F64"/>
          </w:tcPr>
          <w:p>
            <w:pPr>
              <w:spacing w:after="0"/>
              <w:rPr>
                <w:sz w:val="5"/>
                <w:szCs w:val="5"/>
                <w:color w:val="auto"/>
              </w:rPr>
            </w:pPr>
          </w:p>
        </w:tc>
        <w:tc>
          <w:tcPr>
            <w:tcW w:w="860" w:type="dxa"/>
            <w:vAlign w:val="bottom"/>
            <w:shd w:val="clear" w:color="auto" w:fill="0D3F64"/>
          </w:tcPr>
          <w:p>
            <w:pPr>
              <w:spacing w:after="0"/>
              <w:rPr>
                <w:sz w:val="5"/>
                <w:szCs w:val="5"/>
                <w:color w:val="auto"/>
              </w:rPr>
            </w:pPr>
          </w:p>
        </w:tc>
      </w:tr>
      <w:tr>
        <w:trPr>
          <w:trHeight w:val="265"/>
        </w:trPr>
        <w:tc>
          <w:tcPr>
            <w:tcW w:w="1300" w:type="dxa"/>
            <w:vAlign w:val="bottom"/>
          </w:tcPr>
          <w:p>
            <w:pPr>
              <w:ind w:left="20"/>
              <w:spacing w:after="0"/>
              <w:rPr>
                <w:sz w:val="20"/>
                <w:szCs w:val="20"/>
                <w:color w:val="auto"/>
              </w:rPr>
            </w:pPr>
            <w:r>
              <w:rPr>
                <w:rFonts w:ascii="Arial" w:cs="Arial" w:eastAsia="Arial" w:hAnsi="Arial"/>
                <w:sz w:val="18"/>
                <w:szCs w:val="18"/>
                <w:color w:val="4C4C4C"/>
              </w:rPr>
              <w:t>David H. Wang</w:t>
            </w:r>
          </w:p>
        </w:tc>
        <w:tc>
          <w:tcPr>
            <w:tcW w:w="420" w:type="dxa"/>
            <w:vAlign w:val="bottom"/>
          </w:tcPr>
          <w:p>
            <w:pPr>
              <w:ind w:left="120"/>
              <w:spacing w:after="0"/>
              <w:rPr>
                <w:sz w:val="20"/>
                <w:szCs w:val="20"/>
                <w:color w:val="auto"/>
              </w:rPr>
            </w:pPr>
            <w:r>
              <w:rPr>
                <w:rFonts w:ascii="Arial" w:cs="Arial" w:eastAsia="Arial" w:hAnsi="Arial"/>
                <w:sz w:val="18"/>
                <w:szCs w:val="18"/>
                <w:color w:val="4C4C4C"/>
              </w:rPr>
              <w:t>60</w:t>
            </w:r>
          </w:p>
        </w:tc>
        <w:tc>
          <w:tcPr>
            <w:tcW w:w="5840" w:type="dxa"/>
            <w:vAlign w:val="bottom"/>
          </w:tcPr>
          <w:p>
            <w:pPr>
              <w:ind w:left="40"/>
              <w:spacing w:after="0"/>
              <w:rPr>
                <w:sz w:val="20"/>
                <w:szCs w:val="20"/>
                <w:color w:val="auto"/>
              </w:rPr>
            </w:pPr>
            <w:r>
              <w:rPr>
                <w:rFonts w:ascii="Arial" w:cs="Arial" w:eastAsia="Arial" w:hAnsi="Arial"/>
                <w:sz w:val="18"/>
                <w:szCs w:val="18"/>
                <w:color w:val="4C4C4C"/>
              </w:rPr>
              <w:t>Please see “Proposal 1. Election of Directors—Information Concerning</w:t>
            </w:r>
          </w:p>
        </w:tc>
        <w:tc>
          <w:tcPr>
            <w:tcW w:w="860" w:type="dxa"/>
            <w:vAlign w:val="bottom"/>
          </w:tcPr>
          <w:p>
            <w:pPr>
              <w:jc w:val="center"/>
              <w:spacing w:after="0"/>
              <w:rPr>
                <w:sz w:val="20"/>
                <w:szCs w:val="20"/>
                <w:color w:val="auto"/>
              </w:rPr>
            </w:pPr>
            <w:r>
              <w:rPr>
                <w:rFonts w:ascii="Arial" w:cs="Arial" w:eastAsia="Arial" w:hAnsi="Arial"/>
                <w:sz w:val="18"/>
                <w:szCs w:val="18"/>
                <w:color w:val="4C4C4C"/>
                <w:w w:val="99"/>
              </w:rPr>
              <w:t>1998</w:t>
            </w:r>
          </w:p>
        </w:tc>
      </w:tr>
      <w:tr>
        <w:trPr>
          <w:trHeight w:val="239"/>
        </w:trPr>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4C4C4C"/>
              </w:rPr>
              <w:t>Nominees for Election as Directors.”</w:t>
            </w:r>
          </w:p>
        </w:tc>
        <w:tc>
          <w:tcPr>
            <w:tcW w:w="860" w:type="dxa"/>
            <w:vAlign w:val="bottom"/>
          </w:tcPr>
          <w:p>
            <w:pPr>
              <w:spacing w:after="0"/>
              <w:rPr>
                <w:sz w:val="20"/>
                <w:szCs w:val="20"/>
                <w:color w:val="auto"/>
              </w:rPr>
            </w:pPr>
          </w:p>
        </w:tc>
      </w:tr>
      <w:tr>
        <w:trPr>
          <w:trHeight w:val="63"/>
        </w:trPr>
        <w:tc>
          <w:tcPr>
            <w:tcW w:w="1300" w:type="dxa"/>
            <w:vAlign w:val="bottom"/>
          </w:tcPr>
          <w:p>
            <w:pPr>
              <w:spacing w:after="0"/>
              <w:rPr>
                <w:sz w:val="5"/>
                <w:szCs w:val="5"/>
                <w:color w:val="auto"/>
              </w:rPr>
            </w:pPr>
          </w:p>
        </w:tc>
        <w:tc>
          <w:tcPr>
            <w:tcW w:w="6260" w:type="dxa"/>
            <w:vAlign w:val="bottom"/>
            <w:gridSpan w:val="2"/>
          </w:tcPr>
          <w:p>
            <w:pPr>
              <w:spacing w:after="0"/>
              <w:rPr>
                <w:sz w:val="5"/>
                <w:szCs w:val="5"/>
                <w:color w:val="auto"/>
              </w:rPr>
            </w:pPr>
          </w:p>
        </w:tc>
        <w:tc>
          <w:tcPr>
            <w:tcW w:w="860" w:type="dxa"/>
            <w:vAlign w:val="bottom"/>
          </w:tcPr>
          <w:p>
            <w:pPr>
              <w:spacing w:after="0"/>
              <w:rPr>
                <w:sz w:val="5"/>
                <w:szCs w:val="5"/>
                <w:color w:val="auto"/>
              </w:rPr>
            </w:pPr>
          </w:p>
        </w:tc>
      </w:tr>
      <w:tr>
        <w:trPr>
          <w:trHeight w:val="265"/>
        </w:trPr>
        <w:tc>
          <w:tcPr>
            <w:tcW w:w="1300" w:type="dxa"/>
            <w:vAlign w:val="bottom"/>
            <w:shd w:val="clear" w:color="auto" w:fill="BAE2F8"/>
          </w:tcPr>
          <w:p>
            <w:pPr>
              <w:ind w:left="20"/>
              <w:spacing w:after="0"/>
              <w:rPr>
                <w:sz w:val="20"/>
                <w:szCs w:val="20"/>
                <w:color w:val="auto"/>
              </w:rPr>
            </w:pPr>
            <w:r>
              <w:rPr>
                <w:rFonts w:ascii="Arial" w:cs="Arial" w:eastAsia="Arial" w:hAnsi="Arial"/>
                <w:sz w:val="18"/>
                <w:szCs w:val="18"/>
                <w:color w:val="4C4C4C"/>
              </w:rPr>
              <w:t>Mark</w:t>
            </w:r>
          </w:p>
        </w:tc>
        <w:tc>
          <w:tcPr>
            <w:tcW w:w="6260" w:type="dxa"/>
            <w:vAlign w:val="bottom"/>
            <w:gridSpan w:val="2"/>
            <w:shd w:val="clear" w:color="auto" w:fill="BAE2F8"/>
          </w:tcPr>
          <w:p>
            <w:pPr>
              <w:ind w:left="120"/>
              <w:spacing w:after="0"/>
              <w:rPr>
                <w:sz w:val="20"/>
                <w:szCs w:val="20"/>
                <w:color w:val="auto"/>
              </w:rPr>
            </w:pPr>
            <w:r>
              <w:rPr>
                <w:rFonts w:ascii="Arial" w:cs="Arial" w:eastAsia="Arial" w:hAnsi="Arial"/>
                <w:sz w:val="18"/>
                <w:szCs w:val="18"/>
                <w:color w:val="4C4C4C"/>
              </w:rPr>
              <w:t>55  Chief Financial Officer, Treasurer and Secretary of ACM Research, Inc.</w:t>
            </w:r>
          </w:p>
        </w:tc>
        <w:tc>
          <w:tcPr>
            <w:tcW w:w="860" w:type="dxa"/>
            <w:vAlign w:val="bottom"/>
            <w:shd w:val="clear" w:color="auto" w:fill="BAE2F8"/>
          </w:tcPr>
          <w:p>
            <w:pPr>
              <w:jc w:val="center"/>
              <w:spacing w:after="0"/>
              <w:rPr>
                <w:sz w:val="20"/>
                <w:szCs w:val="20"/>
                <w:color w:val="auto"/>
              </w:rPr>
            </w:pPr>
            <w:r>
              <w:rPr>
                <w:rFonts w:ascii="Arial" w:cs="Arial" w:eastAsia="Arial" w:hAnsi="Arial"/>
                <w:sz w:val="18"/>
                <w:szCs w:val="18"/>
                <w:color w:val="4C4C4C"/>
                <w:w w:val="99"/>
              </w:rPr>
              <w:t>2019</w:t>
            </w:r>
          </w:p>
        </w:tc>
      </w:tr>
      <w:tr>
        <w:trPr>
          <w:trHeight w:val="203"/>
        </w:trPr>
        <w:tc>
          <w:tcPr>
            <w:tcW w:w="1300" w:type="dxa"/>
            <w:vAlign w:val="bottom"/>
            <w:shd w:val="clear" w:color="auto" w:fill="BAE2F8"/>
          </w:tcPr>
          <w:p>
            <w:pPr>
              <w:ind w:left="20"/>
              <w:spacing w:after="0" w:line="202" w:lineRule="exact"/>
              <w:rPr>
                <w:sz w:val="20"/>
                <w:szCs w:val="20"/>
                <w:color w:val="auto"/>
              </w:rPr>
            </w:pPr>
            <w:r>
              <w:rPr>
                <w:rFonts w:ascii="Arial" w:cs="Arial" w:eastAsia="Arial" w:hAnsi="Arial"/>
                <w:sz w:val="18"/>
                <w:szCs w:val="18"/>
                <w:color w:val="4C4C4C"/>
              </w:rPr>
              <w:t>McKechnie</w:t>
            </w:r>
          </w:p>
        </w:tc>
        <w:tc>
          <w:tcPr>
            <w:tcW w:w="420" w:type="dxa"/>
            <w:vAlign w:val="bottom"/>
            <w:shd w:val="clear" w:color="auto" w:fill="BAE2F8"/>
          </w:tcPr>
          <w:p>
            <w:pPr>
              <w:spacing w:after="0"/>
              <w:rPr>
                <w:sz w:val="17"/>
                <w:szCs w:val="17"/>
                <w:color w:val="auto"/>
              </w:rPr>
            </w:pPr>
          </w:p>
        </w:tc>
        <w:tc>
          <w:tcPr>
            <w:tcW w:w="5840" w:type="dxa"/>
            <w:vAlign w:val="bottom"/>
            <w:shd w:val="clear" w:color="auto" w:fill="BAE2F8"/>
          </w:tcPr>
          <w:p>
            <w:pPr>
              <w:ind w:left="40"/>
              <w:spacing w:after="0" w:line="202" w:lineRule="exact"/>
              <w:rPr>
                <w:sz w:val="20"/>
                <w:szCs w:val="20"/>
                <w:color w:val="auto"/>
              </w:rPr>
            </w:pPr>
            <w:r>
              <w:rPr>
                <w:rFonts w:ascii="Arial" w:cs="Arial" w:eastAsia="Arial" w:hAnsi="Arial"/>
                <w:sz w:val="18"/>
                <w:szCs w:val="18"/>
                <w:color w:val="4C4C4C"/>
              </w:rPr>
              <w:t>(November 2019-present); Vice President of Finance of ACM Research,</w:t>
            </w:r>
          </w:p>
        </w:tc>
        <w:tc>
          <w:tcPr>
            <w:tcW w:w="860" w:type="dxa"/>
            <w:vAlign w:val="bottom"/>
            <w:shd w:val="clear" w:color="auto" w:fill="BAE2F8"/>
          </w:tcPr>
          <w:p>
            <w:pPr>
              <w:spacing w:after="0"/>
              <w:rPr>
                <w:sz w:val="17"/>
                <w:szCs w:val="17"/>
                <w:color w:val="auto"/>
              </w:rPr>
            </w:pPr>
          </w:p>
        </w:tc>
      </w:tr>
      <w:tr>
        <w:trPr>
          <w:trHeight w:val="203"/>
        </w:trPr>
        <w:tc>
          <w:tcPr>
            <w:tcW w:w="1300" w:type="dxa"/>
            <w:vAlign w:val="bottom"/>
            <w:shd w:val="clear" w:color="auto" w:fill="BAE2F8"/>
          </w:tcPr>
          <w:p>
            <w:pPr>
              <w:spacing w:after="0"/>
              <w:rPr>
                <w:sz w:val="17"/>
                <w:szCs w:val="17"/>
                <w:color w:val="auto"/>
              </w:rPr>
            </w:pPr>
          </w:p>
        </w:tc>
        <w:tc>
          <w:tcPr>
            <w:tcW w:w="420" w:type="dxa"/>
            <w:vAlign w:val="bottom"/>
            <w:shd w:val="clear" w:color="auto" w:fill="BAE2F8"/>
          </w:tcPr>
          <w:p>
            <w:pPr>
              <w:spacing w:after="0"/>
              <w:rPr>
                <w:sz w:val="17"/>
                <w:szCs w:val="17"/>
                <w:color w:val="auto"/>
              </w:rPr>
            </w:pPr>
          </w:p>
        </w:tc>
        <w:tc>
          <w:tcPr>
            <w:tcW w:w="5840" w:type="dxa"/>
            <w:vAlign w:val="bottom"/>
            <w:shd w:val="clear" w:color="auto" w:fill="BAE2F8"/>
          </w:tcPr>
          <w:p>
            <w:pPr>
              <w:ind w:left="40"/>
              <w:spacing w:after="0" w:line="202" w:lineRule="exact"/>
              <w:rPr>
                <w:sz w:val="20"/>
                <w:szCs w:val="20"/>
                <w:color w:val="auto"/>
              </w:rPr>
            </w:pPr>
            <w:r>
              <w:rPr>
                <w:rFonts w:ascii="Arial" w:cs="Arial" w:eastAsia="Arial" w:hAnsi="Arial"/>
                <w:sz w:val="18"/>
                <w:szCs w:val="18"/>
                <w:color w:val="4C4C4C"/>
              </w:rPr>
              <w:t>Inc. (July 2018-November 2019); Vice President of Investor Relations</w:t>
            </w:r>
          </w:p>
        </w:tc>
        <w:tc>
          <w:tcPr>
            <w:tcW w:w="860" w:type="dxa"/>
            <w:vAlign w:val="bottom"/>
            <w:shd w:val="clear" w:color="auto" w:fill="BAE2F8"/>
          </w:tcPr>
          <w:p>
            <w:pPr>
              <w:spacing w:after="0"/>
              <w:rPr>
                <w:sz w:val="17"/>
                <w:szCs w:val="17"/>
                <w:color w:val="auto"/>
              </w:rPr>
            </w:pPr>
          </w:p>
        </w:tc>
      </w:tr>
      <w:tr>
        <w:trPr>
          <w:trHeight w:val="203"/>
        </w:trPr>
        <w:tc>
          <w:tcPr>
            <w:tcW w:w="1300" w:type="dxa"/>
            <w:vAlign w:val="bottom"/>
            <w:shd w:val="clear" w:color="auto" w:fill="BAE2F8"/>
          </w:tcPr>
          <w:p>
            <w:pPr>
              <w:spacing w:after="0"/>
              <w:rPr>
                <w:sz w:val="17"/>
                <w:szCs w:val="17"/>
                <w:color w:val="auto"/>
              </w:rPr>
            </w:pPr>
          </w:p>
        </w:tc>
        <w:tc>
          <w:tcPr>
            <w:tcW w:w="420" w:type="dxa"/>
            <w:vAlign w:val="bottom"/>
            <w:shd w:val="clear" w:color="auto" w:fill="BAE2F8"/>
          </w:tcPr>
          <w:p>
            <w:pPr>
              <w:spacing w:after="0"/>
              <w:rPr>
                <w:sz w:val="17"/>
                <w:szCs w:val="17"/>
                <w:color w:val="auto"/>
              </w:rPr>
            </w:pPr>
          </w:p>
        </w:tc>
        <w:tc>
          <w:tcPr>
            <w:tcW w:w="5840" w:type="dxa"/>
            <w:vAlign w:val="bottom"/>
            <w:shd w:val="clear" w:color="auto" w:fill="BAE2F8"/>
          </w:tcPr>
          <w:p>
            <w:pPr>
              <w:ind w:left="40"/>
              <w:spacing w:after="0" w:line="202" w:lineRule="exact"/>
              <w:rPr>
                <w:sz w:val="20"/>
                <w:szCs w:val="20"/>
                <w:color w:val="auto"/>
              </w:rPr>
            </w:pPr>
            <w:r>
              <w:rPr>
                <w:rFonts w:ascii="Arial" w:cs="Arial" w:eastAsia="Arial" w:hAnsi="Arial"/>
                <w:sz w:val="18"/>
                <w:szCs w:val="18"/>
                <w:color w:val="4C4C4C"/>
              </w:rPr>
              <w:t>and Strategic Initiatives of Silver Spring Networks, a provider of smart</w:t>
            </w:r>
          </w:p>
        </w:tc>
        <w:tc>
          <w:tcPr>
            <w:tcW w:w="860" w:type="dxa"/>
            <w:vAlign w:val="bottom"/>
            <w:shd w:val="clear" w:color="auto" w:fill="BAE2F8"/>
          </w:tcPr>
          <w:p>
            <w:pPr>
              <w:spacing w:after="0"/>
              <w:rPr>
                <w:sz w:val="17"/>
                <w:szCs w:val="17"/>
                <w:color w:val="auto"/>
              </w:rPr>
            </w:pPr>
          </w:p>
        </w:tc>
      </w:tr>
      <w:tr>
        <w:trPr>
          <w:trHeight w:val="203"/>
        </w:trPr>
        <w:tc>
          <w:tcPr>
            <w:tcW w:w="1300" w:type="dxa"/>
            <w:vAlign w:val="bottom"/>
            <w:shd w:val="clear" w:color="auto" w:fill="BAE2F8"/>
          </w:tcPr>
          <w:p>
            <w:pPr>
              <w:spacing w:after="0"/>
              <w:rPr>
                <w:sz w:val="17"/>
                <w:szCs w:val="17"/>
                <w:color w:val="auto"/>
              </w:rPr>
            </w:pPr>
          </w:p>
        </w:tc>
        <w:tc>
          <w:tcPr>
            <w:tcW w:w="420" w:type="dxa"/>
            <w:vAlign w:val="bottom"/>
            <w:shd w:val="clear" w:color="auto" w:fill="BAE2F8"/>
          </w:tcPr>
          <w:p>
            <w:pPr>
              <w:spacing w:after="0"/>
              <w:rPr>
                <w:sz w:val="17"/>
                <w:szCs w:val="17"/>
                <w:color w:val="auto"/>
              </w:rPr>
            </w:pPr>
          </w:p>
        </w:tc>
        <w:tc>
          <w:tcPr>
            <w:tcW w:w="5840" w:type="dxa"/>
            <w:vAlign w:val="bottom"/>
            <w:shd w:val="clear" w:color="auto" w:fill="BAE2F8"/>
          </w:tcPr>
          <w:p>
            <w:pPr>
              <w:ind w:left="40"/>
              <w:spacing w:after="0" w:line="202" w:lineRule="exact"/>
              <w:rPr>
                <w:sz w:val="20"/>
                <w:szCs w:val="20"/>
                <w:color w:val="auto"/>
              </w:rPr>
            </w:pPr>
            <w:r>
              <w:rPr>
                <w:rFonts w:ascii="Arial" w:cs="Arial" w:eastAsia="Arial" w:hAnsi="Arial"/>
                <w:sz w:val="18"/>
                <w:szCs w:val="18"/>
                <w:color w:val="4C4C4C"/>
              </w:rPr>
              <w:t>grid products (November 2014-January 2018); Managing Director of</w:t>
            </w:r>
          </w:p>
        </w:tc>
        <w:tc>
          <w:tcPr>
            <w:tcW w:w="860" w:type="dxa"/>
            <w:vAlign w:val="bottom"/>
            <w:shd w:val="clear" w:color="auto" w:fill="BAE2F8"/>
          </w:tcPr>
          <w:p>
            <w:pPr>
              <w:spacing w:after="0"/>
              <w:rPr>
                <w:sz w:val="17"/>
                <w:szCs w:val="17"/>
                <w:color w:val="auto"/>
              </w:rPr>
            </w:pPr>
          </w:p>
        </w:tc>
      </w:tr>
      <w:tr>
        <w:trPr>
          <w:trHeight w:val="203"/>
        </w:trPr>
        <w:tc>
          <w:tcPr>
            <w:tcW w:w="1300" w:type="dxa"/>
            <w:vAlign w:val="bottom"/>
            <w:shd w:val="clear" w:color="auto" w:fill="BAE2F8"/>
          </w:tcPr>
          <w:p>
            <w:pPr>
              <w:spacing w:after="0"/>
              <w:rPr>
                <w:sz w:val="17"/>
                <w:szCs w:val="17"/>
                <w:color w:val="auto"/>
              </w:rPr>
            </w:pPr>
          </w:p>
        </w:tc>
        <w:tc>
          <w:tcPr>
            <w:tcW w:w="420" w:type="dxa"/>
            <w:vAlign w:val="bottom"/>
            <w:shd w:val="clear" w:color="auto" w:fill="BAE2F8"/>
          </w:tcPr>
          <w:p>
            <w:pPr>
              <w:spacing w:after="0"/>
              <w:rPr>
                <w:sz w:val="17"/>
                <w:szCs w:val="17"/>
                <w:color w:val="auto"/>
              </w:rPr>
            </w:pPr>
          </w:p>
        </w:tc>
        <w:tc>
          <w:tcPr>
            <w:tcW w:w="5840" w:type="dxa"/>
            <w:vAlign w:val="bottom"/>
            <w:shd w:val="clear" w:color="auto" w:fill="BAE2F8"/>
          </w:tcPr>
          <w:p>
            <w:pPr>
              <w:ind w:left="40"/>
              <w:spacing w:after="0" w:line="202" w:lineRule="exact"/>
              <w:rPr>
                <w:sz w:val="20"/>
                <w:szCs w:val="20"/>
                <w:color w:val="auto"/>
              </w:rPr>
            </w:pPr>
            <w:r>
              <w:rPr>
                <w:rFonts w:ascii="Arial" w:cs="Arial" w:eastAsia="Arial" w:hAnsi="Arial"/>
                <w:sz w:val="18"/>
                <w:szCs w:val="18"/>
                <w:color w:val="4C4C4C"/>
              </w:rPr>
              <w:t>Technology Equity Research of Evercore Partners, a global investment</w:t>
            </w:r>
          </w:p>
        </w:tc>
        <w:tc>
          <w:tcPr>
            <w:tcW w:w="860" w:type="dxa"/>
            <w:vAlign w:val="bottom"/>
            <w:shd w:val="clear" w:color="auto" w:fill="BAE2F8"/>
          </w:tcPr>
          <w:p>
            <w:pPr>
              <w:spacing w:after="0"/>
              <w:rPr>
                <w:sz w:val="17"/>
                <w:szCs w:val="17"/>
                <w:color w:val="auto"/>
              </w:rPr>
            </w:pPr>
          </w:p>
        </w:tc>
      </w:tr>
      <w:tr>
        <w:trPr>
          <w:trHeight w:val="203"/>
        </w:trPr>
        <w:tc>
          <w:tcPr>
            <w:tcW w:w="1300" w:type="dxa"/>
            <w:vAlign w:val="bottom"/>
            <w:shd w:val="clear" w:color="auto" w:fill="BAE2F8"/>
          </w:tcPr>
          <w:p>
            <w:pPr>
              <w:spacing w:after="0"/>
              <w:rPr>
                <w:sz w:val="17"/>
                <w:szCs w:val="17"/>
                <w:color w:val="auto"/>
              </w:rPr>
            </w:pPr>
          </w:p>
        </w:tc>
        <w:tc>
          <w:tcPr>
            <w:tcW w:w="420" w:type="dxa"/>
            <w:vAlign w:val="bottom"/>
            <w:shd w:val="clear" w:color="auto" w:fill="BAE2F8"/>
          </w:tcPr>
          <w:p>
            <w:pPr>
              <w:spacing w:after="0"/>
              <w:rPr>
                <w:sz w:val="17"/>
                <w:szCs w:val="17"/>
                <w:color w:val="auto"/>
              </w:rPr>
            </w:pPr>
          </w:p>
        </w:tc>
        <w:tc>
          <w:tcPr>
            <w:tcW w:w="5840" w:type="dxa"/>
            <w:vAlign w:val="bottom"/>
            <w:shd w:val="clear" w:color="auto" w:fill="BAE2F8"/>
          </w:tcPr>
          <w:p>
            <w:pPr>
              <w:ind w:left="40"/>
              <w:spacing w:after="0" w:line="202" w:lineRule="exact"/>
              <w:rPr>
                <w:sz w:val="20"/>
                <w:szCs w:val="20"/>
                <w:color w:val="auto"/>
              </w:rPr>
            </w:pPr>
            <w:r>
              <w:rPr>
                <w:rFonts w:ascii="Arial" w:cs="Arial" w:eastAsia="Arial" w:hAnsi="Arial"/>
                <w:sz w:val="18"/>
                <w:szCs w:val="18"/>
                <w:color w:val="4C4C4C"/>
              </w:rPr>
              <w:t>banking firm (2012-2014); received a Bachelor of Science in Electrical</w:t>
            </w:r>
          </w:p>
        </w:tc>
        <w:tc>
          <w:tcPr>
            <w:tcW w:w="860" w:type="dxa"/>
            <w:vAlign w:val="bottom"/>
            <w:shd w:val="clear" w:color="auto" w:fill="BAE2F8"/>
          </w:tcPr>
          <w:p>
            <w:pPr>
              <w:spacing w:after="0"/>
              <w:rPr>
                <w:sz w:val="17"/>
                <w:szCs w:val="17"/>
                <w:color w:val="auto"/>
              </w:rPr>
            </w:pPr>
          </w:p>
        </w:tc>
      </w:tr>
      <w:tr>
        <w:trPr>
          <w:trHeight w:val="203"/>
        </w:trPr>
        <w:tc>
          <w:tcPr>
            <w:tcW w:w="1300" w:type="dxa"/>
            <w:vAlign w:val="bottom"/>
            <w:shd w:val="clear" w:color="auto" w:fill="BAE2F8"/>
          </w:tcPr>
          <w:p>
            <w:pPr>
              <w:spacing w:after="0"/>
              <w:rPr>
                <w:sz w:val="17"/>
                <w:szCs w:val="17"/>
                <w:color w:val="auto"/>
              </w:rPr>
            </w:pPr>
          </w:p>
        </w:tc>
        <w:tc>
          <w:tcPr>
            <w:tcW w:w="420" w:type="dxa"/>
            <w:vAlign w:val="bottom"/>
            <w:shd w:val="clear" w:color="auto" w:fill="BAE2F8"/>
          </w:tcPr>
          <w:p>
            <w:pPr>
              <w:spacing w:after="0"/>
              <w:rPr>
                <w:sz w:val="17"/>
                <w:szCs w:val="17"/>
                <w:color w:val="auto"/>
              </w:rPr>
            </w:pPr>
          </w:p>
        </w:tc>
        <w:tc>
          <w:tcPr>
            <w:tcW w:w="5840" w:type="dxa"/>
            <w:vAlign w:val="bottom"/>
            <w:shd w:val="clear" w:color="auto" w:fill="BAE2F8"/>
          </w:tcPr>
          <w:p>
            <w:pPr>
              <w:ind w:left="40"/>
              <w:spacing w:after="0" w:line="202" w:lineRule="exact"/>
              <w:rPr>
                <w:sz w:val="20"/>
                <w:szCs w:val="20"/>
                <w:color w:val="auto"/>
              </w:rPr>
            </w:pPr>
            <w:r>
              <w:rPr>
                <w:rFonts w:ascii="Arial" w:cs="Arial" w:eastAsia="Arial" w:hAnsi="Arial"/>
                <w:sz w:val="18"/>
                <w:szCs w:val="18"/>
                <w:color w:val="4C4C4C"/>
              </w:rPr>
              <w:t>Engineering degree from Purdue University and a Master of Business</w:t>
            </w:r>
          </w:p>
        </w:tc>
        <w:tc>
          <w:tcPr>
            <w:tcW w:w="860" w:type="dxa"/>
            <w:vAlign w:val="bottom"/>
            <w:shd w:val="clear" w:color="auto" w:fill="BAE2F8"/>
          </w:tcPr>
          <w:p>
            <w:pPr>
              <w:spacing w:after="0"/>
              <w:rPr>
                <w:sz w:val="17"/>
                <w:szCs w:val="17"/>
                <w:color w:val="auto"/>
              </w:rPr>
            </w:pPr>
          </w:p>
        </w:tc>
      </w:tr>
      <w:tr>
        <w:trPr>
          <w:trHeight w:val="203"/>
        </w:trPr>
        <w:tc>
          <w:tcPr>
            <w:tcW w:w="1300" w:type="dxa"/>
            <w:vAlign w:val="bottom"/>
            <w:shd w:val="clear" w:color="auto" w:fill="BAE2F8"/>
          </w:tcPr>
          <w:p>
            <w:pPr>
              <w:spacing w:after="0"/>
              <w:rPr>
                <w:sz w:val="17"/>
                <w:szCs w:val="17"/>
                <w:color w:val="auto"/>
              </w:rPr>
            </w:pPr>
          </w:p>
        </w:tc>
        <w:tc>
          <w:tcPr>
            <w:tcW w:w="420" w:type="dxa"/>
            <w:vAlign w:val="bottom"/>
            <w:shd w:val="clear" w:color="auto" w:fill="BAE2F8"/>
          </w:tcPr>
          <w:p>
            <w:pPr>
              <w:spacing w:after="0"/>
              <w:rPr>
                <w:sz w:val="17"/>
                <w:szCs w:val="17"/>
                <w:color w:val="auto"/>
              </w:rPr>
            </w:pPr>
          </w:p>
        </w:tc>
        <w:tc>
          <w:tcPr>
            <w:tcW w:w="5840" w:type="dxa"/>
            <w:vAlign w:val="bottom"/>
            <w:shd w:val="clear" w:color="auto" w:fill="BAE2F8"/>
          </w:tcPr>
          <w:p>
            <w:pPr>
              <w:ind w:left="40"/>
              <w:spacing w:after="0" w:line="202" w:lineRule="exact"/>
              <w:rPr>
                <w:sz w:val="20"/>
                <w:szCs w:val="20"/>
                <w:color w:val="auto"/>
              </w:rPr>
            </w:pPr>
            <w:r>
              <w:rPr>
                <w:rFonts w:ascii="Arial" w:cs="Arial" w:eastAsia="Arial" w:hAnsi="Arial"/>
                <w:sz w:val="18"/>
                <w:szCs w:val="18"/>
                <w:color w:val="4C4C4C"/>
              </w:rPr>
              <w:t>Administration degree from The Kellogg School of Management at</w:t>
            </w:r>
          </w:p>
        </w:tc>
        <w:tc>
          <w:tcPr>
            <w:tcW w:w="860" w:type="dxa"/>
            <w:vAlign w:val="bottom"/>
            <w:shd w:val="clear" w:color="auto" w:fill="BAE2F8"/>
          </w:tcPr>
          <w:p>
            <w:pPr>
              <w:spacing w:after="0"/>
              <w:rPr>
                <w:sz w:val="17"/>
                <w:szCs w:val="17"/>
                <w:color w:val="auto"/>
              </w:rPr>
            </w:pPr>
          </w:p>
        </w:tc>
      </w:tr>
      <w:tr>
        <w:trPr>
          <w:trHeight w:val="239"/>
        </w:trPr>
        <w:tc>
          <w:tcPr>
            <w:tcW w:w="1300" w:type="dxa"/>
            <w:vAlign w:val="bottom"/>
            <w:shd w:val="clear" w:color="auto" w:fill="BAE2F8"/>
          </w:tcPr>
          <w:p>
            <w:pPr>
              <w:spacing w:after="0"/>
              <w:rPr>
                <w:sz w:val="20"/>
                <w:szCs w:val="20"/>
                <w:color w:val="auto"/>
              </w:rPr>
            </w:pPr>
          </w:p>
        </w:tc>
        <w:tc>
          <w:tcPr>
            <w:tcW w:w="420" w:type="dxa"/>
            <w:vAlign w:val="bottom"/>
            <w:shd w:val="clear" w:color="auto" w:fill="BAE2F8"/>
          </w:tcPr>
          <w:p>
            <w:pPr>
              <w:spacing w:after="0"/>
              <w:rPr>
                <w:sz w:val="20"/>
                <w:szCs w:val="20"/>
                <w:color w:val="auto"/>
              </w:rPr>
            </w:pPr>
          </w:p>
        </w:tc>
        <w:tc>
          <w:tcPr>
            <w:tcW w:w="5840" w:type="dxa"/>
            <w:vAlign w:val="bottom"/>
            <w:shd w:val="clear" w:color="auto" w:fill="BAE2F8"/>
          </w:tcPr>
          <w:p>
            <w:pPr>
              <w:ind w:left="40"/>
              <w:spacing w:after="0"/>
              <w:rPr>
                <w:sz w:val="20"/>
                <w:szCs w:val="20"/>
                <w:color w:val="auto"/>
              </w:rPr>
            </w:pPr>
            <w:r>
              <w:rPr>
                <w:rFonts w:ascii="Arial" w:cs="Arial" w:eastAsia="Arial" w:hAnsi="Arial"/>
                <w:sz w:val="18"/>
                <w:szCs w:val="18"/>
                <w:color w:val="4C4C4C"/>
              </w:rPr>
              <w:t>Northwestern University.</w:t>
            </w:r>
          </w:p>
        </w:tc>
        <w:tc>
          <w:tcPr>
            <w:tcW w:w="860" w:type="dxa"/>
            <w:vAlign w:val="bottom"/>
            <w:shd w:val="clear" w:color="auto" w:fill="BAE2F8"/>
          </w:tcPr>
          <w:p>
            <w:pPr>
              <w:spacing w:after="0"/>
              <w:rPr>
                <w:sz w:val="20"/>
                <w:szCs w:val="20"/>
                <w:color w:val="auto"/>
              </w:rPr>
            </w:pPr>
          </w:p>
        </w:tc>
      </w:tr>
      <w:tr>
        <w:trPr>
          <w:trHeight w:val="63"/>
        </w:trPr>
        <w:tc>
          <w:tcPr>
            <w:tcW w:w="1300" w:type="dxa"/>
            <w:vAlign w:val="bottom"/>
            <w:shd w:val="clear" w:color="auto" w:fill="BAE2F8"/>
          </w:tcPr>
          <w:p>
            <w:pPr>
              <w:spacing w:after="0"/>
              <w:rPr>
                <w:sz w:val="5"/>
                <w:szCs w:val="5"/>
                <w:color w:val="auto"/>
              </w:rPr>
            </w:pPr>
          </w:p>
        </w:tc>
        <w:tc>
          <w:tcPr>
            <w:tcW w:w="420" w:type="dxa"/>
            <w:vAlign w:val="bottom"/>
            <w:shd w:val="clear" w:color="auto" w:fill="BAE2F8"/>
          </w:tcPr>
          <w:p>
            <w:pPr>
              <w:spacing w:after="0"/>
              <w:rPr>
                <w:sz w:val="5"/>
                <w:szCs w:val="5"/>
                <w:color w:val="auto"/>
              </w:rPr>
            </w:pPr>
          </w:p>
        </w:tc>
        <w:tc>
          <w:tcPr>
            <w:tcW w:w="5840" w:type="dxa"/>
            <w:vAlign w:val="bottom"/>
            <w:shd w:val="clear" w:color="auto" w:fill="BAE2F8"/>
          </w:tcPr>
          <w:p>
            <w:pPr>
              <w:spacing w:after="0"/>
              <w:rPr>
                <w:sz w:val="5"/>
                <w:szCs w:val="5"/>
                <w:color w:val="auto"/>
              </w:rPr>
            </w:pPr>
          </w:p>
        </w:tc>
        <w:tc>
          <w:tcPr>
            <w:tcW w:w="860" w:type="dxa"/>
            <w:vAlign w:val="bottom"/>
            <w:shd w:val="clear" w:color="auto" w:fill="BAE2F8"/>
          </w:tcPr>
          <w:p>
            <w:pPr>
              <w:spacing w:after="0"/>
              <w:rPr>
                <w:sz w:val="5"/>
                <w:szCs w:val="5"/>
                <w:color w:val="auto"/>
              </w:rPr>
            </w:pPr>
          </w:p>
        </w:tc>
      </w:tr>
      <w:tr>
        <w:trPr>
          <w:trHeight w:val="265"/>
        </w:trPr>
        <w:tc>
          <w:tcPr>
            <w:tcW w:w="1300" w:type="dxa"/>
            <w:vAlign w:val="bottom"/>
          </w:tcPr>
          <w:p>
            <w:pPr>
              <w:ind w:left="20"/>
              <w:spacing w:after="0"/>
              <w:rPr>
                <w:sz w:val="20"/>
                <w:szCs w:val="20"/>
                <w:color w:val="auto"/>
              </w:rPr>
            </w:pPr>
            <w:r>
              <w:rPr>
                <w:rFonts w:ascii="Arial" w:cs="Arial" w:eastAsia="Arial" w:hAnsi="Arial"/>
                <w:sz w:val="18"/>
                <w:szCs w:val="18"/>
                <w:color w:val="4C4C4C"/>
              </w:rPr>
              <w:t>Jian Wang</w:t>
            </w:r>
          </w:p>
        </w:tc>
        <w:tc>
          <w:tcPr>
            <w:tcW w:w="420" w:type="dxa"/>
            <w:vAlign w:val="bottom"/>
          </w:tcPr>
          <w:p>
            <w:pPr>
              <w:ind w:left="120"/>
              <w:spacing w:after="0"/>
              <w:rPr>
                <w:sz w:val="20"/>
                <w:szCs w:val="20"/>
                <w:color w:val="auto"/>
              </w:rPr>
            </w:pPr>
            <w:r>
              <w:rPr>
                <w:rFonts w:ascii="Arial" w:cs="Arial" w:eastAsia="Arial" w:hAnsi="Arial"/>
                <w:sz w:val="18"/>
                <w:szCs w:val="18"/>
                <w:color w:val="4C4C4C"/>
              </w:rPr>
              <w:t>57</w:t>
            </w:r>
          </w:p>
        </w:tc>
        <w:tc>
          <w:tcPr>
            <w:tcW w:w="5840" w:type="dxa"/>
            <w:vAlign w:val="bottom"/>
          </w:tcPr>
          <w:p>
            <w:pPr>
              <w:ind w:left="40"/>
              <w:spacing w:after="0"/>
              <w:rPr>
                <w:sz w:val="20"/>
                <w:szCs w:val="20"/>
                <w:color w:val="auto"/>
              </w:rPr>
            </w:pPr>
            <w:r>
              <w:rPr>
                <w:rFonts w:ascii="Arial" w:cs="Arial" w:eastAsia="Arial" w:hAnsi="Arial"/>
                <w:sz w:val="18"/>
                <w:szCs w:val="18"/>
                <w:color w:val="4C4C4C"/>
              </w:rPr>
              <w:t>Chief Executive Officer and President of ACM Research (Shanghai),</w:t>
            </w:r>
          </w:p>
        </w:tc>
        <w:tc>
          <w:tcPr>
            <w:tcW w:w="860" w:type="dxa"/>
            <w:vAlign w:val="bottom"/>
          </w:tcPr>
          <w:p>
            <w:pPr>
              <w:jc w:val="center"/>
              <w:spacing w:after="0"/>
              <w:rPr>
                <w:sz w:val="20"/>
                <w:szCs w:val="20"/>
                <w:color w:val="auto"/>
              </w:rPr>
            </w:pPr>
            <w:r>
              <w:rPr>
                <w:rFonts w:ascii="Arial" w:cs="Arial" w:eastAsia="Arial" w:hAnsi="Arial"/>
                <w:sz w:val="18"/>
                <w:szCs w:val="18"/>
                <w:color w:val="4C4C4C"/>
                <w:w w:val="99"/>
              </w:rPr>
              <w:t>2015</w:t>
            </w:r>
          </w:p>
        </w:tc>
      </w:tr>
      <w:tr>
        <w:trPr>
          <w:trHeight w:val="203"/>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Pr>
          <w:p>
            <w:pPr>
              <w:ind w:left="40"/>
              <w:spacing w:after="0" w:line="202" w:lineRule="exact"/>
              <w:rPr>
                <w:sz w:val="20"/>
                <w:szCs w:val="20"/>
                <w:color w:val="auto"/>
              </w:rPr>
            </w:pPr>
            <w:r>
              <w:rPr>
                <w:rFonts w:ascii="Arial" w:cs="Arial" w:eastAsia="Arial" w:hAnsi="Arial"/>
                <w:sz w:val="18"/>
                <w:szCs w:val="18"/>
                <w:color w:val="4C4C4C"/>
              </w:rPr>
              <w:t>Inc.  (November  2019-present);  Vice  President,  Research  and</w:t>
            </w:r>
          </w:p>
        </w:tc>
        <w:tc>
          <w:tcPr>
            <w:tcW w:w="86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Pr>
          <w:p>
            <w:pPr>
              <w:ind w:left="40"/>
              <w:spacing w:after="0" w:line="202" w:lineRule="exact"/>
              <w:rPr>
                <w:sz w:val="20"/>
                <w:szCs w:val="20"/>
                <w:color w:val="auto"/>
              </w:rPr>
            </w:pPr>
            <w:r>
              <w:rPr>
                <w:rFonts w:ascii="Arial" w:cs="Arial" w:eastAsia="Arial" w:hAnsi="Arial"/>
                <w:sz w:val="18"/>
                <w:szCs w:val="18"/>
                <w:color w:val="4C4C4C"/>
              </w:rPr>
              <w:t>Development  of  ACM  Research  (Shanghai),  Inc.  (January  2015-</w:t>
            </w:r>
          </w:p>
        </w:tc>
        <w:tc>
          <w:tcPr>
            <w:tcW w:w="86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Pr>
          <w:p>
            <w:pPr>
              <w:ind w:left="40"/>
              <w:spacing w:after="0" w:line="202" w:lineRule="exact"/>
              <w:rPr>
                <w:sz w:val="20"/>
                <w:szCs w:val="20"/>
                <w:color w:val="auto"/>
              </w:rPr>
            </w:pPr>
            <w:r>
              <w:rPr>
                <w:rFonts w:ascii="Arial" w:cs="Arial" w:eastAsia="Arial" w:hAnsi="Arial"/>
                <w:sz w:val="18"/>
                <w:szCs w:val="18"/>
                <w:color w:val="4C4C4C"/>
              </w:rPr>
              <w:t>November 2019); Director of Research and Development of ACM</w:t>
            </w:r>
          </w:p>
        </w:tc>
        <w:tc>
          <w:tcPr>
            <w:tcW w:w="86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Pr>
          <w:p>
            <w:pPr>
              <w:ind w:left="40"/>
              <w:spacing w:after="0" w:line="202" w:lineRule="exact"/>
              <w:rPr>
                <w:sz w:val="20"/>
                <w:szCs w:val="20"/>
                <w:color w:val="auto"/>
              </w:rPr>
            </w:pPr>
            <w:r>
              <w:rPr>
                <w:rFonts w:ascii="Arial" w:cs="Arial" w:eastAsia="Arial" w:hAnsi="Arial"/>
                <w:sz w:val="18"/>
                <w:szCs w:val="18"/>
                <w:color w:val="4C4C4C"/>
              </w:rPr>
              <w:t>Research  (Shanghai),  Inc.  (2011-January  2015),  focusing  on  the</w:t>
            </w:r>
          </w:p>
        </w:tc>
        <w:tc>
          <w:tcPr>
            <w:tcW w:w="86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Pr>
          <w:p>
            <w:pPr>
              <w:ind w:left="40"/>
              <w:spacing w:after="0" w:line="202" w:lineRule="exact"/>
              <w:rPr>
                <w:sz w:val="20"/>
                <w:szCs w:val="20"/>
                <w:color w:val="auto"/>
              </w:rPr>
            </w:pPr>
            <w:r>
              <w:rPr>
                <w:rFonts w:ascii="Arial" w:cs="Arial" w:eastAsia="Arial" w:hAnsi="Arial"/>
                <w:sz w:val="18"/>
                <w:szCs w:val="18"/>
                <w:color w:val="4C4C4C"/>
              </w:rPr>
              <w:t>research  and  development  of  stress-free  polishing  and  electro-</w:t>
            </w:r>
          </w:p>
        </w:tc>
        <w:tc>
          <w:tcPr>
            <w:tcW w:w="86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Pr>
          <w:p>
            <w:pPr>
              <w:ind w:left="40"/>
              <w:spacing w:after="0" w:line="202" w:lineRule="exact"/>
              <w:rPr>
                <w:sz w:val="20"/>
                <w:szCs w:val="20"/>
                <w:color w:val="auto"/>
              </w:rPr>
            </w:pPr>
            <w:r>
              <w:rPr>
                <w:rFonts w:ascii="Arial" w:cs="Arial" w:eastAsia="Arial" w:hAnsi="Arial"/>
                <w:sz w:val="18"/>
                <w:szCs w:val="18"/>
                <w:color w:val="4C4C4C"/>
              </w:rPr>
              <w:t>chemical-copper-planarization  technologies;  received  a  Master  of</w:t>
            </w:r>
          </w:p>
        </w:tc>
        <w:tc>
          <w:tcPr>
            <w:tcW w:w="86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Pr>
          <w:p>
            <w:pPr>
              <w:ind w:left="40"/>
              <w:spacing w:after="0" w:line="202" w:lineRule="exact"/>
              <w:rPr>
                <w:sz w:val="20"/>
                <w:szCs w:val="20"/>
                <w:color w:val="auto"/>
              </w:rPr>
            </w:pPr>
            <w:r>
              <w:rPr>
                <w:rFonts w:ascii="Arial" w:cs="Arial" w:eastAsia="Arial" w:hAnsi="Arial"/>
                <w:sz w:val="18"/>
                <w:szCs w:val="18"/>
                <w:color w:val="4C4C4C"/>
              </w:rPr>
              <w:t>Science degree in computer science from Northwestern Polytechnic</w:t>
            </w:r>
          </w:p>
        </w:tc>
        <w:tc>
          <w:tcPr>
            <w:tcW w:w="86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Pr>
          <w:p>
            <w:pPr>
              <w:ind w:left="40"/>
              <w:spacing w:after="0" w:line="202" w:lineRule="exact"/>
              <w:rPr>
                <w:sz w:val="20"/>
                <w:szCs w:val="20"/>
                <w:color w:val="auto"/>
              </w:rPr>
            </w:pPr>
            <w:r>
              <w:rPr>
                <w:rFonts w:ascii="Arial" w:cs="Arial" w:eastAsia="Arial" w:hAnsi="Arial"/>
                <w:sz w:val="18"/>
                <w:szCs w:val="18"/>
                <w:color w:val="4C4C4C"/>
              </w:rPr>
              <w:t>University, a Master of Science degree in marine engineering from Kobe</w:t>
            </w:r>
          </w:p>
        </w:tc>
        <w:tc>
          <w:tcPr>
            <w:tcW w:w="86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Pr>
          <w:p>
            <w:pPr>
              <w:ind w:left="40"/>
              <w:spacing w:after="0" w:line="202" w:lineRule="exact"/>
              <w:rPr>
                <w:sz w:val="20"/>
                <w:szCs w:val="20"/>
                <w:color w:val="auto"/>
              </w:rPr>
            </w:pPr>
            <w:r>
              <w:rPr>
                <w:rFonts w:ascii="Arial" w:cs="Arial" w:eastAsia="Arial" w:hAnsi="Arial"/>
                <w:sz w:val="18"/>
                <w:szCs w:val="18"/>
                <w:color w:val="4C4C4C"/>
              </w:rPr>
              <w:t>University and a Bachelor of Science degree in mechanical engineering</w:t>
            </w:r>
          </w:p>
        </w:tc>
        <w:tc>
          <w:tcPr>
            <w:tcW w:w="860" w:type="dxa"/>
            <w:vAlign w:val="bottom"/>
          </w:tcPr>
          <w:p>
            <w:pPr>
              <w:spacing w:after="0"/>
              <w:rPr>
                <w:sz w:val="17"/>
                <w:szCs w:val="17"/>
                <w:color w:val="auto"/>
              </w:rPr>
            </w:pPr>
          </w:p>
        </w:tc>
      </w:tr>
      <w:tr>
        <w:trPr>
          <w:trHeight w:val="239"/>
        </w:trPr>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4C4C4C"/>
              </w:rPr>
              <w:t>from Southeast University.</w:t>
            </w:r>
          </w:p>
        </w:tc>
        <w:tc>
          <w:tcPr>
            <w:tcW w:w="860" w:type="dxa"/>
            <w:vAlign w:val="bottom"/>
          </w:tcPr>
          <w:p>
            <w:pPr>
              <w:spacing w:after="0"/>
              <w:rPr>
                <w:sz w:val="20"/>
                <w:szCs w:val="20"/>
                <w:color w:val="auto"/>
              </w:rPr>
            </w:pPr>
          </w:p>
        </w:tc>
      </w:tr>
      <w:tr>
        <w:trPr>
          <w:trHeight w:val="64"/>
        </w:trPr>
        <w:tc>
          <w:tcPr>
            <w:tcW w:w="1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65"/>
        </w:trPr>
        <w:tc>
          <w:tcPr>
            <w:tcW w:w="1300" w:type="dxa"/>
            <w:vAlign w:val="bottom"/>
            <w:shd w:val="clear" w:color="auto" w:fill="BAE2F8"/>
          </w:tcPr>
          <w:p>
            <w:pPr>
              <w:ind w:left="20"/>
              <w:spacing w:after="0"/>
              <w:rPr>
                <w:sz w:val="20"/>
                <w:szCs w:val="20"/>
                <w:color w:val="auto"/>
              </w:rPr>
            </w:pPr>
            <w:r>
              <w:rPr>
                <w:rFonts w:ascii="Arial" w:cs="Arial" w:eastAsia="Arial" w:hAnsi="Arial"/>
                <w:sz w:val="18"/>
                <w:szCs w:val="18"/>
                <w:color w:val="4C4C4C"/>
              </w:rPr>
              <w:t>Lisa Feng</w:t>
            </w:r>
          </w:p>
        </w:tc>
        <w:tc>
          <w:tcPr>
            <w:tcW w:w="420" w:type="dxa"/>
            <w:vAlign w:val="bottom"/>
            <w:shd w:val="clear" w:color="auto" w:fill="BAE2F8"/>
          </w:tcPr>
          <w:p>
            <w:pPr>
              <w:ind w:left="120"/>
              <w:spacing w:after="0"/>
              <w:rPr>
                <w:sz w:val="20"/>
                <w:szCs w:val="20"/>
                <w:color w:val="auto"/>
              </w:rPr>
            </w:pPr>
            <w:r>
              <w:rPr>
                <w:rFonts w:ascii="Arial" w:cs="Arial" w:eastAsia="Arial" w:hAnsi="Arial"/>
                <w:sz w:val="18"/>
                <w:szCs w:val="18"/>
                <w:color w:val="4C4C4C"/>
              </w:rPr>
              <w:t>63</w:t>
            </w:r>
          </w:p>
        </w:tc>
        <w:tc>
          <w:tcPr>
            <w:tcW w:w="5840" w:type="dxa"/>
            <w:vAlign w:val="bottom"/>
            <w:shd w:val="clear" w:color="auto" w:fill="BAE2F8"/>
          </w:tcPr>
          <w:p>
            <w:pPr>
              <w:ind w:left="40"/>
              <w:spacing w:after="0"/>
              <w:rPr>
                <w:sz w:val="20"/>
                <w:szCs w:val="20"/>
                <w:color w:val="auto"/>
              </w:rPr>
            </w:pPr>
            <w:r>
              <w:rPr>
                <w:rFonts w:ascii="Arial" w:cs="Arial" w:eastAsia="Arial" w:hAnsi="Arial"/>
                <w:sz w:val="18"/>
                <w:szCs w:val="18"/>
                <w:color w:val="4C4C4C"/>
              </w:rPr>
              <w:t>Chief Financial Officer of ACM Research (Shanghai), Inc. (November</w:t>
            </w:r>
          </w:p>
        </w:tc>
        <w:tc>
          <w:tcPr>
            <w:tcW w:w="860" w:type="dxa"/>
            <w:vAlign w:val="bottom"/>
            <w:shd w:val="clear" w:color="auto" w:fill="BAE2F8"/>
          </w:tcPr>
          <w:p>
            <w:pPr>
              <w:jc w:val="center"/>
              <w:spacing w:after="0"/>
              <w:rPr>
                <w:sz w:val="20"/>
                <w:szCs w:val="20"/>
                <w:color w:val="auto"/>
              </w:rPr>
            </w:pPr>
            <w:r>
              <w:rPr>
                <w:rFonts w:ascii="Arial" w:cs="Arial" w:eastAsia="Arial" w:hAnsi="Arial"/>
                <w:sz w:val="18"/>
                <w:szCs w:val="18"/>
                <w:color w:val="4C4C4C"/>
                <w:w w:val="99"/>
              </w:rPr>
              <w:t>2019</w:t>
            </w:r>
          </w:p>
        </w:tc>
      </w:tr>
      <w:tr>
        <w:trPr>
          <w:trHeight w:val="203"/>
        </w:trPr>
        <w:tc>
          <w:tcPr>
            <w:tcW w:w="1300" w:type="dxa"/>
            <w:vAlign w:val="bottom"/>
            <w:shd w:val="clear" w:color="auto" w:fill="BAE2F8"/>
          </w:tcPr>
          <w:p>
            <w:pPr>
              <w:spacing w:after="0"/>
              <w:rPr>
                <w:sz w:val="17"/>
                <w:szCs w:val="17"/>
                <w:color w:val="auto"/>
              </w:rPr>
            </w:pPr>
          </w:p>
        </w:tc>
        <w:tc>
          <w:tcPr>
            <w:tcW w:w="420" w:type="dxa"/>
            <w:vAlign w:val="bottom"/>
            <w:shd w:val="clear" w:color="auto" w:fill="BAE2F8"/>
          </w:tcPr>
          <w:p>
            <w:pPr>
              <w:spacing w:after="0"/>
              <w:rPr>
                <w:sz w:val="17"/>
                <w:szCs w:val="17"/>
                <w:color w:val="auto"/>
              </w:rPr>
            </w:pPr>
          </w:p>
        </w:tc>
        <w:tc>
          <w:tcPr>
            <w:tcW w:w="5840" w:type="dxa"/>
            <w:vAlign w:val="bottom"/>
            <w:shd w:val="clear" w:color="auto" w:fill="BAE2F8"/>
          </w:tcPr>
          <w:p>
            <w:pPr>
              <w:ind w:left="40"/>
              <w:spacing w:after="0" w:line="202" w:lineRule="exact"/>
              <w:rPr>
                <w:sz w:val="20"/>
                <w:szCs w:val="20"/>
                <w:color w:val="auto"/>
              </w:rPr>
            </w:pPr>
            <w:r>
              <w:rPr>
                <w:rFonts w:ascii="Arial" w:cs="Arial" w:eastAsia="Arial" w:hAnsi="Arial"/>
                <w:sz w:val="18"/>
                <w:szCs w:val="18"/>
                <w:color w:val="4C4C4C"/>
              </w:rPr>
              <w:t>2019-present); Chief Accounting Officer, Interim Chief Financial Officer</w:t>
            </w:r>
          </w:p>
        </w:tc>
        <w:tc>
          <w:tcPr>
            <w:tcW w:w="860" w:type="dxa"/>
            <w:vAlign w:val="bottom"/>
            <w:shd w:val="clear" w:color="auto" w:fill="BAE2F8"/>
          </w:tcPr>
          <w:p>
            <w:pPr>
              <w:spacing w:after="0"/>
              <w:rPr>
                <w:sz w:val="17"/>
                <w:szCs w:val="17"/>
                <w:color w:val="auto"/>
              </w:rPr>
            </w:pPr>
          </w:p>
        </w:tc>
      </w:tr>
      <w:tr>
        <w:trPr>
          <w:trHeight w:val="203"/>
        </w:trPr>
        <w:tc>
          <w:tcPr>
            <w:tcW w:w="1300" w:type="dxa"/>
            <w:vAlign w:val="bottom"/>
            <w:shd w:val="clear" w:color="auto" w:fill="BAE2F8"/>
          </w:tcPr>
          <w:p>
            <w:pPr>
              <w:spacing w:after="0"/>
              <w:rPr>
                <w:sz w:val="17"/>
                <w:szCs w:val="17"/>
                <w:color w:val="auto"/>
              </w:rPr>
            </w:pPr>
          </w:p>
        </w:tc>
        <w:tc>
          <w:tcPr>
            <w:tcW w:w="420" w:type="dxa"/>
            <w:vAlign w:val="bottom"/>
            <w:shd w:val="clear" w:color="auto" w:fill="BAE2F8"/>
          </w:tcPr>
          <w:p>
            <w:pPr>
              <w:spacing w:after="0"/>
              <w:rPr>
                <w:sz w:val="17"/>
                <w:szCs w:val="17"/>
                <w:color w:val="auto"/>
              </w:rPr>
            </w:pPr>
          </w:p>
        </w:tc>
        <w:tc>
          <w:tcPr>
            <w:tcW w:w="5840" w:type="dxa"/>
            <w:vAlign w:val="bottom"/>
            <w:shd w:val="clear" w:color="auto" w:fill="BAE2F8"/>
          </w:tcPr>
          <w:p>
            <w:pPr>
              <w:ind w:left="40"/>
              <w:spacing w:after="0" w:line="202" w:lineRule="exact"/>
              <w:rPr>
                <w:sz w:val="20"/>
                <w:szCs w:val="20"/>
                <w:color w:val="auto"/>
              </w:rPr>
            </w:pPr>
            <w:r>
              <w:rPr>
                <w:rFonts w:ascii="Arial" w:cs="Arial" w:eastAsia="Arial" w:hAnsi="Arial"/>
                <w:sz w:val="18"/>
                <w:szCs w:val="18"/>
                <w:color w:val="4C4C4C"/>
              </w:rPr>
              <w:t>and Treasurer of ACM Research, Inc. (January 2018- November 2019);</w:t>
            </w:r>
          </w:p>
        </w:tc>
        <w:tc>
          <w:tcPr>
            <w:tcW w:w="860" w:type="dxa"/>
            <w:vAlign w:val="bottom"/>
            <w:shd w:val="clear" w:color="auto" w:fill="BAE2F8"/>
          </w:tcPr>
          <w:p>
            <w:pPr>
              <w:spacing w:after="0"/>
              <w:rPr>
                <w:sz w:val="17"/>
                <w:szCs w:val="17"/>
                <w:color w:val="auto"/>
              </w:rPr>
            </w:pPr>
          </w:p>
        </w:tc>
      </w:tr>
      <w:tr>
        <w:trPr>
          <w:trHeight w:val="203"/>
        </w:trPr>
        <w:tc>
          <w:tcPr>
            <w:tcW w:w="1300" w:type="dxa"/>
            <w:vAlign w:val="bottom"/>
            <w:shd w:val="clear" w:color="auto" w:fill="BAE2F8"/>
          </w:tcPr>
          <w:p>
            <w:pPr>
              <w:spacing w:after="0"/>
              <w:rPr>
                <w:sz w:val="17"/>
                <w:szCs w:val="17"/>
                <w:color w:val="auto"/>
              </w:rPr>
            </w:pPr>
          </w:p>
        </w:tc>
        <w:tc>
          <w:tcPr>
            <w:tcW w:w="420" w:type="dxa"/>
            <w:vAlign w:val="bottom"/>
            <w:shd w:val="clear" w:color="auto" w:fill="BAE2F8"/>
          </w:tcPr>
          <w:p>
            <w:pPr>
              <w:spacing w:after="0"/>
              <w:rPr>
                <w:sz w:val="17"/>
                <w:szCs w:val="17"/>
                <w:color w:val="auto"/>
              </w:rPr>
            </w:pPr>
          </w:p>
        </w:tc>
        <w:tc>
          <w:tcPr>
            <w:tcW w:w="5840" w:type="dxa"/>
            <w:vAlign w:val="bottom"/>
            <w:shd w:val="clear" w:color="auto" w:fill="BAE2F8"/>
          </w:tcPr>
          <w:p>
            <w:pPr>
              <w:ind w:left="40"/>
              <w:spacing w:after="0" w:line="202" w:lineRule="exact"/>
              <w:rPr>
                <w:sz w:val="20"/>
                <w:szCs w:val="20"/>
                <w:color w:val="auto"/>
              </w:rPr>
            </w:pPr>
            <w:r>
              <w:rPr>
                <w:rFonts w:ascii="Arial" w:cs="Arial" w:eastAsia="Arial" w:hAnsi="Arial"/>
                <w:sz w:val="18"/>
                <w:szCs w:val="18"/>
                <w:color w:val="4C4C4C"/>
              </w:rPr>
              <w:t>Financial Controller of Amlogic, a fabless semiconductor company</w:t>
            </w:r>
          </w:p>
        </w:tc>
        <w:tc>
          <w:tcPr>
            <w:tcW w:w="860" w:type="dxa"/>
            <w:vAlign w:val="bottom"/>
            <w:shd w:val="clear" w:color="auto" w:fill="BAE2F8"/>
          </w:tcPr>
          <w:p>
            <w:pPr>
              <w:spacing w:after="0"/>
              <w:rPr>
                <w:sz w:val="17"/>
                <w:szCs w:val="17"/>
                <w:color w:val="auto"/>
              </w:rPr>
            </w:pPr>
          </w:p>
        </w:tc>
      </w:tr>
      <w:tr>
        <w:trPr>
          <w:trHeight w:val="203"/>
        </w:trPr>
        <w:tc>
          <w:tcPr>
            <w:tcW w:w="1300" w:type="dxa"/>
            <w:vAlign w:val="bottom"/>
            <w:shd w:val="clear" w:color="auto" w:fill="BAE2F8"/>
          </w:tcPr>
          <w:p>
            <w:pPr>
              <w:spacing w:after="0"/>
              <w:rPr>
                <w:sz w:val="17"/>
                <w:szCs w:val="17"/>
                <w:color w:val="auto"/>
              </w:rPr>
            </w:pPr>
          </w:p>
        </w:tc>
        <w:tc>
          <w:tcPr>
            <w:tcW w:w="420" w:type="dxa"/>
            <w:vAlign w:val="bottom"/>
            <w:shd w:val="clear" w:color="auto" w:fill="BAE2F8"/>
          </w:tcPr>
          <w:p>
            <w:pPr>
              <w:spacing w:after="0"/>
              <w:rPr>
                <w:sz w:val="17"/>
                <w:szCs w:val="17"/>
                <w:color w:val="auto"/>
              </w:rPr>
            </w:pPr>
          </w:p>
        </w:tc>
        <w:tc>
          <w:tcPr>
            <w:tcW w:w="5840" w:type="dxa"/>
            <w:vAlign w:val="bottom"/>
            <w:shd w:val="clear" w:color="auto" w:fill="BAE2F8"/>
          </w:tcPr>
          <w:p>
            <w:pPr>
              <w:ind w:left="40"/>
              <w:spacing w:after="0" w:line="202" w:lineRule="exact"/>
              <w:rPr>
                <w:sz w:val="20"/>
                <w:szCs w:val="20"/>
                <w:color w:val="auto"/>
              </w:rPr>
            </w:pPr>
            <w:r>
              <w:rPr>
                <w:rFonts w:ascii="Arial" w:cs="Arial" w:eastAsia="Arial" w:hAnsi="Arial"/>
                <w:sz w:val="18"/>
                <w:szCs w:val="18"/>
                <w:color w:val="4C4C4C"/>
              </w:rPr>
              <w:t>(October 2017-January 2018); Corporate Controller of Amlogic, Inc.</w:t>
            </w:r>
          </w:p>
        </w:tc>
        <w:tc>
          <w:tcPr>
            <w:tcW w:w="860" w:type="dxa"/>
            <w:vAlign w:val="bottom"/>
            <w:shd w:val="clear" w:color="auto" w:fill="BAE2F8"/>
          </w:tcPr>
          <w:p>
            <w:pPr>
              <w:spacing w:after="0"/>
              <w:rPr>
                <w:sz w:val="17"/>
                <w:szCs w:val="17"/>
                <w:color w:val="auto"/>
              </w:rPr>
            </w:pPr>
          </w:p>
        </w:tc>
      </w:tr>
      <w:tr>
        <w:trPr>
          <w:trHeight w:val="203"/>
        </w:trPr>
        <w:tc>
          <w:tcPr>
            <w:tcW w:w="1300" w:type="dxa"/>
            <w:vAlign w:val="bottom"/>
            <w:shd w:val="clear" w:color="auto" w:fill="BAE2F8"/>
          </w:tcPr>
          <w:p>
            <w:pPr>
              <w:spacing w:after="0"/>
              <w:rPr>
                <w:sz w:val="17"/>
                <w:szCs w:val="17"/>
                <w:color w:val="auto"/>
              </w:rPr>
            </w:pPr>
          </w:p>
        </w:tc>
        <w:tc>
          <w:tcPr>
            <w:tcW w:w="420" w:type="dxa"/>
            <w:vAlign w:val="bottom"/>
            <w:shd w:val="clear" w:color="auto" w:fill="BAE2F8"/>
          </w:tcPr>
          <w:p>
            <w:pPr>
              <w:spacing w:after="0"/>
              <w:rPr>
                <w:sz w:val="17"/>
                <w:szCs w:val="17"/>
                <w:color w:val="auto"/>
              </w:rPr>
            </w:pPr>
          </w:p>
        </w:tc>
        <w:tc>
          <w:tcPr>
            <w:tcW w:w="5840" w:type="dxa"/>
            <w:vAlign w:val="bottom"/>
            <w:shd w:val="clear" w:color="auto" w:fill="BAE2F8"/>
          </w:tcPr>
          <w:p>
            <w:pPr>
              <w:ind w:left="40"/>
              <w:spacing w:after="0" w:line="202" w:lineRule="exact"/>
              <w:rPr>
                <w:sz w:val="20"/>
                <w:szCs w:val="20"/>
                <w:color w:val="auto"/>
              </w:rPr>
            </w:pPr>
            <w:r>
              <w:rPr>
                <w:rFonts w:ascii="Arial" w:cs="Arial" w:eastAsia="Arial" w:hAnsi="Arial"/>
                <w:sz w:val="18"/>
                <w:szCs w:val="18"/>
                <w:color w:val="4C4C4C"/>
              </w:rPr>
              <w:t>(August 2008-September 2017); received a Bachelor of Science degree</w:t>
            </w:r>
          </w:p>
        </w:tc>
        <w:tc>
          <w:tcPr>
            <w:tcW w:w="860" w:type="dxa"/>
            <w:vAlign w:val="bottom"/>
            <w:shd w:val="clear" w:color="auto" w:fill="BAE2F8"/>
          </w:tcPr>
          <w:p>
            <w:pPr>
              <w:spacing w:after="0"/>
              <w:rPr>
                <w:sz w:val="17"/>
                <w:szCs w:val="17"/>
                <w:color w:val="auto"/>
              </w:rPr>
            </w:pPr>
          </w:p>
        </w:tc>
      </w:tr>
      <w:tr>
        <w:trPr>
          <w:trHeight w:val="203"/>
        </w:trPr>
        <w:tc>
          <w:tcPr>
            <w:tcW w:w="1300" w:type="dxa"/>
            <w:vAlign w:val="bottom"/>
            <w:shd w:val="clear" w:color="auto" w:fill="BAE2F8"/>
          </w:tcPr>
          <w:p>
            <w:pPr>
              <w:spacing w:after="0"/>
              <w:rPr>
                <w:sz w:val="17"/>
                <w:szCs w:val="17"/>
                <w:color w:val="auto"/>
              </w:rPr>
            </w:pPr>
          </w:p>
        </w:tc>
        <w:tc>
          <w:tcPr>
            <w:tcW w:w="420" w:type="dxa"/>
            <w:vAlign w:val="bottom"/>
            <w:shd w:val="clear" w:color="auto" w:fill="BAE2F8"/>
          </w:tcPr>
          <w:p>
            <w:pPr>
              <w:spacing w:after="0"/>
              <w:rPr>
                <w:sz w:val="17"/>
                <w:szCs w:val="17"/>
                <w:color w:val="auto"/>
              </w:rPr>
            </w:pPr>
          </w:p>
        </w:tc>
        <w:tc>
          <w:tcPr>
            <w:tcW w:w="5840" w:type="dxa"/>
            <w:vAlign w:val="bottom"/>
            <w:shd w:val="clear" w:color="auto" w:fill="BAE2F8"/>
          </w:tcPr>
          <w:p>
            <w:pPr>
              <w:ind w:left="40"/>
              <w:spacing w:after="0" w:line="202" w:lineRule="exact"/>
              <w:rPr>
                <w:sz w:val="20"/>
                <w:szCs w:val="20"/>
                <w:color w:val="auto"/>
              </w:rPr>
            </w:pPr>
            <w:r>
              <w:rPr>
                <w:rFonts w:ascii="Arial" w:cs="Arial" w:eastAsia="Arial" w:hAnsi="Arial"/>
                <w:sz w:val="18"/>
                <w:szCs w:val="18"/>
                <w:color w:val="4C4C4C"/>
              </w:rPr>
              <w:t>in Business/Economics from Southern Connecticut State University and</w:t>
            </w:r>
          </w:p>
        </w:tc>
        <w:tc>
          <w:tcPr>
            <w:tcW w:w="860" w:type="dxa"/>
            <w:vAlign w:val="bottom"/>
            <w:shd w:val="clear" w:color="auto" w:fill="BAE2F8"/>
          </w:tcPr>
          <w:p>
            <w:pPr>
              <w:spacing w:after="0"/>
              <w:rPr>
                <w:sz w:val="17"/>
                <w:szCs w:val="17"/>
                <w:color w:val="auto"/>
              </w:rPr>
            </w:pPr>
          </w:p>
        </w:tc>
      </w:tr>
      <w:tr>
        <w:trPr>
          <w:trHeight w:val="239"/>
        </w:trPr>
        <w:tc>
          <w:tcPr>
            <w:tcW w:w="1300" w:type="dxa"/>
            <w:vAlign w:val="bottom"/>
            <w:shd w:val="clear" w:color="auto" w:fill="BAE2F8"/>
          </w:tcPr>
          <w:p>
            <w:pPr>
              <w:spacing w:after="0"/>
              <w:rPr>
                <w:sz w:val="20"/>
                <w:szCs w:val="20"/>
                <w:color w:val="auto"/>
              </w:rPr>
            </w:pPr>
          </w:p>
        </w:tc>
        <w:tc>
          <w:tcPr>
            <w:tcW w:w="420" w:type="dxa"/>
            <w:vAlign w:val="bottom"/>
            <w:shd w:val="clear" w:color="auto" w:fill="BAE2F8"/>
          </w:tcPr>
          <w:p>
            <w:pPr>
              <w:spacing w:after="0"/>
              <w:rPr>
                <w:sz w:val="20"/>
                <w:szCs w:val="20"/>
                <w:color w:val="auto"/>
              </w:rPr>
            </w:pPr>
          </w:p>
        </w:tc>
        <w:tc>
          <w:tcPr>
            <w:tcW w:w="5840" w:type="dxa"/>
            <w:vAlign w:val="bottom"/>
            <w:shd w:val="clear" w:color="auto" w:fill="BAE2F8"/>
          </w:tcPr>
          <w:p>
            <w:pPr>
              <w:ind w:left="40"/>
              <w:spacing w:after="0"/>
              <w:rPr>
                <w:sz w:val="20"/>
                <w:szCs w:val="20"/>
                <w:color w:val="auto"/>
              </w:rPr>
            </w:pPr>
            <w:r>
              <w:rPr>
                <w:rFonts w:ascii="Arial" w:cs="Arial" w:eastAsia="Arial" w:hAnsi="Arial"/>
                <w:sz w:val="18"/>
                <w:szCs w:val="18"/>
                <w:color w:val="4C4C4C"/>
              </w:rPr>
              <w:t>a Master of Science degree in Accounting from Golden Gate University.</w:t>
            </w:r>
          </w:p>
        </w:tc>
        <w:tc>
          <w:tcPr>
            <w:tcW w:w="860" w:type="dxa"/>
            <w:vAlign w:val="bottom"/>
            <w:shd w:val="clear" w:color="auto" w:fill="BAE2F8"/>
          </w:tcPr>
          <w:p>
            <w:pPr>
              <w:spacing w:after="0"/>
              <w:rPr>
                <w:sz w:val="20"/>
                <w:szCs w:val="20"/>
                <w:color w:val="auto"/>
              </w:rPr>
            </w:pPr>
          </w:p>
        </w:tc>
      </w:tr>
      <w:tr>
        <w:trPr>
          <w:trHeight w:val="63"/>
        </w:trPr>
        <w:tc>
          <w:tcPr>
            <w:tcW w:w="1300" w:type="dxa"/>
            <w:vAlign w:val="bottom"/>
            <w:shd w:val="clear" w:color="auto" w:fill="BAE2F8"/>
          </w:tcPr>
          <w:p>
            <w:pPr>
              <w:spacing w:after="0"/>
              <w:rPr>
                <w:sz w:val="5"/>
                <w:szCs w:val="5"/>
                <w:color w:val="auto"/>
              </w:rPr>
            </w:pPr>
          </w:p>
        </w:tc>
        <w:tc>
          <w:tcPr>
            <w:tcW w:w="420" w:type="dxa"/>
            <w:vAlign w:val="bottom"/>
            <w:shd w:val="clear" w:color="auto" w:fill="BAE2F8"/>
          </w:tcPr>
          <w:p>
            <w:pPr>
              <w:spacing w:after="0"/>
              <w:rPr>
                <w:sz w:val="5"/>
                <w:szCs w:val="5"/>
                <w:color w:val="auto"/>
              </w:rPr>
            </w:pPr>
          </w:p>
        </w:tc>
        <w:tc>
          <w:tcPr>
            <w:tcW w:w="5840" w:type="dxa"/>
            <w:vAlign w:val="bottom"/>
            <w:shd w:val="clear" w:color="auto" w:fill="BAE2F8"/>
          </w:tcPr>
          <w:p>
            <w:pPr>
              <w:spacing w:after="0"/>
              <w:rPr>
                <w:sz w:val="5"/>
                <w:szCs w:val="5"/>
                <w:color w:val="auto"/>
              </w:rPr>
            </w:pPr>
          </w:p>
        </w:tc>
        <w:tc>
          <w:tcPr>
            <w:tcW w:w="860" w:type="dxa"/>
            <w:vAlign w:val="bottom"/>
            <w:shd w:val="clear" w:color="auto" w:fill="BAE2F8"/>
          </w:tcPr>
          <w:p>
            <w:pPr>
              <w:spacing w:after="0"/>
              <w:rPr>
                <w:sz w:val="5"/>
                <w:szCs w:val="5"/>
                <w:color w:val="auto"/>
              </w:rPr>
            </w:pPr>
          </w:p>
        </w:tc>
      </w:tr>
      <w:tr>
        <w:trPr>
          <w:trHeight w:val="265"/>
        </w:trPr>
        <w:tc>
          <w:tcPr>
            <w:tcW w:w="1300" w:type="dxa"/>
            <w:vAlign w:val="bottom"/>
          </w:tcPr>
          <w:p>
            <w:pPr>
              <w:ind w:left="20"/>
              <w:spacing w:after="0"/>
              <w:rPr>
                <w:sz w:val="20"/>
                <w:szCs w:val="20"/>
                <w:color w:val="auto"/>
              </w:rPr>
            </w:pPr>
            <w:r>
              <w:rPr>
                <w:rFonts w:ascii="Arial" w:cs="Arial" w:eastAsia="Arial" w:hAnsi="Arial"/>
                <w:sz w:val="18"/>
                <w:szCs w:val="18"/>
                <w:color w:val="4C4C4C"/>
              </w:rPr>
              <w:t>Sotheara</w:t>
            </w:r>
          </w:p>
        </w:tc>
        <w:tc>
          <w:tcPr>
            <w:tcW w:w="420" w:type="dxa"/>
            <w:vAlign w:val="bottom"/>
          </w:tcPr>
          <w:p>
            <w:pPr>
              <w:ind w:left="120"/>
              <w:spacing w:after="0"/>
              <w:rPr>
                <w:sz w:val="20"/>
                <w:szCs w:val="20"/>
                <w:color w:val="auto"/>
              </w:rPr>
            </w:pPr>
            <w:r>
              <w:rPr>
                <w:rFonts w:ascii="Arial" w:cs="Arial" w:eastAsia="Arial" w:hAnsi="Arial"/>
                <w:sz w:val="18"/>
                <w:szCs w:val="18"/>
                <w:color w:val="4C4C4C"/>
              </w:rPr>
              <w:t>70</w:t>
            </w:r>
          </w:p>
        </w:tc>
        <w:tc>
          <w:tcPr>
            <w:tcW w:w="5840" w:type="dxa"/>
            <w:vAlign w:val="bottom"/>
          </w:tcPr>
          <w:p>
            <w:pPr>
              <w:ind w:left="40"/>
              <w:spacing w:after="0"/>
              <w:rPr>
                <w:sz w:val="20"/>
                <w:szCs w:val="20"/>
                <w:color w:val="auto"/>
              </w:rPr>
            </w:pPr>
            <w:r>
              <w:rPr>
                <w:rFonts w:ascii="Arial" w:cs="Arial" w:eastAsia="Arial" w:hAnsi="Arial"/>
                <w:sz w:val="18"/>
                <w:szCs w:val="18"/>
                <w:color w:val="4C4C4C"/>
              </w:rPr>
              <w:t>Senior Vice President, Manufacturing of ACM Research (Shanghai),</w:t>
            </w:r>
          </w:p>
        </w:tc>
        <w:tc>
          <w:tcPr>
            <w:tcW w:w="860" w:type="dxa"/>
            <w:vAlign w:val="bottom"/>
          </w:tcPr>
          <w:p>
            <w:pPr>
              <w:jc w:val="center"/>
              <w:spacing w:after="0"/>
              <w:rPr>
                <w:sz w:val="20"/>
                <w:szCs w:val="20"/>
                <w:color w:val="auto"/>
              </w:rPr>
            </w:pPr>
            <w:r>
              <w:rPr>
                <w:rFonts w:ascii="Arial" w:cs="Arial" w:eastAsia="Arial" w:hAnsi="Arial"/>
                <w:sz w:val="18"/>
                <w:szCs w:val="18"/>
                <w:color w:val="4C4C4C"/>
                <w:w w:val="99"/>
              </w:rPr>
              <w:t>2015</w:t>
            </w:r>
          </w:p>
        </w:tc>
      </w:tr>
      <w:tr>
        <w:trPr>
          <w:trHeight w:val="203"/>
        </w:trPr>
        <w:tc>
          <w:tcPr>
            <w:tcW w:w="1300" w:type="dxa"/>
            <w:vAlign w:val="bottom"/>
          </w:tcPr>
          <w:p>
            <w:pPr>
              <w:ind w:left="20"/>
              <w:spacing w:after="0" w:line="202" w:lineRule="exact"/>
              <w:rPr>
                <w:sz w:val="20"/>
                <w:szCs w:val="20"/>
                <w:color w:val="auto"/>
              </w:rPr>
            </w:pPr>
            <w:r>
              <w:rPr>
                <w:rFonts w:ascii="Arial" w:cs="Arial" w:eastAsia="Arial" w:hAnsi="Arial"/>
                <w:sz w:val="18"/>
                <w:szCs w:val="18"/>
                <w:color w:val="4C4C4C"/>
              </w:rPr>
              <w:t>Cheav</w:t>
            </w:r>
          </w:p>
        </w:tc>
        <w:tc>
          <w:tcPr>
            <w:tcW w:w="420" w:type="dxa"/>
            <w:vAlign w:val="bottom"/>
          </w:tcPr>
          <w:p>
            <w:pPr>
              <w:spacing w:after="0"/>
              <w:rPr>
                <w:sz w:val="17"/>
                <w:szCs w:val="17"/>
                <w:color w:val="auto"/>
              </w:rPr>
            </w:pPr>
          </w:p>
        </w:tc>
        <w:tc>
          <w:tcPr>
            <w:tcW w:w="5840" w:type="dxa"/>
            <w:vAlign w:val="bottom"/>
          </w:tcPr>
          <w:p>
            <w:pPr>
              <w:ind w:left="40"/>
              <w:spacing w:after="0" w:line="202" w:lineRule="exact"/>
              <w:rPr>
                <w:sz w:val="20"/>
                <w:szCs w:val="20"/>
                <w:color w:val="auto"/>
              </w:rPr>
            </w:pPr>
            <w:r>
              <w:rPr>
                <w:rFonts w:ascii="Arial" w:cs="Arial" w:eastAsia="Arial" w:hAnsi="Arial"/>
                <w:sz w:val="18"/>
                <w:szCs w:val="18"/>
                <w:color w:val="4C4C4C"/>
              </w:rPr>
              <w:t>Inc.  (May  2019-present);  Vice  President,  Manufacturing  of  ACM</w:t>
            </w:r>
          </w:p>
        </w:tc>
        <w:tc>
          <w:tcPr>
            <w:tcW w:w="86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Pr>
          <w:p>
            <w:pPr>
              <w:ind w:left="40"/>
              <w:spacing w:after="0" w:line="202" w:lineRule="exact"/>
              <w:rPr>
                <w:sz w:val="20"/>
                <w:szCs w:val="20"/>
                <w:color w:val="auto"/>
              </w:rPr>
            </w:pPr>
            <w:r>
              <w:rPr>
                <w:rFonts w:ascii="Arial" w:cs="Arial" w:eastAsia="Arial" w:hAnsi="Arial"/>
                <w:sz w:val="18"/>
                <w:szCs w:val="18"/>
                <w:color w:val="4C4C4C"/>
              </w:rPr>
              <w:t>Research  (Shanghai),  Inc.  (January  2015-May  2019);  Director  of</w:t>
            </w:r>
          </w:p>
        </w:tc>
        <w:tc>
          <w:tcPr>
            <w:tcW w:w="86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Pr>
          <w:p>
            <w:pPr>
              <w:ind w:left="40"/>
              <w:spacing w:after="0" w:line="202" w:lineRule="exact"/>
              <w:rPr>
                <w:sz w:val="20"/>
                <w:szCs w:val="20"/>
                <w:color w:val="auto"/>
              </w:rPr>
            </w:pPr>
            <w:r>
              <w:rPr>
                <w:rFonts w:ascii="Arial" w:cs="Arial" w:eastAsia="Arial" w:hAnsi="Arial"/>
                <w:sz w:val="18"/>
                <w:szCs w:val="18"/>
                <w:color w:val="4C4C4C"/>
              </w:rPr>
              <w:t>Manufacturing of ACM Research (Shanghai), Inc. (2011-December</w:t>
            </w:r>
          </w:p>
        </w:tc>
        <w:tc>
          <w:tcPr>
            <w:tcW w:w="86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Pr>
          <w:p>
            <w:pPr>
              <w:ind w:left="40"/>
              <w:spacing w:after="0" w:line="202" w:lineRule="exact"/>
              <w:rPr>
                <w:sz w:val="20"/>
                <w:szCs w:val="20"/>
                <w:color w:val="auto"/>
              </w:rPr>
            </w:pPr>
            <w:r>
              <w:rPr>
                <w:rFonts w:ascii="Arial" w:cs="Arial" w:eastAsia="Arial" w:hAnsi="Arial"/>
                <w:sz w:val="18"/>
                <w:szCs w:val="18"/>
                <w:color w:val="4C4C4C"/>
              </w:rPr>
              <w:t>2014);  received  a  Bachelor  of  Science  degree  in  Science  and</w:t>
            </w:r>
          </w:p>
        </w:tc>
        <w:tc>
          <w:tcPr>
            <w:tcW w:w="86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Pr>
          <w:p>
            <w:pPr>
              <w:ind w:left="40"/>
              <w:spacing w:after="0" w:line="202" w:lineRule="exact"/>
              <w:rPr>
                <w:sz w:val="20"/>
                <w:szCs w:val="20"/>
                <w:color w:val="auto"/>
              </w:rPr>
            </w:pPr>
            <w:r>
              <w:rPr>
                <w:rFonts w:ascii="Arial" w:cs="Arial" w:eastAsia="Arial" w:hAnsi="Arial"/>
                <w:sz w:val="18"/>
                <w:szCs w:val="18"/>
                <w:color w:val="4C4C4C"/>
              </w:rPr>
              <w:t>Technology from the University of Cambodia and an Associate of</w:t>
            </w:r>
          </w:p>
        </w:tc>
        <w:tc>
          <w:tcPr>
            <w:tcW w:w="860" w:type="dxa"/>
            <w:vAlign w:val="bottom"/>
          </w:tcPr>
          <w:p>
            <w:pPr>
              <w:spacing w:after="0"/>
              <w:rPr>
                <w:sz w:val="17"/>
                <w:szCs w:val="17"/>
                <w:color w:val="auto"/>
              </w:rPr>
            </w:pPr>
          </w:p>
        </w:tc>
      </w:tr>
      <w:tr>
        <w:trPr>
          <w:trHeight w:val="239"/>
        </w:trPr>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4C4C4C"/>
              </w:rPr>
              <w:t>Science degree in Electronics from Bay Valley Technical Institute.</w:t>
            </w:r>
          </w:p>
        </w:tc>
        <w:tc>
          <w:tcPr>
            <w:tcW w:w="860" w:type="dxa"/>
            <w:vAlign w:val="bottom"/>
          </w:tcPr>
          <w:p>
            <w:pPr>
              <w:spacing w:after="0"/>
              <w:rPr>
                <w:sz w:val="20"/>
                <w:szCs w:val="20"/>
                <w:color w:val="auto"/>
              </w:rPr>
            </w:pPr>
          </w:p>
        </w:tc>
      </w:tr>
      <w:tr>
        <w:trPr>
          <w:trHeight w:val="346"/>
        </w:trPr>
        <w:tc>
          <w:tcPr>
            <w:tcW w:w="1300" w:type="dxa"/>
            <w:vAlign w:val="bottom"/>
          </w:tcPr>
          <w:p>
            <w:pPr>
              <w:ind w:left="20"/>
              <w:spacing w:after="0"/>
              <w:rPr>
                <w:sz w:val="20"/>
                <w:szCs w:val="20"/>
                <w:color w:val="auto"/>
              </w:rPr>
            </w:pPr>
            <w:r>
              <w:rPr>
                <w:rFonts w:ascii="Arial" w:cs="Arial" w:eastAsia="Arial" w:hAnsi="Arial"/>
                <w:sz w:val="18"/>
                <w:szCs w:val="18"/>
                <w:color w:val="4C4C4C"/>
              </w:rPr>
              <w:t>Fuping Chen</w:t>
            </w:r>
          </w:p>
        </w:tc>
        <w:tc>
          <w:tcPr>
            <w:tcW w:w="420" w:type="dxa"/>
            <w:vAlign w:val="bottom"/>
          </w:tcPr>
          <w:p>
            <w:pPr>
              <w:ind w:left="120"/>
              <w:spacing w:after="0"/>
              <w:rPr>
                <w:sz w:val="20"/>
                <w:szCs w:val="20"/>
                <w:color w:val="auto"/>
              </w:rPr>
            </w:pPr>
            <w:r>
              <w:rPr>
                <w:rFonts w:ascii="Arial" w:cs="Arial" w:eastAsia="Arial" w:hAnsi="Arial"/>
                <w:sz w:val="18"/>
                <w:szCs w:val="18"/>
                <w:color w:val="4C4C4C"/>
              </w:rPr>
              <w:t>40</w:t>
            </w:r>
          </w:p>
        </w:tc>
        <w:tc>
          <w:tcPr>
            <w:tcW w:w="5840" w:type="dxa"/>
            <w:vAlign w:val="bottom"/>
          </w:tcPr>
          <w:p>
            <w:pPr>
              <w:ind w:left="40"/>
              <w:spacing w:after="0"/>
              <w:rPr>
                <w:sz w:val="20"/>
                <w:szCs w:val="20"/>
                <w:color w:val="auto"/>
              </w:rPr>
            </w:pPr>
            <w:r>
              <w:rPr>
                <w:rFonts w:ascii="Arial" w:cs="Arial" w:eastAsia="Arial" w:hAnsi="Arial"/>
                <w:sz w:val="18"/>
                <w:szCs w:val="18"/>
                <w:color w:val="4C4C4C"/>
              </w:rPr>
              <w:t>Vice  President,  Sales—China  of  ACM  Research  (Shanghai),  Inc.</w:t>
            </w:r>
          </w:p>
        </w:tc>
        <w:tc>
          <w:tcPr>
            <w:tcW w:w="860" w:type="dxa"/>
            <w:vAlign w:val="bottom"/>
          </w:tcPr>
          <w:p>
            <w:pPr>
              <w:jc w:val="center"/>
              <w:spacing w:after="0"/>
              <w:rPr>
                <w:sz w:val="20"/>
                <w:szCs w:val="20"/>
                <w:color w:val="auto"/>
              </w:rPr>
            </w:pPr>
            <w:r>
              <w:rPr>
                <w:rFonts w:ascii="Arial" w:cs="Arial" w:eastAsia="Arial" w:hAnsi="Arial"/>
                <w:sz w:val="18"/>
                <w:szCs w:val="18"/>
                <w:color w:val="4C4C4C"/>
                <w:w w:val="99"/>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-179070</wp:posOffset>
            </wp:positionV>
            <wp:extent cx="5349240" cy="9855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985520"/>
                    </a:xfrm>
                    <a:prstGeom prst="rect">
                      <a:avLst/>
                    </a:prstGeom>
                    <a:noFill/>
                  </pic:spPr>
                </pic:pic>
              </a:graphicData>
            </a:graphic>
          </wp:anchor>
        </w:drawing>
      </w:r>
    </w:p>
    <w:p>
      <w:pPr>
        <w:jc w:val="both"/>
        <w:ind w:left="2060" w:right="1199"/>
        <w:spacing w:after="0" w:line="238" w:lineRule="auto"/>
        <w:rPr>
          <w:sz w:val="20"/>
          <w:szCs w:val="20"/>
          <w:color w:val="auto"/>
        </w:rPr>
      </w:pPr>
      <w:r>
        <w:rPr>
          <w:rFonts w:ascii="Arial" w:cs="Arial" w:eastAsia="Arial" w:hAnsi="Arial"/>
          <w:sz w:val="18"/>
          <w:szCs w:val="18"/>
          <w:color w:val="4C4C4C"/>
        </w:rPr>
        <w:t>(January 2018-present); Senior Technical Director of ACM Research, Inc. (2010-2017); Assistant Wet Process Manager of SK Hynix Inc., a semiconductor company (2006-2010); received a Bachelor of Science degree from Nanjing University of Technology of Material Science and Engineering and a Master of Science degree from Zhejiang University of Material Science and Engineering.</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David Wang and Jian Wang are brothers.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Executive Compensation</w:t>
      </w:r>
    </w:p>
    <w:p>
      <w:pPr>
        <w:spacing w:after="0" w:line="38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Summary Compensation Table</w:t>
      </w:r>
    </w:p>
    <w:p>
      <w:pPr>
        <w:spacing w:after="0" w:line="189"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The following table provides information concerning the compensation paid to our NEOs, who consist of our Chief Executive Officer and President, David H. Wang, our Chief Financial Officer, Treasurer and Secretary, Mark McKechnie, and our three next most highly compensated executive officers during 2021, Jian Wang, Lisa Feng and Fuping Chen.</w:t>
      </w:r>
    </w:p>
    <w:p>
      <w:pPr>
        <w:spacing w:after="0" w:line="44" w:lineRule="exact"/>
        <w:rPr>
          <w:sz w:val="20"/>
          <w:szCs w:val="20"/>
          <w:color w:val="auto"/>
        </w:rPr>
      </w:pPr>
    </w:p>
    <w:tbl>
      <w:tblPr>
        <w:tblLayout w:type="fixed"/>
        <w:tblInd w:w="300" w:type="dxa"/>
        <w:tblCellMar>
          <w:top w:w="0" w:type="dxa"/>
          <w:left w:w="0" w:type="dxa"/>
          <w:bottom w:w="0" w:type="dxa"/>
          <w:right w:w="0" w:type="dxa"/>
        </w:tblCellMar>
      </w:tblPr>
      <w:tr>
        <w:trPr>
          <w:trHeight w:val="274"/>
        </w:trPr>
        <w:tc>
          <w:tcPr>
            <w:tcW w:w="2760" w:type="dxa"/>
            <w:vAlign w:val="bottom"/>
            <w:shd w:val="clear" w:color="auto" w:fill="0D3F64"/>
          </w:tcPr>
          <w:p>
            <w:pPr>
              <w:spacing w:after="0"/>
              <w:rPr>
                <w:sz w:val="23"/>
                <w:szCs w:val="23"/>
                <w:color w:val="auto"/>
              </w:rPr>
            </w:pPr>
          </w:p>
        </w:tc>
        <w:tc>
          <w:tcPr>
            <w:tcW w:w="100" w:type="dxa"/>
            <w:vAlign w:val="bottom"/>
            <w:shd w:val="clear" w:color="auto" w:fill="0D3F64"/>
          </w:tcPr>
          <w:p>
            <w:pPr>
              <w:spacing w:after="0"/>
              <w:rPr>
                <w:sz w:val="23"/>
                <w:szCs w:val="23"/>
                <w:color w:val="auto"/>
              </w:rPr>
            </w:pPr>
          </w:p>
        </w:tc>
        <w:tc>
          <w:tcPr>
            <w:tcW w:w="380" w:type="dxa"/>
            <w:vAlign w:val="bottom"/>
            <w:shd w:val="clear" w:color="auto" w:fill="0D3F64"/>
          </w:tcPr>
          <w:p>
            <w:pPr>
              <w:spacing w:after="0"/>
              <w:rPr>
                <w:sz w:val="23"/>
                <w:szCs w:val="23"/>
                <w:color w:val="auto"/>
              </w:rPr>
            </w:pPr>
          </w:p>
        </w:tc>
        <w:tc>
          <w:tcPr>
            <w:tcW w:w="1020" w:type="dxa"/>
            <w:vAlign w:val="bottom"/>
            <w:shd w:val="clear" w:color="auto" w:fill="0D3F64"/>
          </w:tcPr>
          <w:p>
            <w:pPr>
              <w:spacing w:after="0"/>
              <w:rPr>
                <w:sz w:val="23"/>
                <w:szCs w:val="23"/>
                <w:color w:val="auto"/>
              </w:rPr>
            </w:pPr>
          </w:p>
        </w:tc>
        <w:tc>
          <w:tcPr>
            <w:tcW w:w="920" w:type="dxa"/>
            <w:vAlign w:val="bottom"/>
            <w:shd w:val="clear" w:color="auto" w:fill="0D3F64"/>
          </w:tcPr>
          <w:p>
            <w:pPr>
              <w:spacing w:after="0"/>
              <w:rPr>
                <w:sz w:val="23"/>
                <w:szCs w:val="23"/>
                <w:color w:val="auto"/>
              </w:rPr>
            </w:pPr>
          </w:p>
        </w:tc>
        <w:tc>
          <w:tcPr>
            <w:tcW w:w="1060" w:type="dxa"/>
            <w:vAlign w:val="bottom"/>
            <w:shd w:val="clear" w:color="auto" w:fill="0D3F64"/>
          </w:tcPr>
          <w:p>
            <w:pPr>
              <w:jc w:val="right"/>
              <w:ind w:right="213"/>
              <w:spacing w:after="0"/>
              <w:rPr>
                <w:sz w:val="20"/>
                <w:szCs w:val="20"/>
                <w:color w:val="auto"/>
              </w:rPr>
            </w:pPr>
            <w:r>
              <w:rPr>
                <w:rFonts w:ascii="Arial" w:cs="Arial" w:eastAsia="Arial" w:hAnsi="Arial"/>
                <w:sz w:val="14"/>
                <w:szCs w:val="14"/>
                <w:b w:val="1"/>
                <w:bCs w:val="1"/>
                <w:color w:val="FFFFFF"/>
              </w:rPr>
              <w:t>Option</w:t>
            </w:r>
          </w:p>
        </w:tc>
        <w:tc>
          <w:tcPr>
            <w:tcW w:w="1180" w:type="dxa"/>
            <w:vAlign w:val="bottom"/>
            <w:shd w:val="clear" w:color="auto" w:fill="0D3F64"/>
          </w:tcPr>
          <w:p>
            <w:pPr>
              <w:jc w:val="right"/>
              <w:ind w:right="193"/>
              <w:spacing w:after="0"/>
              <w:rPr>
                <w:sz w:val="20"/>
                <w:szCs w:val="20"/>
                <w:color w:val="auto"/>
              </w:rPr>
            </w:pPr>
            <w:r>
              <w:rPr>
                <w:rFonts w:ascii="Arial" w:cs="Arial" w:eastAsia="Arial" w:hAnsi="Arial"/>
                <w:sz w:val="14"/>
                <w:szCs w:val="14"/>
                <w:b w:val="1"/>
                <w:bCs w:val="1"/>
                <w:color w:val="FFFFFF"/>
              </w:rPr>
              <w:t>All Other</w:t>
            </w:r>
          </w:p>
        </w:tc>
        <w:tc>
          <w:tcPr>
            <w:tcW w:w="1000" w:type="dxa"/>
            <w:vAlign w:val="bottom"/>
            <w:shd w:val="clear" w:color="auto" w:fill="0D3F64"/>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0D3F64"/>
          </w:tcPr>
          <w:p>
            <w:pPr>
              <w:spacing w:after="0"/>
              <w:rPr>
                <w:sz w:val="14"/>
                <w:szCs w:val="14"/>
                <w:color w:val="auto"/>
              </w:rPr>
            </w:pPr>
          </w:p>
        </w:tc>
        <w:tc>
          <w:tcPr>
            <w:tcW w:w="100" w:type="dxa"/>
            <w:vAlign w:val="bottom"/>
            <w:shd w:val="clear" w:color="auto" w:fill="0D3F64"/>
          </w:tcPr>
          <w:p>
            <w:pPr>
              <w:spacing w:after="0"/>
              <w:rPr>
                <w:sz w:val="14"/>
                <w:szCs w:val="14"/>
                <w:color w:val="auto"/>
              </w:rPr>
            </w:pPr>
          </w:p>
        </w:tc>
        <w:tc>
          <w:tcPr>
            <w:tcW w:w="380" w:type="dxa"/>
            <w:vAlign w:val="bottom"/>
            <w:shd w:val="clear" w:color="auto" w:fill="0D3F64"/>
          </w:tcPr>
          <w:p>
            <w:pPr>
              <w:spacing w:after="0"/>
              <w:rPr>
                <w:sz w:val="14"/>
                <w:szCs w:val="14"/>
                <w:color w:val="auto"/>
              </w:rPr>
            </w:pPr>
          </w:p>
        </w:tc>
        <w:tc>
          <w:tcPr>
            <w:tcW w:w="1020" w:type="dxa"/>
            <w:vAlign w:val="bottom"/>
            <w:shd w:val="clear" w:color="auto" w:fill="0D3F64"/>
          </w:tcPr>
          <w:p>
            <w:pPr>
              <w:jc w:val="right"/>
              <w:ind w:right="152"/>
              <w:spacing w:after="0"/>
              <w:rPr>
                <w:sz w:val="20"/>
                <w:szCs w:val="20"/>
                <w:color w:val="auto"/>
              </w:rPr>
            </w:pPr>
            <w:r>
              <w:rPr>
                <w:rFonts w:ascii="Arial" w:cs="Arial" w:eastAsia="Arial" w:hAnsi="Arial"/>
                <w:sz w:val="14"/>
                <w:szCs w:val="14"/>
                <w:b w:val="1"/>
                <w:bCs w:val="1"/>
                <w:color w:val="FFFFFF"/>
              </w:rPr>
              <w:t>Salary</w:t>
            </w:r>
          </w:p>
        </w:tc>
        <w:tc>
          <w:tcPr>
            <w:tcW w:w="920" w:type="dxa"/>
            <w:vAlign w:val="bottom"/>
            <w:shd w:val="clear" w:color="auto" w:fill="0D3F64"/>
          </w:tcPr>
          <w:p>
            <w:pPr>
              <w:jc w:val="right"/>
              <w:ind w:right="152"/>
              <w:spacing w:after="0"/>
              <w:rPr>
                <w:sz w:val="20"/>
                <w:szCs w:val="20"/>
                <w:color w:val="auto"/>
              </w:rPr>
            </w:pPr>
            <w:r>
              <w:rPr>
                <w:rFonts w:ascii="Arial" w:cs="Arial" w:eastAsia="Arial" w:hAnsi="Arial"/>
                <w:sz w:val="14"/>
                <w:szCs w:val="14"/>
                <w:b w:val="1"/>
                <w:bCs w:val="1"/>
                <w:color w:val="FFFFFF"/>
              </w:rPr>
              <w:t>Bonus</w:t>
            </w:r>
          </w:p>
        </w:tc>
        <w:tc>
          <w:tcPr>
            <w:tcW w:w="1060" w:type="dxa"/>
            <w:vAlign w:val="bottom"/>
            <w:shd w:val="clear" w:color="auto" w:fill="0D3F64"/>
          </w:tcPr>
          <w:p>
            <w:pPr>
              <w:jc w:val="right"/>
              <w:ind w:right="193"/>
              <w:spacing w:after="0"/>
              <w:rPr>
                <w:sz w:val="20"/>
                <w:szCs w:val="20"/>
                <w:color w:val="auto"/>
              </w:rPr>
            </w:pPr>
            <w:r>
              <w:rPr>
                <w:rFonts w:ascii="Arial" w:cs="Arial" w:eastAsia="Arial" w:hAnsi="Arial"/>
                <w:sz w:val="14"/>
                <w:szCs w:val="14"/>
                <w:b w:val="1"/>
                <w:bCs w:val="1"/>
                <w:color w:val="FFFFFF"/>
              </w:rPr>
              <w:t>Awards</w:t>
            </w:r>
          </w:p>
        </w:tc>
        <w:tc>
          <w:tcPr>
            <w:tcW w:w="1180" w:type="dxa"/>
            <w:vAlign w:val="bottom"/>
            <w:shd w:val="clear" w:color="auto" w:fill="0D3F64"/>
          </w:tcPr>
          <w:p>
            <w:pPr>
              <w:jc w:val="right"/>
              <w:ind w:right="13"/>
              <w:spacing w:after="0"/>
              <w:rPr>
                <w:sz w:val="20"/>
                <w:szCs w:val="20"/>
                <w:color w:val="auto"/>
              </w:rPr>
            </w:pPr>
            <w:r>
              <w:rPr>
                <w:rFonts w:ascii="Arial" w:cs="Arial" w:eastAsia="Arial" w:hAnsi="Arial"/>
                <w:sz w:val="14"/>
                <w:szCs w:val="14"/>
                <w:b w:val="1"/>
                <w:bCs w:val="1"/>
                <w:color w:val="FFFFFF"/>
              </w:rPr>
              <w:t>Compensation</w:t>
            </w:r>
          </w:p>
        </w:tc>
        <w:tc>
          <w:tcPr>
            <w:tcW w:w="1000" w:type="dxa"/>
            <w:vAlign w:val="bottom"/>
            <w:shd w:val="clear" w:color="auto" w:fill="0D3F64"/>
          </w:tcPr>
          <w:p>
            <w:pPr>
              <w:jc w:val="right"/>
              <w:ind w:right="212"/>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5"/>
        </w:trPr>
        <w:tc>
          <w:tcPr>
            <w:tcW w:w="2760" w:type="dxa"/>
            <w:vAlign w:val="bottom"/>
            <w:tcBorders>
              <w:bottom w:val="single" w:sz="8" w:color="0D3F64"/>
            </w:tcBorders>
            <w:shd w:val="clear" w:color="auto" w:fill="0D3F64"/>
          </w:tcPr>
          <w:p>
            <w:pPr>
              <w:ind w:left="20"/>
              <w:spacing w:after="0"/>
              <w:rPr>
                <w:sz w:val="20"/>
                <w:szCs w:val="20"/>
                <w:color w:val="auto"/>
              </w:rPr>
            </w:pPr>
            <w:r>
              <w:rPr>
                <w:rFonts w:ascii="Arial" w:cs="Arial" w:eastAsia="Arial" w:hAnsi="Arial"/>
                <w:sz w:val="14"/>
                <w:szCs w:val="14"/>
                <w:b w:val="1"/>
                <w:bCs w:val="1"/>
                <w:color w:val="FFFFFF"/>
              </w:rPr>
              <w:t>Name and Principal Position</w:t>
            </w:r>
          </w:p>
        </w:tc>
        <w:tc>
          <w:tcPr>
            <w:tcW w:w="100" w:type="dxa"/>
            <w:vAlign w:val="bottom"/>
            <w:tcBorders>
              <w:bottom w:val="single" w:sz="8" w:color="0D3F64"/>
            </w:tcBorders>
            <w:shd w:val="clear" w:color="auto" w:fill="0D3F64"/>
          </w:tcPr>
          <w:p>
            <w:pPr>
              <w:spacing w:after="0"/>
              <w:rPr>
                <w:sz w:val="17"/>
                <w:szCs w:val="17"/>
                <w:color w:val="auto"/>
              </w:rPr>
            </w:pPr>
          </w:p>
        </w:tc>
        <w:tc>
          <w:tcPr>
            <w:tcW w:w="380" w:type="dxa"/>
            <w:vAlign w:val="bottom"/>
            <w:tcBorders>
              <w:bottom w:val="single" w:sz="8" w:color="0D3F64"/>
            </w:tcBorders>
            <w:shd w:val="clear" w:color="auto" w:fill="0D3F64"/>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020" w:type="dxa"/>
            <w:vAlign w:val="bottom"/>
            <w:tcBorders>
              <w:bottom w:val="single" w:sz="8" w:color="0D3F64"/>
            </w:tcBorders>
            <w:shd w:val="clear" w:color="auto" w:fill="0D3F64"/>
          </w:tcPr>
          <w:p>
            <w:pPr>
              <w:jc w:val="right"/>
              <w:ind w:right="192"/>
              <w:spacing w:after="0"/>
              <w:rPr>
                <w:sz w:val="20"/>
                <w:szCs w:val="20"/>
                <w:color w:val="auto"/>
              </w:rPr>
            </w:pPr>
            <w:r>
              <w:rPr>
                <w:rFonts w:ascii="Arial" w:cs="Arial" w:eastAsia="Arial" w:hAnsi="Arial"/>
                <w:sz w:val="14"/>
                <w:szCs w:val="14"/>
                <w:b w:val="1"/>
                <w:bCs w:val="1"/>
                <w:color w:val="FFFFFF"/>
              </w:rPr>
              <w:t>($)(1)</w:t>
            </w:r>
          </w:p>
        </w:tc>
        <w:tc>
          <w:tcPr>
            <w:tcW w:w="920" w:type="dxa"/>
            <w:vAlign w:val="bottom"/>
            <w:tcBorders>
              <w:bottom w:val="single" w:sz="8" w:color="0D3F64"/>
            </w:tcBorders>
            <w:shd w:val="clear" w:color="auto" w:fill="0D3F64"/>
          </w:tcPr>
          <w:p>
            <w:pPr>
              <w:jc w:val="right"/>
              <w:ind w:right="192"/>
              <w:spacing w:after="0"/>
              <w:rPr>
                <w:sz w:val="20"/>
                <w:szCs w:val="20"/>
                <w:color w:val="auto"/>
              </w:rPr>
            </w:pPr>
            <w:r>
              <w:rPr>
                <w:rFonts w:ascii="Arial" w:cs="Arial" w:eastAsia="Arial" w:hAnsi="Arial"/>
                <w:sz w:val="14"/>
                <w:szCs w:val="14"/>
                <w:b w:val="1"/>
                <w:bCs w:val="1"/>
                <w:color w:val="FFFFFF"/>
              </w:rPr>
              <w:t>($)(1)</w:t>
            </w:r>
          </w:p>
        </w:tc>
        <w:tc>
          <w:tcPr>
            <w:tcW w:w="1060" w:type="dxa"/>
            <w:vAlign w:val="bottom"/>
            <w:tcBorders>
              <w:bottom w:val="single" w:sz="8" w:color="0D3F64"/>
            </w:tcBorders>
            <w:shd w:val="clear" w:color="auto" w:fill="0D3F64"/>
          </w:tcPr>
          <w:p>
            <w:pPr>
              <w:jc w:val="right"/>
              <w:ind w:right="193"/>
              <w:spacing w:after="0"/>
              <w:rPr>
                <w:sz w:val="20"/>
                <w:szCs w:val="20"/>
                <w:color w:val="auto"/>
              </w:rPr>
            </w:pPr>
            <w:r>
              <w:rPr>
                <w:rFonts w:ascii="Arial" w:cs="Arial" w:eastAsia="Arial" w:hAnsi="Arial"/>
                <w:sz w:val="14"/>
                <w:szCs w:val="14"/>
                <w:b w:val="1"/>
                <w:bCs w:val="1"/>
                <w:color w:val="FFFFFF"/>
              </w:rPr>
              <w:t>($)(2)(3)</w:t>
            </w:r>
          </w:p>
        </w:tc>
        <w:tc>
          <w:tcPr>
            <w:tcW w:w="1180" w:type="dxa"/>
            <w:vAlign w:val="bottom"/>
            <w:tcBorders>
              <w:bottom w:val="single" w:sz="8" w:color="0D3F64"/>
            </w:tcBorders>
            <w:shd w:val="clear" w:color="auto" w:fill="0D3F64"/>
          </w:tcPr>
          <w:p>
            <w:pPr>
              <w:jc w:val="right"/>
              <w:ind w:right="233"/>
              <w:spacing w:after="0"/>
              <w:rPr>
                <w:sz w:val="20"/>
                <w:szCs w:val="20"/>
                <w:color w:val="auto"/>
              </w:rPr>
            </w:pPr>
            <w:r>
              <w:rPr>
                <w:rFonts w:ascii="Arial" w:cs="Arial" w:eastAsia="Arial" w:hAnsi="Arial"/>
                <w:sz w:val="14"/>
                <w:szCs w:val="14"/>
                <w:b w:val="1"/>
                <w:bCs w:val="1"/>
                <w:color w:val="FFFFFF"/>
              </w:rPr>
              <w:t>($)(1)(4)</w:t>
            </w:r>
          </w:p>
        </w:tc>
        <w:tc>
          <w:tcPr>
            <w:tcW w:w="1000" w:type="dxa"/>
            <w:vAlign w:val="bottom"/>
            <w:tcBorders>
              <w:bottom w:val="single" w:sz="8" w:color="0D3F64"/>
            </w:tcBorders>
            <w:shd w:val="clear" w:color="auto" w:fill="0D3F64"/>
          </w:tcPr>
          <w:p>
            <w:pPr>
              <w:jc w:val="right"/>
              <w:ind w:right="292"/>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0"/>
        </w:trPr>
        <w:tc>
          <w:tcPr>
            <w:tcW w:w="2760" w:type="dxa"/>
            <w:vAlign w:val="bottom"/>
          </w:tcPr>
          <w:p>
            <w:pPr>
              <w:ind w:left="20"/>
              <w:spacing w:after="0"/>
              <w:rPr>
                <w:sz w:val="20"/>
                <w:szCs w:val="20"/>
                <w:color w:val="auto"/>
              </w:rPr>
            </w:pPr>
            <w:r>
              <w:rPr>
                <w:rFonts w:ascii="Arial" w:cs="Arial" w:eastAsia="Arial" w:hAnsi="Arial"/>
                <w:sz w:val="18"/>
                <w:szCs w:val="18"/>
                <w:color w:val="4C4C4C"/>
              </w:rPr>
              <w:t>David H. Wang</w:t>
            </w:r>
          </w:p>
        </w:tc>
        <w:tc>
          <w:tcPr>
            <w:tcW w:w="480" w:type="dxa"/>
            <w:vAlign w:val="bottom"/>
            <w:gridSpan w:val="2"/>
          </w:tcPr>
          <w:p>
            <w:pPr>
              <w:jc w:val="center"/>
              <w:ind w:left="10"/>
              <w:spacing w:after="0"/>
              <w:rPr>
                <w:sz w:val="20"/>
                <w:szCs w:val="20"/>
                <w:color w:val="auto"/>
              </w:rPr>
            </w:pPr>
            <w:r>
              <w:rPr>
                <w:rFonts w:ascii="Arial" w:cs="Arial" w:eastAsia="Arial" w:hAnsi="Arial"/>
                <w:sz w:val="18"/>
                <w:szCs w:val="18"/>
                <w:color w:val="4C4C4C"/>
                <w:w w:val="94"/>
              </w:rPr>
              <w:t>2021</w:t>
            </w:r>
          </w:p>
        </w:tc>
        <w:tc>
          <w:tcPr>
            <w:tcW w:w="1020" w:type="dxa"/>
            <w:vAlign w:val="bottom"/>
          </w:tcPr>
          <w:p>
            <w:pPr>
              <w:jc w:val="right"/>
              <w:ind w:right="12"/>
              <w:spacing w:after="0"/>
              <w:rPr>
                <w:sz w:val="20"/>
                <w:szCs w:val="20"/>
                <w:color w:val="auto"/>
              </w:rPr>
            </w:pPr>
            <w:r>
              <w:rPr>
                <w:rFonts w:ascii="Arial" w:cs="Arial" w:eastAsia="Arial" w:hAnsi="Arial"/>
                <w:sz w:val="18"/>
                <w:szCs w:val="18"/>
                <w:color w:val="4C4C4C"/>
              </w:rPr>
              <w:t>$183,105</w:t>
            </w:r>
          </w:p>
        </w:tc>
        <w:tc>
          <w:tcPr>
            <w:tcW w:w="920" w:type="dxa"/>
            <w:vAlign w:val="bottom"/>
          </w:tcPr>
          <w:p>
            <w:pPr>
              <w:jc w:val="right"/>
              <w:ind w:right="12"/>
              <w:spacing w:after="0"/>
              <w:rPr>
                <w:sz w:val="20"/>
                <w:szCs w:val="20"/>
                <w:color w:val="auto"/>
              </w:rPr>
            </w:pPr>
            <w:r>
              <w:rPr>
                <w:rFonts w:ascii="Arial" w:cs="Arial" w:eastAsia="Arial" w:hAnsi="Arial"/>
                <w:sz w:val="18"/>
                <w:szCs w:val="18"/>
                <w:color w:val="4C4C4C"/>
              </w:rPr>
              <w:t>$212,188</w:t>
            </w:r>
          </w:p>
        </w:tc>
        <w:tc>
          <w:tcPr>
            <w:tcW w:w="1060" w:type="dxa"/>
            <w:vAlign w:val="bottom"/>
          </w:tcPr>
          <w:p>
            <w:pPr>
              <w:jc w:val="right"/>
              <w:ind w:right="53"/>
              <w:spacing w:after="0"/>
              <w:rPr>
                <w:sz w:val="20"/>
                <w:szCs w:val="20"/>
                <w:color w:val="auto"/>
              </w:rPr>
            </w:pPr>
            <w:r>
              <w:rPr>
                <w:rFonts w:ascii="Arial" w:cs="Arial" w:eastAsia="Arial" w:hAnsi="Arial"/>
                <w:sz w:val="18"/>
                <w:szCs w:val="18"/>
                <w:color w:val="4C4C4C"/>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4C4C4C"/>
              </w:rPr>
              <w:t>$ 3,583</w:t>
            </w:r>
          </w:p>
        </w:tc>
        <w:tc>
          <w:tcPr>
            <w:tcW w:w="1000" w:type="dxa"/>
            <w:vAlign w:val="bottom"/>
          </w:tcPr>
          <w:p>
            <w:pPr>
              <w:jc w:val="right"/>
              <w:spacing w:after="0"/>
              <w:rPr>
                <w:sz w:val="20"/>
                <w:szCs w:val="20"/>
                <w:color w:val="auto"/>
              </w:rPr>
            </w:pPr>
            <w:r>
              <w:rPr>
                <w:rFonts w:ascii="Arial" w:cs="Arial" w:eastAsia="Arial" w:hAnsi="Arial"/>
                <w:sz w:val="18"/>
                <w:szCs w:val="18"/>
                <w:color w:val="4C4C4C"/>
              </w:rPr>
              <w:t>$  398,876</w:t>
            </w: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i w:val="1"/>
                <w:iCs w:val="1"/>
                <w:color w:val="4C4C4C"/>
              </w:rPr>
              <w:t>Chief Executive Officer and</w:t>
            </w:r>
          </w:p>
        </w:tc>
        <w:tc>
          <w:tcPr>
            <w:tcW w:w="480" w:type="dxa"/>
            <w:vAlign w:val="bottom"/>
            <w:gridSpan w:val="2"/>
            <w:vMerge w:val="restart"/>
          </w:tcPr>
          <w:p>
            <w:pPr>
              <w:jc w:val="center"/>
              <w:ind w:left="10"/>
              <w:spacing w:after="0"/>
              <w:rPr>
                <w:sz w:val="20"/>
                <w:szCs w:val="20"/>
                <w:color w:val="auto"/>
              </w:rPr>
            </w:pPr>
            <w:r>
              <w:rPr>
                <w:rFonts w:ascii="Arial" w:cs="Arial" w:eastAsia="Arial" w:hAnsi="Arial"/>
                <w:sz w:val="18"/>
                <w:szCs w:val="18"/>
                <w:color w:val="4C4C4C"/>
                <w:w w:val="94"/>
              </w:rPr>
              <w:t>2020</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4C4C4C"/>
              </w:rPr>
              <w:t>294,054</w:t>
            </w: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4C4C4C"/>
              </w:rPr>
              <w:t>95,700</w:t>
            </w:r>
          </w:p>
        </w:tc>
        <w:tc>
          <w:tcPr>
            <w:tcW w:w="1060" w:type="dxa"/>
            <w:vAlign w:val="bottom"/>
            <w:vMerge w:val="restart"/>
          </w:tcPr>
          <w:p>
            <w:pPr>
              <w:jc w:val="right"/>
              <w:ind w:right="13"/>
              <w:spacing w:after="0"/>
              <w:rPr>
                <w:sz w:val="20"/>
                <w:szCs w:val="20"/>
                <w:color w:val="auto"/>
              </w:rPr>
            </w:pPr>
            <w:r>
              <w:rPr>
                <w:rFonts w:ascii="Arial" w:cs="Arial" w:eastAsia="Arial" w:hAnsi="Arial"/>
                <w:sz w:val="18"/>
                <w:szCs w:val="18"/>
                <w:color w:val="4C4C4C"/>
              </w:rPr>
              <w:t>$4,963,675</w:t>
            </w:r>
          </w:p>
        </w:tc>
        <w:tc>
          <w:tcPr>
            <w:tcW w:w="1180" w:type="dxa"/>
            <w:vAlign w:val="bottom"/>
            <w:vMerge w:val="restart"/>
          </w:tcPr>
          <w:p>
            <w:pPr>
              <w:jc w:val="right"/>
              <w:ind w:right="233"/>
              <w:spacing w:after="0"/>
              <w:rPr>
                <w:sz w:val="20"/>
                <w:szCs w:val="20"/>
                <w:color w:val="auto"/>
              </w:rPr>
            </w:pPr>
            <w:r>
              <w:rPr>
                <w:rFonts w:ascii="Arial" w:cs="Arial" w:eastAsia="Arial" w:hAnsi="Arial"/>
                <w:sz w:val="18"/>
                <w:szCs w:val="18"/>
                <w:color w:val="4C4C4C"/>
              </w:rPr>
              <w:t>15,660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4C4C4C"/>
              </w:rPr>
              <w:t>5,369,089</w:t>
            </w:r>
          </w:p>
        </w:tc>
        <w:tc>
          <w:tcPr>
            <w:tcW w:w="0" w:type="dxa"/>
            <w:vAlign w:val="bottom"/>
          </w:tcPr>
          <w:p>
            <w:pPr>
              <w:spacing w:after="0"/>
              <w:rPr>
                <w:sz w:val="1"/>
                <w:szCs w:val="1"/>
                <w:color w:val="auto"/>
              </w:rPr>
            </w:pPr>
          </w:p>
        </w:tc>
      </w:tr>
      <w:tr>
        <w:trPr>
          <w:trHeight w:val="142"/>
        </w:trPr>
        <w:tc>
          <w:tcPr>
            <w:tcW w:w="2760" w:type="dxa"/>
            <w:vAlign w:val="bottom"/>
            <w:vMerge w:val="restart"/>
          </w:tcPr>
          <w:p>
            <w:pPr>
              <w:ind w:left="20"/>
              <w:spacing w:after="0"/>
              <w:rPr>
                <w:sz w:val="20"/>
                <w:szCs w:val="20"/>
                <w:color w:val="auto"/>
              </w:rPr>
            </w:pPr>
            <w:r>
              <w:rPr>
                <w:rFonts w:ascii="Arial" w:cs="Arial" w:eastAsia="Arial" w:hAnsi="Arial"/>
                <w:sz w:val="18"/>
                <w:szCs w:val="18"/>
                <w:i w:val="1"/>
                <w:iCs w:val="1"/>
                <w:color w:val="4C4C4C"/>
              </w:rPr>
              <w:t>President</w:t>
            </w:r>
          </w:p>
        </w:tc>
        <w:tc>
          <w:tcPr>
            <w:tcW w:w="48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760" w:type="dxa"/>
            <w:vAlign w:val="bottom"/>
            <w:vMerge w:val="continue"/>
          </w:tcPr>
          <w:p>
            <w:pPr>
              <w:spacing w:after="0"/>
              <w:rPr>
                <w:sz w:val="8"/>
                <w:szCs w:val="8"/>
                <w:color w:val="auto"/>
              </w:rPr>
            </w:pPr>
          </w:p>
        </w:tc>
        <w:tc>
          <w:tcPr>
            <w:tcW w:w="480" w:type="dxa"/>
            <w:vAlign w:val="bottom"/>
            <w:gridSpan w:val="2"/>
            <w:vMerge w:val="restart"/>
          </w:tcPr>
          <w:p>
            <w:pPr>
              <w:jc w:val="center"/>
              <w:ind w:left="10"/>
              <w:spacing w:after="0"/>
              <w:rPr>
                <w:sz w:val="20"/>
                <w:szCs w:val="20"/>
                <w:color w:val="auto"/>
              </w:rPr>
            </w:pPr>
            <w:r>
              <w:rPr>
                <w:rFonts w:ascii="Arial" w:cs="Arial" w:eastAsia="Arial" w:hAnsi="Arial"/>
                <w:sz w:val="18"/>
                <w:szCs w:val="18"/>
                <w:color w:val="4C4C4C"/>
                <w:w w:val="94"/>
              </w:rPr>
              <w:t>2019</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4C4C4C"/>
              </w:rPr>
              <w:t>229,742</w:t>
            </w: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4C4C4C"/>
              </w:rPr>
              <w:t>19,358</w:t>
            </w:r>
          </w:p>
        </w:tc>
        <w:tc>
          <w:tcPr>
            <w:tcW w:w="1060" w:type="dxa"/>
            <w:vAlign w:val="bottom"/>
            <w:vMerge w:val="restart"/>
          </w:tcPr>
          <w:p>
            <w:pPr>
              <w:jc w:val="right"/>
              <w:ind w:right="33"/>
              <w:spacing w:after="0"/>
              <w:rPr>
                <w:sz w:val="20"/>
                <w:szCs w:val="20"/>
                <w:color w:val="auto"/>
              </w:rPr>
            </w:pPr>
            <w:r>
              <w:rPr>
                <w:rFonts w:ascii="Arial" w:cs="Arial" w:eastAsia="Arial" w:hAnsi="Arial"/>
                <w:sz w:val="18"/>
                <w:szCs w:val="18"/>
                <w:color w:val="4C4C4C"/>
              </w:rPr>
              <w:t>325,000</w:t>
            </w:r>
          </w:p>
        </w:tc>
        <w:tc>
          <w:tcPr>
            <w:tcW w:w="1180" w:type="dxa"/>
            <w:vAlign w:val="bottom"/>
            <w:vMerge w:val="restart"/>
          </w:tcPr>
          <w:p>
            <w:pPr>
              <w:jc w:val="right"/>
              <w:ind w:right="233"/>
              <w:spacing w:after="0"/>
              <w:rPr>
                <w:sz w:val="20"/>
                <w:szCs w:val="20"/>
                <w:color w:val="auto"/>
              </w:rPr>
            </w:pPr>
            <w:r>
              <w:rPr>
                <w:rFonts w:ascii="Arial" w:cs="Arial" w:eastAsia="Arial" w:hAnsi="Arial"/>
                <w:sz w:val="18"/>
                <w:szCs w:val="18"/>
                <w:color w:val="4C4C4C"/>
              </w:rPr>
              <w:t>13,920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4C4C4C"/>
              </w:rPr>
              <w:t>588,020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760" w:type="dxa"/>
            <w:vAlign w:val="bottom"/>
            <w:shd w:val="clear" w:color="auto" w:fill="BAE2F8"/>
          </w:tcPr>
          <w:p>
            <w:pPr>
              <w:ind w:left="20"/>
              <w:spacing w:after="0"/>
              <w:rPr>
                <w:sz w:val="20"/>
                <w:szCs w:val="20"/>
                <w:color w:val="auto"/>
              </w:rPr>
            </w:pPr>
            <w:r>
              <w:rPr>
                <w:rFonts w:ascii="Arial" w:cs="Arial" w:eastAsia="Arial" w:hAnsi="Arial"/>
                <w:sz w:val="18"/>
                <w:szCs w:val="18"/>
                <w:color w:val="4C4C4C"/>
              </w:rPr>
              <w:t>Mark McKechnie</w:t>
            </w:r>
          </w:p>
        </w:tc>
        <w:tc>
          <w:tcPr>
            <w:tcW w:w="100" w:type="dxa"/>
            <w:vAlign w:val="bottom"/>
            <w:shd w:val="clear" w:color="auto" w:fill="BAE2F8"/>
          </w:tcPr>
          <w:p>
            <w:pPr>
              <w:spacing w:after="0"/>
              <w:rPr>
                <w:sz w:val="20"/>
                <w:szCs w:val="20"/>
                <w:color w:val="auto"/>
              </w:rPr>
            </w:pPr>
          </w:p>
        </w:tc>
        <w:tc>
          <w:tcPr>
            <w:tcW w:w="380" w:type="dxa"/>
            <w:vAlign w:val="bottom"/>
            <w:shd w:val="clear" w:color="auto" w:fill="BAE2F8"/>
          </w:tcPr>
          <w:p>
            <w:pPr>
              <w:jc w:val="center"/>
              <w:spacing w:after="0"/>
              <w:rPr>
                <w:sz w:val="20"/>
                <w:szCs w:val="20"/>
                <w:color w:val="auto"/>
              </w:rPr>
            </w:pPr>
            <w:r>
              <w:rPr>
                <w:rFonts w:ascii="Arial" w:cs="Arial" w:eastAsia="Arial" w:hAnsi="Arial"/>
                <w:sz w:val="18"/>
                <w:szCs w:val="18"/>
                <w:color w:val="4C4C4C"/>
                <w:w w:val="94"/>
              </w:rPr>
              <w:t>2021</w:t>
            </w:r>
          </w:p>
        </w:tc>
        <w:tc>
          <w:tcPr>
            <w:tcW w:w="1020" w:type="dxa"/>
            <w:vAlign w:val="bottom"/>
            <w:shd w:val="clear" w:color="auto" w:fill="BAE2F8"/>
          </w:tcPr>
          <w:p>
            <w:pPr>
              <w:jc w:val="right"/>
              <w:ind w:right="32"/>
              <w:spacing w:after="0"/>
              <w:rPr>
                <w:sz w:val="20"/>
                <w:szCs w:val="20"/>
                <w:color w:val="auto"/>
              </w:rPr>
            </w:pPr>
            <w:r>
              <w:rPr>
                <w:rFonts w:ascii="Arial" w:cs="Arial" w:eastAsia="Arial" w:hAnsi="Arial"/>
                <w:sz w:val="18"/>
                <w:szCs w:val="18"/>
                <w:color w:val="4C4C4C"/>
              </w:rPr>
              <w:t>242,703</w:t>
            </w:r>
          </w:p>
        </w:tc>
        <w:tc>
          <w:tcPr>
            <w:tcW w:w="920" w:type="dxa"/>
            <w:vAlign w:val="bottom"/>
            <w:shd w:val="clear" w:color="auto" w:fill="BAE2F8"/>
          </w:tcPr>
          <w:p>
            <w:pPr>
              <w:jc w:val="right"/>
              <w:ind w:right="32"/>
              <w:spacing w:after="0"/>
              <w:rPr>
                <w:sz w:val="20"/>
                <w:szCs w:val="20"/>
                <w:color w:val="auto"/>
              </w:rPr>
            </w:pPr>
            <w:r>
              <w:rPr>
                <w:rFonts w:ascii="Arial" w:cs="Arial" w:eastAsia="Arial" w:hAnsi="Arial"/>
                <w:sz w:val="18"/>
                <w:szCs w:val="18"/>
                <w:color w:val="4C4C4C"/>
              </w:rPr>
              <w:t>50,000</w:t>
            </w:r>
          </w:p>
        </w:tc>
        <w:tc>
          <w:tcPr>
            <w:tcW w:w="1060" w:type="dxa"/>
            <w:vAlign w:val="bottom"/>
            <w:shd w:val="clear" w:color="auto" w:fill="BAE2F8"/>
          </w:tcPr>
          <w:p>
            <w:pPr>
              <w:jc w:val="right"/>
              <w:ind w:right="53"/>
              <w:spacing w:after="0"/>
              <w:rPr>
                <w:sz w:val="20"/>
                <w:szCs w:val="20"/>
                <w:color w:val="auto"/>
              </w:rPr>
            </w:pPr>
            <w:r>
              <w:rPr>
                <w:rFonts w:ascii="Arial" w:cs="Arial" w:eastAsia="Arial" w:hAnsi="Arial"/>
                <w:sz w:val="18"/>
                <w:szCs w:val="18"/>
                <w:color w:val="4C4C4C"/>
              </w:rPr>
              <w:t>—</w:t>
            </w:r>
          </w:p>
        </w:tc>
        <w:tc>
          <w:tcPr>
            <w:tcW w:w="1180" w:type="dxa"/>
            <w:vAlign w:val="bottom"/>
            <w:shd w:val="clear" w:color="auto" w:fill="BAE2F8"/>
          </w:tcPr>
          <w:p>
            <w:pPr>
              <w:jc w:val="right"/>
              <w:ind w:right="273"/>
              <w:spacing w:after="0"/>
              <w:rPr>
                <w:sz w:val="20"/>
                <w:szCs w:val="20"/>
                <w:color w:val="auto"/>
              </w:rPr>
            </w:pPr>
            <w:r>
              <w:rPr>
                <w:rFonts w:ascii="Arial" w:cs="Arial" w:eastAsia="Arial" w:hAnsi="Arial"/>
                <w:sz w:val="18"/>
                <w:szCs w:val="18"/>
                <w:color w:val="4C4C4C"/>
              </w:rPr>
              <w:t>—</w:t>
            </w:r>
          </w:p>
        </w:tc>
        <w:tc>
          <w:tcPr>
            <w:tcW w:w="1000" w:type="dxa"/>
            <w:vAlign w:val="bottom"/>
            <w:shd w:val="clear" w:color="auto" w:fill="BAE2F8"/>
          </w:tcPr>
          <w:p>
            <w:pPr>
              <w:jc w:val="right"/>
              <w:spacing w:after="0"/>
              <w:rPr>
                <w:sz w:val="20"/>
                <w:szCs w:val="20"/>
                <w:color w:val="auto"/>
              </w:rPr>
            </w:pPr>
            <w:r>
              <w:rPr>
                <w:rFonts w:ascii="Arial" w:cs="Arial" w:eastAsia="Arial" w:hAnsi="Arial"/>
                <w:sz w:val="18"/>
                <w:szCs w:val="18"/>
                <w:color w:val="4C4C4C"/>
              </w:rPr>
              <w:t>292,703</w:t>
            </w:r>
          </w:p>
        </w:tc>
        <w:tc>
          <w:tcPr>
            <w:tcW w:w="0" w:type="dxa"/>
            <w:vAlign w:val="bottom"/>
          </w:tcPr>
          <w:p>
            <w:pPr>
              <w:spacing w:after="0"/>
              <w:rPr>
                <w:sz w:val="1"/>
                <w:szCs w:val="1"/>
                <w:color w:val="auto"/>
              </w:rPr>
            </w:pPr>
          </w:p>
        </w:tc>
      </w:tr>
      <w:tr>
        <w:trPr>
          <w:trHeight w:val="203"/>
        </w:trPr>
        <w:tc>
          <w:tcPr>
            <w:tcW w:w="2760" w:type="dxa"/>
            <w:vAlign w:val="bottom"/>
            <w:shd w:val="clear" w:color="auto" w:fill="BAE2F8"/>
          </w:tcPr>
          <w:p>
            <w:pPr>
              <w:ind w:left="20"/>
              <w:spacing w:after="0" w:line="202" w:lineRule="exact"/>
              <w:rPr>
                <w:sz w:val="20"/>
                <w:szCs w:val="20"/>
                <w:color w:val="auto"/>
              </w:rPr>
            </w:pPr>
            <w:r>
              <w:rPr>
                <w:rFonts w:ascii="Arial" w:cs="Arial" w:eastAsia="Arial" w:hAnsi="Arial"/>
                <w:sz w:val="18"/>
                <w:szCs w:val="18"/>
                <w:i w:val="1"/>
                <w:iCs w:val="1"/>
                <w:color w:val="4C4C4C"/>
              </w:rPr>
              <w:t>Chief Financial Officer, Treasurer</w:t>
            </w:r>
          </w:p>
        </w:tc>
        <w:tc>
          <w:tcPr>
            <w:tcW w:w="100" w:type="dxa"/>
            <w:vAlign w:val="bottom"/>
            <w:shd w:val="clear" w:color="auto" w:fill="BAE2F8"/>
          </w:tcPr>
          <w:p>
            <w:pPr>
              <w:spacing w:after="0"/>
              <w:rPr>
                <w:sz w:val="17"/>
                <w:szCs w:val="17"/>
                <w:color w:val="auto"/>
              </w:rPr>
            </w:pPr>
          </w:p>
        </w:tc>
        <w:tc>
          <w:tcPr>
            <w:tcW w:w="380" w:type="dxa"/>
            <w:vAlign w:val="bottom"/>
            <w:vMerge w:val="restart"/>
            <w:shd w:val="clear" w:color="auto" w:fill="BAE2F8"/>
          </w:tcPr>
          <w:p>
            <w:pPr>
              <w:jc w:val="center"/>
              <w:spacing w:after="0"/>
              <w:rPr>
                <w:sz w:val="20"/>
                <w:szCs w:val="20"/>
                <w:color w:val="auto"/>
              </w:rPr>
            </w:pPr>
            <w:r>
              <w:rPr>
                <w:rFonts w:ascii="Arial" w:cs="Arial" w:eastAsia="Arial" w:hAnsi="Arial"/>
                <w:sz w:val="18"/>
                <w:szCs w:val="18"/>
                <w:color w:val="4C4C4C"/>
                <w:w w:val="94"/>
              </w:rPr>
              <w:t>2020</w:t>
            </w:r>
          </w:p>
        </w:tc>
        <w:tc>
          <w:tcPr>
            <w:tcW w:w="1020" w:type="dxa"/>
            <w:vAlign w:val="bottom"/>
            <w:vMerge w:val="restart"/>
            <w:shd w:val="clear" w:color="auto" w:fill="BAE2F8"/>
          </w:tcPr>
          <w:p>
            <w:pPr>
              <w:jc w:val="right"/>
              <w:ind w:right="32"/>
              <w:spacing w:after="0"/>
              <w:rPr>
                <w:sz w:val="20"/>
                <w:szCs w:val="20"/>
                <w:color w:val="auto"/>
              </w:rPr>
            </w:pPr>
            <w:r>
              <w:rPr>
                <w:rFonts w:ascii="Arial" w:cs="Arial" w:eastAsia="Arial" w:hAnsi="Arial"/>
                <w:sz w:val="18"/>
                <w:szCs w:val="18"/>
                <w:color w:val="4C4C4C"/>
              </w:rPr>
              <w:t>243,906</w:t>
            </w:r>
          </w:p>
        </w:tc>
        <w:tc>
          <w:tcPr>
            <w:tcW w:w="920" w:type="dxa"/>
            <w:vAlign w:val="bottom"/>
            <w:vMerge w:val="restart"/>
            <w:shd w:val="clear" w:color="auto" w:fill="BAE2F8"/>
          </w:tcPr>
          <w:p>
            <w:pPr>
              <w:jc w:val="right"/>
              <w:ind w:right="52"/>
              <w:spacing w:after="0"/>
              <w:rPr>
                <w:sz w:val="20"/>
                <w:szCs w:val="20"/>
                <w:color w:val="auto"/>
              </w:rPr>
            </w:pPr>
            <w:r>
              <w:rPr>
                <w:rFonts w:ascii="Arial" w:cs="Arial" w:eastAsia="Arial" w:hAnsi="Arial"/>
                <w:sz w:val="18"/>
                <w:szCs w:val="18"/>
                <w:color w:val="4C4C4C"/>
              </w:rPr>
              <w:t>—</w:t>
            </w:r>
          </w:p>
        </w:tc>
        <w:tc>
          <w:tcPr>
            <w:tcW w:w="1060" w:type="dxa"/>
            <w:vAlign w:val="bottom"/>
            <w:vMerge w:val="restart"/>
            <w:shd w:val="clear" w:color="auto" w:fill="BAE2F8"/>
          </w:tcPr>
          <w:p>
            <w:pPr>
              <w:jc w:val="right"/>
              <w:ind w:right="53"/>
              <w:spacing w:after="0"/>
              <w:rPr>
                <w:sz w:val="20"/>
                <w:szCs w:val="20"/>
                <w:color w:val="auto"/>
              </w:rPr>
            </w:pPr>
            <w:r>
              <w:rPr>
                <w:rFonts w:ascii="Arial" w:cs="Arial" w:eastAsia="Arial" w:hAnsi="Arial"/>
                <w:sz w:val="18"/>
                <w:szCs w:val="18"/>
                <w:color w:val="4C4C4C"/>
              </w:rPr>
              <w:t>—</w:t>
            </w:r>
          </w:p>
        </w:tc>
        <w:tc>
          <w:tcPr>
            <w:tcW w:w="1180" w:type="dxa"/>
            <w:vAlign w:val="bottom"/>
            <w:vMerge w:val="restart"/>
            <w:shd w:val="clear" w:color="auto" w:fill="BAE2F8"/>
          </w:tcPr>
          <w:p>
            <w:pPr>
              <w:jc w:val="right"/>
              <w:ind w:right="273"/>
              <w:spacing w:after="0"/>
              <w:rPr>
                <w:sz w:val="20"/>
                <w:szCs w:val="20"/>
                <w:color w:val="auto"/>
              </w:rPr>
            </w:pPr>
            <w:r>
              <w:rPr>
                <w:rFonts w:ascii="Arial" w:cs="Arial" w:eastAsia="Arial" w:hAnsi="Arial"/>
                <w:sz w:val="18"/>
                <w:szCs w:val="18"/>
                <w:color w:val="4C4C4C"/>
              </w:rPr>
              <w:t>—</w:t>
            </w:r>
          </w:p>
        </w:tc>
        <w:tc>
          <w:tcPr>
            <w:tcW w:w="1000" w:type="dxa"/>
            <w:vAlign w:val="bottom"/>
            <w:vMerge w:val="restart"/>
            <w:shd w:val="clear" w:color="auto" w:fill="BAE2F8"/>
          </w:tcPr>
          <w:p>
            <w:pPr>
              <w:jc w:val="right"/>
              <w:spacing w:after="0"/>
              <w:rPr>
                <w:sz w:val="20"/>
                <w:szCs w:val="20"/>
                <w:color w:val="auto"/>
              </w:rPr>
            </w:pPr>
            <w:r>
              <w:rPr>
                <w:rFonts w:ascii="Arial" w:cs="Arial" w:eastAsia="Arial" w:hAnsi="Arial"/>
                <w:sz w:val="18"/>
                <w:szCs w:val="18"/>
                <w:color w:val="4C4C4C"/>
              </w:rPr>
              <w:t>243,906</w:t>
            </w:r>
          </w:p>
        </w:tc>
        <w:tc>
          <w:tcPr>
            <w:tcW w:w="0" w:type="dxa"/>
            <w:vAlign w:val="bottom"/>
          </w:tcPr>
          <w:p>
            <w:pPr>
              <w:spacing w:after="0"/>
              <w:rPr>
                <w:sz w:val="1"/>
                <w:szCs w:val="1"/>
                <w:color w:val="auto"/>
              </w:rPr>
            </w:pPr>
          </w:p>
        </w:tc>
      </w:tr>
      <w:tr>
        <w:trPr>
          <w:trHeight w:val="142"/>
        </w:trPr>
        <w:tc>
          <w:tcPr>
            <w:tcW w:w="2760" w:type="dxa"/>
            <w:vAlign w:val="bottom"/>
            <w:vMerge w:val="restart"/>
            <w:shd w:val="clear" w:color="auto" w:fill="BAE2F8"/>
          </w:tcPr>
          <w:p>
            <w:pPr>
              <w:ind w:left="20"/>
              <w:spacing w:after="0"/>
              <w:rPr>
                <w:sz w:val="20"/>
                <w:szCs w:val="20"/>
                <w:color w:val="auto"/>
              </w:rPr>
            </w:pPr>
            <w:r>
              <w:rPr>
                <w:rFonts w:ascii="Arial" w:cs="Arial" w:eastAsia="Arial" w:hAnsi="Arial"/>
                <w:sz w:val="18"/>
                <w:szCs w:val="18"/>
                <w:i w:val="1"/>
                <w:iCs w:val="1"/>
                <w:color w:val="4C4C4C"/>
              </w:rPr>
              <w:t>and Secretary</w:t>
            </w:r>
          </w:p>
        </w:tc>
        <w:tc>
          <w:tcPr>
            <w:tcW w:w="100" w:type="dxa"/>
            <w:vAlign w:val="bottom"/>
            <w:shd w:val="clear" w:color="auto" w:fill="BAE2F8"/>
          </w:tcPr>
          <w:p>
            <w:pPr>
              <w:spacing w:after="0"/>
              <w:rPr>
                <w:sz w:val="12"/>
                <w:szCs w:val="12"/>
                <w:color w:val="auto"/>
              </w:rPr>
            </w:pPr>
          </w:p>
        </w:tc>
        <w:tc>
          <w:tcPr>
            <w:tcW w:w="380" w:type="dxa"/>
            <w:vAlign w:val="bottom"/>
            <w:vMerge w:val="continue"/>
            <w:shd w:val="clear" w:color="auto" w:fill="BAE2F8"/>
          </w:tcPr>
          <w:p>
            <w:pPr>
              <w:spacing w:after="0"/>
              <w:rPr>
                <w:sz w:val="12"/>
                <w:szCs w:val="12"/>
                <w:color w:val="auto"/>
              </w:rPr>
            </w:pPr>
          </w:p>
        </w:tc>
        <w:tc>
          <w:tcPr>
            <w:tcW w:w="1020" w:type="dxa"/>
            <w:vAlign w:val="bottom"/>
            <w:vMerge w:val="continue"/>
            <w:shd w:val="clear" w:color="auto" w:fill="BAE2F8"/>
          </w:tcPr>
          <w:p>
            <w:pPr>
              <w:spacing w:after="0"/>
              <w:rPr>
                <w:sz w:val="12"/>
                <w:szCs w:val="12"/>
                <w:color w:val="auto"/>
              </w:rPr>
            </w:pPr>
          </w:p>
        </w:tc>
        <w:tc>
          <w:tcPr>
            <w:tcW w:w="920" w:type="dxa"/>
            <w:vAlign w:val="bottom"/>
            <w:vMerge w:val="continue"/>
            <w:shd w:val="clear" w:color="auto" w:fill="BAE2F8"/>
          </w:tcPr>
          <w:p>
            <w:pPr>
              <w:spacing w:after="0"/>
              <w:rPr>
                <w:sz w:val="12"/>
                <w:szCs w:val="12"/>
                <w:color w:val="auto"/>
              </w:rPr>
            </w:pPr>
          </w:p>
        </w:tc>
        <w:tc>
          <w:tcPr>
            <w:tcW w:w="1060" w:type="dxa"/>
            <w:vAlign w:val="bottom"/>
            <w:vMerge w:val="continue"/>
            <w:shd w:val="clear" w:color="auto" w:fill="BAE2F8"/>
          </w:tcPr>
          <w:p>
            <w:pPr>
              <w:spacing w:after="0"/>
              <w:rPr>
                <w:sz w:val="12"/>
                <w:szCs w:val="12"/>
                <w:color w:val="auto"/>
              </w:rPr>
            </w:pPr>
          </w:p>
        </w:tc>
        <w:tc>
          <w:tcPr>
            <w:tcW w:w="1180" w:type="dxa"/>
            <w:vAlign w:val="bottom"/>
            <w:vMerge w:val="continue"/>
            <w:shd w:val="clear" w:color="auto" w:fill="BAE2F8"/>
          </w:tcPr>
          <w:p>
            <w:pPr>
              <w:spacing w:after="0"/>
              <w:rPr>
                <w:sz w:val="12"/>
                <w:szCs w:val="12"/>
                <w:color w:val="auto"/>
              </w:rPr>
            </w:pPr>
          </w:p>
        </w:tc>
        <w:tc>
          <w:tcPr>
            <w:tcW w:w="1000" w:type="dxa"/>
            <w:vAlign w:val="bottom"/>
            <w:vMerge w:val="continue"/>
            <w:shd w:val="clear" w:color="auto" w:fill="BAE2F8"/>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760" w:type="dxa"/>
            <w:vAlign w:val="bottom"/>
            <w:vMerge w:val="continue"/>
            <w:shd w:val="clear" w:color="auto" w:fill="BAE2F8"/>
          </w:tcPr>
          <w:p>
            <w:pPr>
              <w:spacing w:after="0"/>
              <w:rPr>
                <w:sz w:val="8"/>
                <w:szCs w:val="8"/>
                <w:color w:val="auto"/>
              </w:rPr>
            </w:pPr>
          </w:p>
        </w:tc>
        <w:tc>
          <w:tcPr>
            <w:tcW w:w="100" w:type="dxa"/>
            <w:vAlign w:val="bottom"/>
            <w:shd w:val="clear" w:color="auto" w:fill="BAE2F8"/>
          </w:tcPr>
          <w:p>
            <w:pPr>
              <w:spacing w:after="0"/>
              <w:rPr>
                <w:sz w:val="8"/>
                <w:szCs w:val="8"/>
                <w:color w:val="auto"/>
              </w:rPr>
            </w:pPr>
          </w:p>
        </w:tc>
        <w:tc>
          <w:tcPr>
            <w:tcW w:w="380" w:type="dxa"/>
            <w:vAlign w:val="bottom"/>
            <w:vMerge w:val="restart"/>
            <w:shd w:val="clear" w:color="auto" w:fill="BAE2F8"/>
          </w:tcPr>
          <w:p>
            <w:pPr>
              <w:jc w:val="center"/>
              <w:spacing w:after="0"/>
              <w:rPr>
                <w:sz w:val="20"/>
                <w:szCs w:val="20"/>
                <w:color w:val="auto"/>
              </w:rPr>
            </w:pPr>
            <w:r>
              <w:rPr>
                <w:rFonts w:ascii="Arial" w:cs="Arial" w:eastAsia="Arial" w:hAnsi="Arial"/>
                <w:sz w:val="18"/>
                <w:szCs w:val="18"/>
                <w:color w:val="4C4C4C"/>
                <w:w w:val="94"/>
              </w:rPr>
              <w:t>2019</w:t>
            </w:r>
          </w:p>
        </w:tc>
        <w:tc>
          <w:tcPr>
            <w:tcW w:w="1020" w:type="dxa"/>
            <w:vAlign w:val="bottom"/>
            <w:vMerge w:val="restart"/>
            <w:shd w:val="clear" w:color="auto" w:fill="BAE2F8"/>
          </w:tcPr>
          <w:p>
            <w:pPr>
              <w:jc w:val="right"/>
              <w:ind w:right="32"/>
              <w:spacing w:after="0"/>
              <w:rPr>
                <w:sz w:val="20"/>
                <w:szCs w:val="20"/>
                <w:color w:val="auto"/>
              </w:rPr>
            </w:pPr>
            <w:r>
              <w:rPr>
                <w:rFonts w:ascii="Arial" w:cs="Arial" w:eastAsia="Arial" w:hAnsi="Arial"/>
                <w:sz w:val="18"/>
                <w:szCs w:val="18"/>
                <w:color w:val="4C4C4C"/>
              </w:rPr>
              <w:t>232,424</w:t>
            </w:r>
          </w:p>
        </w:tc>
        <w:tc>
          <w:tcPr>
            <w:tcW w:w="920" w:type="dxa"/>
            <w:vAlign w:val="bottom"/>
            <w:vMerge w:val="restart"/>
            <w:shd w:val="clear" w:color="auto" w:fill="BAE2F8"/>
          </w:tcPr>
          <w:p>
            <w:pPr>
              <w:jc w:val="right"/>
              <w:ind w:right="32"/>
              <w:spacing w:after="0"/>
              <w:rPr>
                <w:sz w:val="20"/>
                <w:szCs w:val="20"/>
                <w:color w:val="auto"/>
              </w:rPr>
            </w:pPr>
            <w:r>
              <w:rPr>
                <w:rFonts w:ascii="Arial" w:cs="Arial" w:eastAsia="Arial" w:hAnsi="Arial"/>
                <w:sz w:val="18"/>
                <w:szCs w:val="18"/>
                <w:color w:val="4C4C4C"/>
              </w:rPr>
              <w:t>129,327</w:t>
            </w:r>
          </w:p>
        </w:tc>
        <w:tc>
          <w:tcPr>
            <w:tcW w:w="1060" w:type="dxa"/>
            <w:vAlign w:val="bottom"/>
            <w:vMerge w:val="restart"/>
            <w:shd w:val="clear" w:color="auto" w:fill="BAE2F8"/>
          </w:tcPr>
          <w:p>
            <w:pPr>
              <w:jc w:val="right"/>
              <w:ind w:right="33"/>
              <w:spacing w:after="0"/>
              <w:rPr>
                <w:sz w:val="20"/>
                <w:szCs w:val="20"/>
                <w:color w:val="auto"/>
              </w:rPr>
            </w:pPr>
            <w:r>
              <w:rPr>
                <w:rFonts w:ascii="Arial" w:cs="Arial" w:eastAsia="Arial" w:hAnsi="Arial"/>
                <w:sz w:val="18"/>
                <w:szCs w:val="18"/>
                <w:color w:val="4C4C4C"/>
              </w:rPr>
              <w:t>299,400</w:t>
            </w:r>
          </w:p>
        </w:tc>
        <w:tc>
          <w:tcPr>
            <w:tcW w:w="1180" w:type="dxa"/>
            <w:vAlign w:val="bottom"/>
            <w:vMerge w:val="restart"/>
            <w:shd w:val="clear" w:color="auto" w:fill="BAE2F8"/>
          </w:tcPr>
          <w:p>
            <w:pPr>
              <w:jc w:val="right"/>
              <w:ind w:right="233"/>
              <w:spacing w:after="0"/>
              <w:rPr>
                <w:sz w:val="20"/>
                <w:szCs w:val="20"/>
                <w:color w:val="auto"/>
              </w:rPr>
            </w:pPr>
            <w:r>
              <w:rPr>
                <w:rFonts w:ascii="Arial" w:cs="Arial" w:eastAsia="Arial" w:hAnsi="Arial"/>
                <w:sz w:val="18"/>
                <w:szCs w:val="18"/>
                <w:color w:val="4C4C4C"/>
              </w:rPr>
              <w:t>13,920</w:t>
            </w:r>
          </w:p>
        </w:tc>
        <w:tc>
          <w:tcPr>
            <w:tcW w:w="1000" w:type="dxa"/>
            <w:vAlign w:val="bottom"/>
            <w:vMerge w:val="restart"/>
            <w:shd w:val="clear" w:color="auto" w:fill="BAE2F8"/>
          </w:tcPr>
          <w:p>
            <w:pPr>
              <w:jc w:val="right"/>
              <w:spacing w:after="0"/>
              <w:rPr>
                <w:sz w:val="20"/>
                <w:szCs w:val="20"/>
                <w:color w:val="auto"/>
              </w:rPr>
            </w:pPr>
            <w:r>
              <w:rPr>
                <w:rFonts w:ascii="Arial" w:cs="Arial" w:eastAsia="Arial" w:hAnsi="Arial"/>
                <w:sz w:val="18"/>
                <w:szCs w:val="18"/>
                <w:color w:val="4C4C4C"/>
              </w:rPr>
              <w:t>675,071</w:t>
            </w:r>
          </w:p>
        </w:tc>
        <w:tc>
          <w:tcPr>
            <w:tcW w:w="0" w:type="dxa"/>
            <w:vAlign w:val="bottom"/>
          </w:tcPr>
          <w:p>
            <w:pPr>
              <w:spacing w:after="0"/>
              <w:rPr>
                <w:sz w:val="1"/>
                <w:szCs w:val="1"/>
                <w:color w:val="auto"/>
              </w:rPr>
            </w:pPr>
          </w:p>
        </w:tc>
      </w:tr>
      <w:tr>
        <w:trPr>
          <w:trHeight w:val="232"/>
        </w:trPr>
        <w:tc>
          <w:tcPr>
            <w:tcW w:w="2760" w:type="dxa"/>
            <w:vAlign w:val="bottom"/>
            <w:tcBorders>
              <w:bottom w:val="single" w:sz="8" w:color="BAE2F8"/>
            </w:tcBorders>
            <w:shd w:val="clear" w:color="auto" w:fill="BAE2F8"/>
          </w:tcPr>
          <w:p>
            <w:pPr>
              <w:spacing w:after="0"/>
              <w:rPr>
                <w:sz w:val="20"/>
                <w:szCs w:val="20"/>
                <w:color w:val="auto"/>
              </w:rPr>
            </w:pPr>
          </w:p>
        </w:tc>
        <w:tc>
          <w:tcPr>
            <w:tcW w:w="100" w:type="dxa"/>
            <w:vAlign w:val="bottom"/>
            <w:tcBorders>
              <w:bottom w:val="single" w:sz="8" w:color="BAE2F8"/>
            </w:tcBorders>
            <w:shd w:val="clear" w:color="auto" w:fill="BAE2F8"/>
          </w:tcPr>
          <w:p>
            <w:pPr>
              <w:spacing w:after="0"/>
              <w:rPr>
                <w:sz w:val="20"/>
                <w:szCs w:val="20"/>
                <w:color w:val="auto"/>
              </w:rPr>
            </w:pPr>
          </w:p>
        </w:tc>
        <w:tc>
          <w:tcPr>
            <w:tcW w:w="380" w:type="dxa"/>
            <w:vAlign w:val="bottom"/>
            <w:tcBorders>
              <w:bottom w:val="single" w:sz="8" w:color="BAE2F8"/>
            </w:tcBorders>
            <w:vMerge w:val="continue"/>
            <w:shd w:val="clear" w:color="auto" w:fill="BAE2F8"/>
          </w:tcPr>
          <w:p>
            <w:pPr>
              <w:spacing w:after="0"/>
              <w:rPr>
                <w:sz w:val="20"/>
                <w:szCs w:val="20"/>
                <w:color w:val="auto"/>
              </w:rPr>
            </w:pPr>
          </w:p>
        </w:tc>
        <w:tc>
          <w:tcPr>
            <w:tcW w:w="1020" w:type="dxa"/>
            <w:vAlign w:val="bottom"/>
            <w:tcBorders>
              <w:bottom w:val="single" w:sz="8" w:color="BAE2F8"/>
            </w:tcBorders>
            <w:vMerge w:val="continue"/>
            <w:shd w:val="clear" w:color="auto" w:fill="BAE2F8"/>
          </w:tcPr>
          <w:p>
            <w:pPr>
              <w:spacing w:after="0"/>
              <w:rPr>
                <w:sz w:val="20"/>
                <w:szCs w:val="20"/>
                <w:color w:val="auto"/>
              </w:rPr>
            </w:pPr>
          </w:p>
        </w:tc>
        <w:tc>
          <w:tcPr>
            <w:tcW w:w="920" w:type="dxa"/>
            <w:vAlign w:val="bottom"/>
            <w:tcBorders>
              <w:bottom w:val="single" w:sz="8" w:color="BAE2F8"/>
            </w:tcBorders>
            <w:vMerge w:val="continue"/>
            <w:shd w:val="clear" w:color="auto" w:fill="BAE2F8"/>
          </w:tcPr>
          <w:p>
            <w:pPr>
              <w:spacing w:after="0"/>
              <w:rPr>
                <w:sz w:val="20"/>
                <w:szCs w:val="20"/>
                <w:color w:val="auto"/>
              </w:rPr>
            </w:pPr>
          </w:p>
        </w:tc>
        <w:tc>
          <w:tcPr>
            <w:tcW w:w="1060" w:type="dxa"/>
            <w:vAlign w:val="bottom"/>
            <w:tcBorders>
              <w:bottom w:val="single" w:sz="8" w:color="BAE2F8"/>
            </w:tcBorders>
            <w:vMerge w:val="continue"/>
            <w:shd w:val="clear" w:color="auto" w:fill="BAE2F8"/>
          </w:tcPr>
          <w:p>
            <w:pPr>
              <w:spacing w:after="0"/>
              <w:rPr>
                <w:sz w:val="20"/>
                <w:szCs w:val="20"/>
                <w:color w:val="auto"/>
              </w:rPr>
            </w:pPr>
          </w:p>
        </w:tc>
        <w:tc>
          <w:tcPr>
            <w:tcW w:w="1180" w:type="dxa"/>
            <w:vAlign w:val="bottom"/>
            <w:tcBorders>
              <w:bottom w:val="single" w:sz="8" w:color="BAE2F8"/>
            </w:tcBorders>
            <w:vMerge w:val="continue"/>
            <w:shd w:val="clear" w:color="auto" w:fill="BAE2F8"/>
          </w:tcPr>
          <w:p>
            <w:pPr>
              <w:spacing w:after="0"/>
              <w:rPr>
                <w:sz w:val="20"/>
                <w:szCs w:val="20"/>
                <w:color w:val="auto"/>
              </w:rPr>
            </w:pPr>
          </w:p>
        </w:tc>
        <w:tc>
          <w:tcPr>
            <w:tcW w:w="1000" w:type="dxa"/>
            <w:vAlign w:val="bottom"/>
            <w:tcBorders>
              <w:bottom w:val="single" w:sz="8" w:color="BAE2F8"/>
            </w:tcBorders>
            <w:vMerge w:val="continue"/>
            <w:shd w:val="clear" w:color="auto" w:fill="BAE2F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4C4C4C"/>
              </w:rPr>
              <w:t>Jian Wang</w:t>
            </w:r>
          </w:p>
        </w:tc>
        <w:tc>
          <w:tcPr>
            <w:tcW w:w="480" w:type="dxa"/>
            <w:vAlign w:val="bottom"/>
            <w:gridSpan w:val="2"/>
          </w:tcPr>
          <w:p>
            <w:pPr>
              <w:jc w:val="center"/>
              <w:ind w:left="10"/>
              <w:spacing w:after="0"/>
              <w:rPr>
                <w:sz w:val="20"/>
                <w:szCs w:val="20"/>
                <w:color w:val="auto"/>
              </w:rPr>
            </w:pPr>
            <w:r>
              <w:rPr>
                <w:rFonts w:ascii="Arial" w:cs="Arial" w:eastAsia="Arial" w:hAnsi="Arial"/>
                <w:sz w:val="18"/>
                <w:szCs w:val="18"/>
                <w:color w:val="4C4C4C"/>
                <w:w w:val="94"/>
              </w:rPr>
              <w:t>2021</w:t>
            </w:r>
          </w:p>
        </w:tc>
        <w:tc>
          <w:tcPr>
            <w:tcW w:w="1020" w:type="dxa"/>
            <w:vAlign w:val="bottom"/>
          </w:tcPr>
          <w:p>
            <w:pPr>
              <w:jc w:val="right"/>
              <w:ind w:right="32"/>
              <w:spacing w:after="0"/>
              <w:rPr>
                <w:sz w:val="20"/>
                <w:szCs w:val="20"/>
                <w:color w:val="auto"/>
              </w:rPr>
            </w:pPr>
            <w:r>
              <w:rPr>
                <w:rFonts w:ascii="Arial" w:cs="Arial" w:eastAsia="Arial" w:hAnsi="Arial"/>
                <w:sz w:val="18"/>
                <w:szCs w:val="18"/>
                <w:color w:val="4C4C4C"/>
              </w:rPr>
              <w:t>120,094</w:t>
            </w:r>
          </w:p>
        </w:tc>
        <w:tc>
          <w:tcPr>
            <w:tcW w:w="920" w:type="dxa"/>
            <w:vAlign w:val="bottom"/>
          </w:tcPr>
          <w:p>
            <w:pPr>
              <w:jc w:val="right"/>
              <w:ind w:right="32"/>
              <w:spacing w:after="0"/>
              <w:rPr>
                <w:sz w:val="20"/>
                <w:szCs w:val="20"/>
                <w:color w:val="auto"/>
              </w:rPr>
            </w:pPr>
            <w:r>
              <w:rPr>
                <w:rFonts w:ascii="Arial" w:cs="Arial" w:eastAsia="Arial" w:hAnsi="Arial"/>
                <w:sz w:val="18"/>
                <w:szCs w:val="18"/>
                <w:color w:val="4C4C4C"/>
              </w:rPr>
              <w:t>108,500</w:t>
            </w:r>
          </w:p>
        </w:tc>
        <w:tc>
          <w:tcPr>
            <w:tcW w:w="1060" w:type="dxa"/>
            <w:vAlign w:val="bottom"/>
          </w:tcPr>
          <w:p>
            <w:pPr>
              <w:jc w:val="right"/>
              <w:ind w:right="53"/>
              <w:spacing w:after="0"/>
              <w:rPr>
                <w:sz w:val="20"/>
                <w:szCs w:val="20"/>
                <w:color w:val="auto"/>
              </w:rPr>
            </w:pPr>
            <w:r>
              <w:rPr>
                <w:rFonts w:ascii="Arial" w:cs="Arial" w:eastAsia="Arial" w:hAnsi="Arial"/>
                <w:sz w:val="18"/>
                <w:szCs w:val="18"/>
                <w:color w:val="4C4C4C"/>
              </w:rPr>
              <w:t>—</w:t>
            </w:r>
          </w:p>
        </w:tc>
        <w:tc>
          <w:tcPr>
            <w:tcW w:w="1180" w:type="dxa"/>
            <w:vAlign w:val="bottom"/>
          </w:tcPr>
          <w:p>
            <w:pPr>
              <w:jc w:val="right"/>
              <w:ind w:right="253"/>
              <w:spacing w:after="0"/>
              <w:rPr>
                <w:sz w:val="20"/>
                <w:szCs w:val="20"/>
                <w:color w:val="auto"/>
              </w:rPr>
            </w:pPr>
            <w:r>
              <w:rPr>
                <w:rFonts w:ascii="Arial" w:cs="Arial" w:eastAsia="Arial" w:hAnsi="Arial"/>
                <w:sz w:val="18"/>
                <w:szCs w:val="18"/>
                <w:color w:val="4C4C4C"/>
              </w:rPr>
              <w:t>3,583</w:t>
            </w:r>
          </w:p>
        </w:tc>
        <w:tc>
          <w:tcPr>
            <w:tcW w:w="1000" w:type="dxa"/>
            <w:vAlign w:val="bottom"/>
          </w:tcPr>
          <w:p>
            <w:pPr>
              <w:jc w:val="right"/>
              <w:spacing w:after="0"/>
              <w:rPr>
                <w:sz w:val="20"/>
                <w:szCs w:val="20"/>
                <w:color w:val="auto"/>
              </w:rPr>
            </w:pPr>
            <w:r>
              <w:rPr>
                <w:rFonts w:ascii="Arial" w:cs="Arial" w:eastAsia="Arial" w:hAnsi="Arial"/>
                <w:sz w:val="18"/>
                <w:szCs w:val="18"/>
                <w:color w:val="4C4C4C"/>
              </w:rPr>
              <w:t>232,177</w:t>
            </w:r>
          </w:p>
        </w:tc>
        <w:tc>
          <w:tcPr>
            <w:tcW w:w="0" w:type="dxa"/>
            <w:vAlign w:val="bottom"/>
          </w:tcPr>
          <w:p>
            <w:pPr>
              <w:spacing w:after="0"/>
              <w:rPr>
                <w:sz w:val="1"/>
                <w:szCs w:val="1"/>
                <w:color w:val="auto"/>
              </w:rPr>
            </w:pPr>
          </w:p>
        </w:tc>
      </w:tr>
      <w:tr>
        <w:trPr>
          <w:trHeight w:val="226"/>
        </w:trPr>
        <w:tc>
          <w:tcPr>
            <w:tcW w:w="2760" w:type="dxa"/>
            <w:vAlign w:val="bottom"/>
          </w:tcPr>
          <w:p>
            <w:pPr>
              <w:ind w:left="20"/>
              <w:spacing w:after="0"/>
              <w:rPr>
                <w:sz w:val="20"/>
                <w:szCs w:val="20"/>
                <w:color w:val="auto"/>
              </w:rPr>
            </w:pPr>
            <w:r>
              <w:rPr>
                <w:rFonts w:ascii="Arial" w:cs="Arial" w:eastAsia="Arial" w:hAnsi="Arial"/>
                <w:sz w:val="18"/>
                <w:szCs w:val="18"/>
                <w:i w:val="1"/>
                <w:iCs w:val="1"/>
                <w:color w:val="4C4C4C"/>
              </w:rPr>
              <w:t>Chief Executive Oﬃcer and</w:t>
            </w:r>
          </w:p>
        </w:tc>
        <w:tc>
          <w:tcPr>
            <w:tcW w:w="480" w:type="dxa"/>
            <w:vAlign w:val="bottom"/>
            <w:gridSpan w:val="2"/>
            <w:vMerge w:val="restart"/>
          </w:tcPr>
          <w:p>
            <w:pPr>
              <w:jc w:val="center"/>
              <w:ind w:left="10"/>
              <w:spacing w:after="0"/>
              <w:rPr>
                <w:sz w:val="20"/>
                <w:szCs w:val="20"/>
                <w:color w:val="auto"/>
              </w:rPr>
            </w:pPr>
            <w:r>
              <w:rPr>
                <w:rFonts w:ascii="Arial" w:cs="Arial" w:eastAsia="Arial" w:hAnsi="Arial"/>
                <w:sz w:val="18"/>
                <w:szCs w:val="18"/>
                <w:color w:val="4C4C4C"/>
                <w:w w:val="94"/>
              </w:rPr>
              <w:t>2020</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4C4C4C"/>
              </w:rPr>
              <w:t>162,492</w:t>
            </w: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4C4C4C"/>
              </w:rPr>
              <w:t>55,100</w:t>
            </w:r>
          </w:p>
        </w:tc>
        <w:tc>
          <w:tcPr>
            <w:tcW w:w="1060" w:type="dxa"/>
            <w:vAlign w:val="bottom"/>
            <w:vMerge w:val="restart"/>
          </w:tcPr>
          <w:p>
            <w:pPr>
              <w:jc w:val="right"/>
              <w:ind w:right="33"/>
              <w:spacing w:after="0"/>
              <w:rPr>
                <w:sz w:val="20"/>
                <w:szCs w:val="20"/>
                <w:color w:val="auto"/>
              </w:rPr>
            </w:pPr>
            <w:r>
              <w:rPr>
                <w:rFonts w:ascii="Arial" w:cs="Arial" w:eastAsia="Arial" w:hAnsi="Arial"/>
                <w:sz w:val="18"/>
                <w:szCs w:val="18"/>
                <w:color w:val="4C4C4C"/>
              </w:rPr>
              <w:t>67,728</w:t>
            </w:r>
          </w:p>
        </w:tc>
        <w:tc>
          <w:tcPr>
            <w:tcW w:w="1180" w:type="dxa"/>
            <w:vAlign w:val="bottom"/>
            <w:vMerge w:val="restart"/>
          </w:tcPr>
          <w:p>
            <w:pPr>
              <w:jc w:val="right"/>
              <w:ind w:right="233"/>
              <w:spacing w:after="0"/>
              <w:rPr>
                <w:sz w:val="20"/>
                <w:szCs w:val="20"/>
                <w:color w:val="auto"/>
              </w:rPr>
            </w:pPr>
            <w:r>
              <w:rPr>
                <w:rFonts w:ascii="Arial" w:cs="Arial" w:eastAsia="Arial" w:hAnsi="Arial"/>
                <w:sz w:val="18"/>
                <w:szCs w:val="18"/>
                <w:color w:val="4C4C4C"/>
              </w:rPr>
              <w:t>15,660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4C4C4C"/>
              </w:rPr>
              <w:t>300,980</w:t>
            </w:r>
          </w:p>
        </w:tc>
        <w:tc>
          <w:tcPr>
            <w:tcW w:w="0" w:type="dxa"/>
            <w:vAlign w:val="bottom"/>
          </w:tcPr>
          <w:p>
            <w:pPr>
              <w:spacing w:after="0"/>
              <w:rPr>
                <w:sz w:val="1"/>
                <w:szCs w:val="1"/>
                <w:color w:val="auto"/>
              </w:rPr>
            </w:pPr>
          </w:p>
        </w:tc>
      </w:tr>
      <w:tr>
        <w:trPr>
          <w:trHeight w:val="142"/>
        </w:trPr>
        <w:tc>
          <w:tcPr>
            <w:tcW w:w="2760" w:type="dxa"/>
            <w:vAlign w:val="bottom"/>
            <w:vMerge w:val="restart"/>
          </w:tcPr>
          <w:p>
            <w:pPr>
              <w:ind w:left="20"/>
              <w:spacing w:after="0" w:line="202" w:lineRule="exact"/>
              <w:rPr>
                <w:sz w:val="20"/>
                <w:szCs w:val="20"/>
                <w:color w:val="auto"/>
              </w:rPr>
            </w:pPr>
            <w:r>
              <w:rPr>
                <w:rFonts w:ascii="Arial" w:cs="Arial" w:eastAsia="Arial" w:hAnsi="Arial"/>
                <w:sz w:val="18"/>
                <w:szCs w:val="18"/>
                <w:i w:val="1"/>
                <w:iCs w:val="1"/>
                <w:color w:val="4C4C4C"/>
              </w:rPr>
              <w:t>President, ACM Research</w:t>
            </w:r>
          </w:p>
        </w:tc>
        <w:tc>
          <w:tcPr>
            <w:tcW w:w="48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Arial" w:cs="Arial" w:eastAsia="Arial" w:hAnsi="Arial"/>
                <w:sz w:val="18"/>
                <w:szCs w:val="18"/>
                <w:i w:val="1"/>
                <w:iCs w:val="1"/>
                <w:color w:val="4C4C4C"/>
              </w:rPr>
              <w:t>(Shanghai), Inc.</w:t>
            </w:r>
          </w:p>
        </w:tc>
        <w:tc>
          <w:tcPr>
            <w:tcW w:w="480" w:type="dxa"/>
            <w:vAlign w:val="bottom"/>
            <w:gridSpan w:val="2"/>
          </w:tcPr>
          <w:p>
            <w:pPr>
              <w:jc w:val="center"/>
              <w:ind w:left="10"/>
              <w:spacing w:after="0"/>
              <w:rPr>
                <w:sz w:val="20"/>
                <w:szCs w:val="20"/>
                <w:color w:val="auto"/>
              </w:rPr>
            </w:pPr>
            <w:r>
              <w:rPr>
                <w:rFonts w:ascii="Arial" w:cs="Arial" w:eastAsia="Arial" w:hAnsi="Arial"/>
                <w:sz w:val="18"/>
                <w:szCs w:val="18"/>
                <w:color w:val="4C4C4C"/>
                <w:w w:val="94"/>
              </w:rPr>
              <w:t>2019</w:t>
            </w:r>
          </w:p>
        </w:tc>
        <w:tc>
          <w:tcPr>
            <w:tcW w:w="1020" w:type="dxa"/>
            <w:vAlign w:val="bottom"/>
          </w:tcPr>
          <w:p>
            <w:pPr>
              <w:jc w:val="right"/>
              <w:ind w:right="32"/>
              <w:spacing w:after="0"/>
              <w:rPr>
                <w:sz w:val="20"/>
                <w:szCs w:val="20"/>
                <w:color w:val="auto"/>
              </w:rPr>
            </w:pPr>
            <w:r>
              <w:rPr>
                <w:rFonts w:ascii="Arial" w:cs="Arial" w:eastAsia="Arial" w:hAnsi="Arial"/>
                <w:sz w:val="18"/>
                <w:szCs w:val="18"/>
                <w:color w:val="4C4C4C"/>
              </w:rPr>
              <w:t>139,241</w:t>
            </w:r>
          </w:p>
        </w:tc>
        <w:tc>
          <w:tcPr>
            <w:tcW w:w="920" w:type="dxa"/>
            <w:vAlign w:val="bottom"/>
          </w:tcPr>
          <w:p>
            <w:pPr>
              <w:jc w:val="right"/>
              <w:ind w:right="32"/>
              <w:spacing w:after="0"/>
              <w:rPr>
                <w:sz w:val="20"/>
                <w:szCs w:val="20"/>
                <w:color w:val="auto"/>
              </w:rPr>
            </w:pPr>
            <w:r>
              <w:rPr>
                <w:rFonts w:ascii="Arial" w:cs="Arial" w:eastAsia="Arial" w:hAnsi="Arial"/>
                <w:sz w:val="18"/>
                <w:szCs w:val="18"/>
                <w:color w:val="4C4C4C"/>
              </w:rPr>
              <w:t>49,126</w:t>
            </w:r>
          </w:p>
        </w:tc>
        <w:tc>
          <w:tcPr>
            <w:tcW w:w="1060" w:type="dxa"/>
            <w:vAlign w:val="bottom"/>
          </w:tcPr>
          <w:p>
            <w:pPr>
              <w:jc w:val="right"/>
              <w:ind w:right="33"/>
              <w:spacing w:after="0"/>
              <w:rPr>
                <w:sz w:val="20"/>
                <w:szCs w:val="20"/>
                <w:color w:val="auto"/>
              </w:rPr>
            </w:pPr>
            <w:r>
              <w:rPr>
                <w:rFonts w:ascii="Arial" w:cs="Arial" w:eastAsia="Arial" w:hAnsi="Arial"/>
                <w:sz w:val="18"/>
                <w:szCs w:val="18"/>
                <w:color w:val="4C4C4C"/>
              </w:rPr>
              <w:t>183,594</w:t>
            </w:r>
          </w:p>
        </w:tc>
        <w:tc>
          <w:tcPr>
            <w:tcW w:w="1180" w:type="dxa"/>
            <w:vAlign w:val="bottom"/>
          </w:tcPr>
          <w:p>
            <w:pPr>
              <w:jc w:val="right"/>
              <w:ind w:right="233"/>
              <w:spacing w:after="0"/>
              <w:rPr>
                <w:sz w:val="20"/>
                <w:szCs w:val="20"/>
                <w:color w:val="auto"/>
              </w:rPr>
            </w:pPr>
            <w:r>
              <w:rPr>
                <w:rFonts w:ascii="Arial" w:cs="Arial" w:eastAsia="Arial" w:hAnsi="Arial"/>
                <w:sz w:val="18"/>
                <w:szCs w:val="18"/>
                <w:color w:val="4C4C4C"/>
              </w:rPr>
              <w:t>13,920</w:t>
            </w:r>
          </w:p>
        </w:tc>
        <w:tc>
          <w:tcPr>
            <w:tcW w:w="1000" w:type="dxa"/>
            <w:vAlign w:val="bottom"/>
          </w:tcPr>
          <w:p>
            <w:pPr>
              <w:jc w:val="right"/>
              <w:spacing w:after="0"/>
              <w:rPr>
                <w:sz w:val="20"/>
                <w:szCs w:val="20"/>
                <w:color w:val="auto"/>
              </w:rPr>
            </w:pPr>
            <w:r>
              <w:rPr>
                <w:rFonts w:ascii="Arial" w:cs="Arial" w:eastAsia="Arial" w:hAnsi="Arial"/>
                <w:sz w:val="18"/>
                <w:szCs w:val="18"/>
                <w:color w:val="4C4C4C"/>
              </w:rPr>
              <w:t>385,881</w:t>
            </w:r>
          </w:p>
        </w:tc>
        <w:tc>
          <w:tcPr>
            <w:tcW w:w="0" w:type="dxa"/>
            <w:vAlign w:val="bottom"/>
          </w:tcPr>
          <w:p>
            <w:pPr>
              <w:spacing w:after="0"/>
              <w:rPr>
                <w:sz w:val="1"/>
                <w:szCs w:val="1"/>
                <w:color w:val="auto"/>
              </w:rPr>
            </w:pPr>
          </w:p>
        </w:tc>
      </w:tr>
      <w:tr>
        <w:trPr>
          <w:trHeight w:val="36"/>
        </w:trPr>
        <w:tc>
          <w:tcPr>
            <w:tcW w:w="276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760" w:type="dxa"/>
            <w:vAlign w:val="bottom"/>
            <w:shd w:val="clear" w:color="auto" w:fill="BAE2F8"/>
          </w:tcPr>
          <w:p>
            <w:pPr>
              <w:ind w:left="20"/>
              <w:spacing w:after="0"/>
              <w:rPr>
                <w:sz w:val="20"/>
                <w:szCs w:val="20"/>
                <w:color w:val="auto"/>
              </w:rPr>
            </w:pPr>
            <w:r>
              <w:rPr>
                <w:rFonts w:ascii="Arial" w:cs="Arial" w:eastAsia="Arial" w:hAnsi="Arial"/>
                <w:sz w:val="18"/>
                <w:szCs w:val="18"/>
                <w:color w:val="4C4C4C"/>
              </w:rPr>
              <w:t>Lisa Feng</w:t>
            </w:r>
          </w:p>
        </w:tc>
        <w:tc>
          <w:tcPr>
            <w:tcW w:w="100" w:type="dxa"/>
            <w:vAlign w:val="bottom"/>
            <w:shd w:val="clear" w:color="auto" w:fill="BAE2F8"/>
          </w:tcPr>
          <w:p>
            <w:pPr>
              <w:spacing w:after="0"/>
              <w:rPr>
                <w:sz w:val="20"/>
                <w:szCs w:val="20"/>
                <w:color w:val="auto"/>
              </w:rPr>
            </w:pPr>
          </w:p>
        </w:tc>
        <w:tc>
          <w:tcPr>
            <w:tcW w:w="380" w:type="dxa"/>
            <w:vAlign w:val="bottom"/>
            <w:shd w:val="clear" w:color="auto" w:fill="BAE2F8"/>
          </w:tcPr>
          <w:p>
            <w:pPr>
              <w:jc w:val="center"/>
              <w:spacing w:after="0"/>
              <w:rPr>
                <w:sz w:val="20"/>
                <w:szCs w:val="20"/>
                <w:color w:val="auto"/>
              </w:rPr>
            </w:pPr>
            <w:r>
              <w:rPr>
                <w:rFonts w:ascii="Arial" w:cs="Arial" w:eastAsia="Arial" w:hAnsi="Arial"/>
                <w:sz w:val="18"/>
                <w:szCs w:val="18"/>
                <w:color w:val="4C4C4C"/>
                <w:w w:val="94"/>
              </w:rPr>
              <w:t>2021</w:t>
            </w:r>
          </w:p>
        </w:tc>
        <w:tc>
          <w:tcPr>
            <w:tcW w:w="1020" w:type="dxa"/>
            <w:vAlign w:val="bottom"/>
            <w:shd w:val="clear" w:color="auto" w:fill="BAE2F8"/>
          </w:tcPr>
          <w:p>
            <w:pPr>
              <w:jc w:val="right"/>
              <w:ind w:right="32"/>
              <w:spacing w:after="0"/>
              <w:rPr>
                <w:sz w:val="20"/>
                <w:szCs w:val="20"/>
                <w:color w:val="auto"/>
              </w:rPr>
            </w:pPr>
            <w:r>
              <w:rPr>
                <w:rFonts w:ascii="Arial" w:cs="Arial" w:eastAsia="Arial" w:hAnsi="Arial"/>
                <w:sz w:val="18"/>
                <w:szCs w:val="18"/>
                <w:color w:val="4C4C4C"/>
              </w:rPr>
              <w:t>157,135</w:t>
            </w:r>
          </w:p>
        </w:tc>
        <w:tc>
          <w:tcPr>
            <w:tcW w:w="920" w:type="dxa"/>
            <w:vAlign w:val="bottom"/>
            <w:shd w:val="clear" w:color="auto" w:fill="BAE2F8"/>
          </w:tcPr>
          <w:p>
            <w:pPr>
              <w:jc w:val="right"/>
              <w:ind w:right="32"/>
              <w:spacing w:after="0"/>
              <w:rPr>
                <w:sz w:val="20"/>
                <w:szCs w:val="20"/>
                <w:color w:val="auto"/>
              </w:rPr>
            </w:pPr>
            <w:r>
              <w:rPr>
                <w:rFonts w:ascii="Arial" w:cs="Arial" w:eastAsia="Arial" w:hAnsi="Arial"/>
                <w:sz w:val="18"/>
                <w:szCs w:val="18"/>
                <w:color w:val="4C4C4C"/>
              </w:rPr>
              <w:t>64,170</w:t>
            </w:r>
          </w:p>
        </w:tc>
        <w:tc>
          <w:tcPr>
            <w:tcW w:w="1060" w:type="dxa"/>
            <w:vAlign w:val="bottom"/>
            <w:shd w:val="clear" w:color="auto" w:fill="BAE2F8"/>
          </w:tcPr>
          <w:p>
            <w:pPr>
              <w:jc w:val="right"/>
              <w:ind w:right="53"/>
              <w:spacing w:after="0"/>
              <w:rPr>
                <w:sz w:val="20"/>
                <w:szCs w:val="20"/>
                <w:color w:val="auto"/>
              </w:rPr>
            </w:pPr>
            <w:r>
              <w:rPr>
                <w:rFonts w:ascii="Arial" w:cs="Arial" w:eastAsia="Arial" w:hAnsi="Arial"/>
                <w:sz w:val="18"/>
                <w:szCs w:val="18"/>
                <w:color w:val="4C4C4C"/>
              </w:rPr>
              <w:t>—</w:t>
            </w:r>
          </w:p>
        </w:tc>
        <w:tc>
          <w:tcPr>
            <w:tcW w:w="1180" w:type="dxa"/>
            <w:vAlign w:val="bottom"/>
            <w:shd w:val="clear" w:color="auto" w:fill="BAE2F8"/>
          </w:tcPr>
          <w:p>
            <w:pPr>
              <w:jc w:val="right"/>
              <w:ind w:right="253"/>
              <w:spacing w:after="0"/>
              <w:rPr>
                <w:sz w:val="20"/>
                <w:szCs w:val="20"/>
                <w:color w:val="auto"/>
              </w:rPr>
            </w:pPr>
            <w:r>
              <w:rPr>
                <w:rFonts w:ascii="Arial" w:cs="Arial" w:eastAsia="Arial" w:hAnsi="Arial"/>
                <w:sz w:val="18"/>
                <w:szCs w:val="18"/>
                <w:color w:val="4C4C4C"/>
              </w:rPr>
              <w:t>4,159</w:t>
            </w:r>
          </w:p>
        </w:tc>
        <w:tc>
          <w:tcPr>
            <w:tcW w:w="1000" w:type="dxa"/>
            <w:vAlign w:val="bottom"/>
            <w:shd w:val="clear" w:color="auto" w:fill="BAE2F8"/>
          </w:tcPr>
          <w:p>
            <w:pPr>
              <w:jc w:val="right"/>
              <w:spacing w:after="0"/>
              <w:rPr>
                <w:sz w:val="20"/>
                <w:szCs w:val="20"/>
                <w:color w:val="auto"/>
              </w:rPr>
            </w:pPr>
            <w:r>
              <w:rPr>
                <w:rFonts w:ascii="Arial" w:cs="Arial" w:eastAsia="Arial" w:hAnsi="Arial"/>
                <w:sz w:val="18"/>
                <w:szCs w:val="18"/>
                <w:color w:val="4C4C4C"/>
              </w:rPr>
              <w:t>225,464</w:t>
            </w:r>
          </w:p>
        </w:tc>
        <w:tc>
          <w:tcPr>
            <w:tcW w:w="0" w:type="dxa"/>
            <w:vAlign w:val="bottom"/>
          </w:tcPr>
          <w:p>
            <w:pPr>
              <w:spacing w:after="0"/>
              <w:rPr>
                <w:sz w:val="1"/>
                <w:szCs w:val="1"/>
                <w:color w:val="auto"/>
              </w:rPr>
            </w:pPr>
          </w:p>
        </w:tc>
      </w:tr>
      <w:tr>
        <w:trPr>
          <w:trHeight w:val="203"/>
        </w:trPr>
        <w:tc>
          <w:tcPr>
            <w:tcW w:w="2760" w:type="dxa"/>
            <w:vAlign w:val="bottom"/>
            <w:shd w:val="clear" w:color="auto" w:fill="BAE2F8"/>
          </w:tcPr>
          <w:p>
            <w:pPr>
              <w:ind w:left="20"/>
              <w:spacing w:after="0" w:line="202" w:lineRule="exact"/>
              <w:rPr>
                <w:sz w:val="20"/>
                <w:szCs w:val="20"/>
                <w:color w:val="auto"/>
              </w:rPr>
            </w:pPr>
            <w:r>
              <w:rPr>
                <w:rFonts w:ascii="Arial" w:cs="Arial" w:eastAsia="Arial" w:hAnsi="Arial"/>
                <w:sz w:val="18"/>
                <w:szCs w:val="18"/>
                <w:i w:val="1"/>
                <w:iCs w:val="1"/>
                <w:color w:val="4C4C4C"/>
              </w:rPr>
              <w:t>Chief Financial Officer, ACM</w:t>
            </w:r>
          </w:p>
        </w:tc>
        <w:tc>
          <w:tcPr>
            <w:tcW w:w="100" w:type="dxa"/>
            <w:vAlign w:val="bottom"/>
            <w:shd w:val="clear" w:color="auto" w:fill="BAE2F8"/>
          </w:tcPr>
          <w:p>
            <w:pPr>
              <w:spacing w:after="0"/>
              <w:rPr>
                <w:sz w:val="17"/>
                <w:szCs w:val="17"/>
                <w:color w:val="auto"/>
              </w:rPr>
            </w:pPr>
          </w:p>
        </w:tc>
        <w:tc>
          <w:tcPr>
            <w:tcW w:w="380" w:type="dxa"/>
            <w:vAlign w:val="bottom"/>
            <w:vMerge w:val="restart"/>
            <w:shd w:val="clear" w:color="auto" w:fill="BAE2F8"/>
          </w:tcPr>
          <w:p>
            <w:pPr>
              <w:jc w:val="center"/>
              <w:spacing w:after="0"/>
              <w:rPr>
                <w:sz w:val="20"/>
                <w:szCs w:val="20"/>
                <w:color w:val="auto"/>
              </w:rPr>
            </w:pPr>
            <w:r>
              <w:rPr>
                <w:rFonts w:ascii="Arial" w:cs="Arial" w:eastAsia="Arial" w:hAnsi="Arial"/>
                <w:sz w:val="18"/>
                <w:szCs w:val="18"/>
                <w:color w:val="4C4C4C"/>
                <w:w w:val="94"/>
              </w:rPr>
              <w:t>2020</w:t>
            </w:r>
          </w:p>
        </w:tc>
        <w:tc>
          <w:tcPr>
            <w:tcW w:w="1020" w:type="dxa"/>
            <w:vAlign w:val="bottom"/>
            <w:vMerge w:val="restart"/>
            <w:shd w:val="clear" w:color="auto" w:fill="BAE2F8"/>
          </w:tcPr>
          <w:p>
            <w:pPr>
              <w:jc w:val="right"/>
              <w:ind w:right="32"/>
              <w:spacing w:after="0"/>
              <w:rPr>
                <w:sz w:val="20"/>
                <w:szCs w:val="20"/>
                <w:color w:val="auto"/>
              </w:rPr>
            </w:pPr>
            <w:r>
              <w:rPr>
                <w:rFonts w:ascii="Arial" w:cs="Arial" w:eastAsia="Arial" w:hAnsi="Arial"/>
                <w:sz w:val="18"/>
                <w:szCs w:val="18"/>
                <w:color w:val="4C4C4C"/>
              </w:rPr>
              <w:t>169,172</w:t>
            </w:r>
          </w:p>
        </w:tc>
        <w:tc>
          <w:tcPr>
            <w:tcW w:w="920" w:type="dxa"/>
            <w:vAlign w:val="bottom"/>
            <w:vMerge w:val="restart"/>
            <w:shd w:val="clear" w:color="auto" w:fill="BAE2F8"/>
          </w:tcPr>
          <w:p>
            <w:pPr>
              <w:jc w:val="right"/>
              <w:ind w:right="32"/>
              <w:spacing w:after="0"/>
              <w:rPr>
                <w:sz w:val="20"/>
                <w:szCs w:val="20"/>
                <w:color w:val="auto"/>
              </w:rPr>
            </w:pPr>
            <w:r>
              <w:rPr>
                <w:rFonts w:ascii="Arial" w:cs="Arial" w:eastAsia="Arial" w:hAnsi="Arial"/>
                <w:sz w:val="18"/>
                <w:szCs w:val="18"/>
                <w:color w:val="4C4C4C"/>
              </w:rPr>
              <w:t>43,500</w:t>
            </w:r>
          </w:p>
        </w:tc>
        <w:tc>
          <w:tcPr>
            <w:tcW w:w="1060" w:type="dxa"/>
            <w:vAlign w:val="bottom"/>
            <w:vMerge w:val="restart"/>
            <w:shd w:val="clear" w:color="auto" w:fill="BAE2F8"/>
          </w:tcPr>
          <w:p>
            <w:pPr>
              <w:jc w:val="right"/>
              <w:ind w:right="33"/>
              <w:spacing w:after="0"/>
              <w:rPr>
                <w:sz w:val="20"/>
                <w:szCs w:val="20"/>
                <w:color w:val="auto"/>
              </w:rPr>
            </w:pPr>
            <w:r>
              <w:rPr>
                <w:rFonts w:ascii="Arial" w:cs="Arial" w:eastAsia="Arial" w:hAnsi="Arial"/>
                <w:sz w:val="18"/>
                <w:szCs w:val="18"/>
                <w:color w:val="4C4C4C"/>
              </w:rPr>
              <w:t>225,809</w:t>
            </w:r>
          </w:p>
        </w:tc>
        <w:tc>
          <w:tcPr>
            <w:tcW w:w="1180" w:type="dxa"/>
            <w:vAlign w:val="bottom"/>
            <w:vMerge w:val="restart"/>
            <w:shd w:val="clear" w:color="auto" w:fill="BAE2F8"/>
          </w:tcPr>
          <w:p>
            <w:pPr>
              <w:jc w:val="right"/>
              <w:ind w:right="233"/>
              <w:spacing w:after="0"/>
              <w:rPr>
                <w:sz w:val="20"/>
                <w:szCs w:val="20"/>
                <w:color w:val="auto"/>
              </w:rPr>
            </w:pPr>
            <w:r>
              <w:rPr>
                <w:rFonts w:ascii="Arial" w:cs="Arial" w:eastAsia="Arial" w:hAnsi="Arial"/>
                <w:sz w:val="18"/>
                <w:szCs w:val="18"/>
                <w:color w:val="4C4C4C"/>
              </w:rPr>
              <w:t>13,616</w:t>
            </w:r>
          </w:p>
        </w:tc>
        <w:tc>
          <w:tcPr>
            <w:tcW w:w="1000" w:type="dxa"/>
            <w:vAlign w:val="bottom"/>
            <w:vMerge w:val="restart"/>
            <w:shd w:val="clear" w:color="auto" w:fill="BAE2F8"/>
          </w:tcPr>
          <w:p>
            <w:pPr>
              <w:jc w:val="right"/>
              <w:spacing w:after="0"/>
              <w:rPr>
                <w:sz w:val="20"/>
                <w:szCs w:val="20"/>
                <w:color w:val="auto"/>
              </w:rPr>
            </w:pPr>
            <w:r>
              <w:rPr>
                <w:rFonts w:ascii="Arial" w:cs="Arial" w:eastAsia="Arial" w:hAnsi="Arial"/>
                <w:sz w:val="18"/>
                <w:szCs w:val="18"/>
                <w:color w:val="4C4C4C"/>
              </w:rPr>
              <w:t>452,097</w:t>
            </w:r>
          </w:p>
        </w:tc>
        <w:tc>
          <w:tcPr>
            <w:tcW w:w="0" w:type="dxa"/>
            <w:vAlign w:val="bottom"/>
          </w:tcPr>
          <w:p>
            <w:pPr>
              <w:spacing w:after="0"/>
              <w:rPr>
                <w:sz w:val="1"/>
                <w:szCs w:val="1"/>
                <w:color w:val="auto"/>
              </w:rPr>
            </w:pPr>
          </w:p>
        </w:tc>
      </w:tr>
      <w:tr>
        <w:trPr>
          <w:trHeight w:val="142"/>
        </w:trPr>
        <w:tc>
          <w:tcPr>
            <w:tcW w:w="2760" w:type="dxa"/>
            <w:vAlign w:val="bottom"/>
            <w:vMerge w:val="restart"/>
            <w:shd w:val="clear" w:color="auto" w:fill="BAE2F8"/>
          </w:tcPr>
          <w:p>
            <w:pPr>
              <w:ind w:left="20"/>
              <w:spacing w:after="0"/>
              <w:rPr>
                <w:sz w:val="20"/>
                <w:szCs w:val="20"/>
                <w:color w:val="auto"/>
              </w:rPr>
            </w:pPr>
            <w:r>
              <w:rPr>
                <w:rFonts w:ascii="Arial" w:cs="Arial" w:eastAsia="Arial" w:hAnsi="Arial"/>
                <w:sz w:val="18"/>
                <w:szCs w:val="18"/>
                <w:i w:val="1"/>
                <w:iCs w:val="1"/>
                <w:color w:val="4C4C4C"/>
              </w:rPr>
              <w:t>Research (Shanghai), Inc.</w:t>
            </w:r>
          </w:p>
        </w:tc>
        <w:tc>
          <w:tcPr>
            <w:tcW w:w="100" w:type="dxa"/>
            <w:vAlign w:val="bottom"/>
            <w:shd w:val="clear" w:color="auto" w:fill="BAE2F8"/>
          </w:tcPr>
          <w:p>
            <w:pPr>
              <w:spacing w:after="0"/>
              <w:rPr>
                <w:sz w:val="12"/>
                <w:szCs w:val="12"/>
                <w:color w:val="auto"/>
              </w:rPr>
            </w:pPr>
          </w:p>
        </w:tc>
        <w:tc>
          <w:tcPr>
            <w:tcW w:w="380" w:type="dxa"/>
            <w:vAlign w:val="bottom"/>
            <w:vMerge w:val="continue"/>
            <w:shd w:val="clear" w:color="auto" w:fill="BAE2F8"/>
          </w:tcPr>
          <w:p>
            <w:pPr>
              <w:spacing w:after="0"/>
              <w:rPr>
                <w:sz w:val="12"/>
                <w:szCs w:val="12"/>
                <w:color w:val="auto"/>
              </w:rPr>
            </w:pPr>
          </w:p>
        </w:tc>
        <w:tc>
          <w:tcPr>
            <w:tcW w:w="1020" w:type="dxa"/>
            <w:vAlign w:val="bottom"/>
            <w:vMerge w:val="continue"/>
            <w:shd w:val="clear" w:color="auto" w:fill="BAE2F8"/>
          </w:tcPr>
          <w:p>
            <w:pPr>
              <w:spacing w:after="0"/>
              <w:rPr>
                <w:sz w:val="12"/>
                <w:szCs w:val="12"/>
                <w:color w:val="auto"/>
              </w:rPr>
            </w:pPr>
          </w:p>
        </w:tc>
        <w:tc>
          <w:tcPr>
            <w:tcW w:w="920" w:type="dxa"/>
            <w:vAlign w:val="bottom"/>
            <w:vMerge w:val="continue"/>
            <w:shd w:val="clear" w:color="auto" w:fill="BAE2F8"/>
          </w:tcPr>
          <w:p>
            <w:pPr>
              <w:spacing w:after="0"/>
              <w:rPr>
                <w:sz w:val="12"/>
                <w:szCs w:val="12"/>
                <w:color w:val="auto"/>
              </w:rPr>
            </w:pPr>
          </w:p>
        </w:tc>
        <w:tc>
          <w:tcPr>
            <w:tcW w:w="1060" w:type="dxa"/>
            <w:vAlign w:val="bottom"/>
            <w:vMerge w:val="continue"/>
            <w:shd w:val="clear" w:color="auto" w:fill="BAE2F8"/>
          </w:tcPr>
          <w:p>
            <w:pPr>
              <w:spacing w:after="0"/>
              <w:rPr>
                <w:sz w:val="12"/>
                <w:szCs w:val="12"/>
                <w:color w:val="auto"/>
              </w:rPr>
            </w:pPr>
          </w:p>
        </w:tc>
        <w:tc>
          <w:tcPr>
            <w:tcW w:w="1180" w:type="dxa"/>
            <w:vAlign w:val="bottom"/>
            <w:vMerge w:val="continue"/>
            <w:shd w:val="clear" w:color="auto" w:fill="BAE2F8"/>
          </w:tcPr>
          <w:p>
            <w:pPr>
              <w:spacing w:after="0"/>
              <w:rPr>
                <w:sz w:val="12"/>
                <w:szCs w:val="12"/>
                <w:color w:val="auto"/>
              </w:rPr>
            </w:pPr>
          </w:p>
        </w:tc>
        <w:tc>
          <w:tcPr>
            <w:tcW w:w="1000" w:type="dxa"/>
            <w:vAlign w:val="bottom"/>
            <w:vMerge w:val="continue"/>
            <w:shd w:val="clear" w:color="auto" w:fill="BAE2F8"/>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760" w:type="dxa"/>
            <w:vAlign w:val="bottom"/>
            <w:vMerge w:val="continue"/>
            <w:shd w:val="clear" w:color="auto" w:fill="BAE2F8"/>
          </w:tcPr>
          <w:p>
            <w:pPr>
              <w:spacing w:after="0"/>
              <w:rPr>
                <w:sz w:val="8"/>
                <w:szCs w:val="8"/>
                <w:color w:val="auto"/>
              </w:rPr>
            </w:pPr>
          </w:p>
        </w:tc>
        <w:tc>
          <w:tcPr>
            <w:tcW w:w="100" w:type="dxa"/>
            <w:vAlign w:val="bottom"/>
            <w:shd w:val="clear" w:color="auto" w:fill="BAE2F8"/>
          </w:tcPr>
          <w:p>
            <w:pPr>
              <w:spacing w:after="0"/>
              <w:rPr>
                <w:sz w:val="8"/>
                <w:szCs w:val="8"/>
                <w:color w:val="auto"/>
              </w:rPr>
            </w:pPr>
          </w:p>
        </w:tc>
        <w:tc>
          <w:tcPr>
            <w:tcW w:w="380" w:type="dxa"/>
            <w:vAlign w:val="bottom"/>
            <w:vMerge w:val="restart"/>
            <w:shd w:val="clear" w:color="auto" w:fill="BAE2F8"/>
          </w:tcPr>
          <w:p>
            <w:pPr>
              <w:jc w:val="center"/>
              <w:spacing w:after="0"/>
              <w:rPr>
                <w:sz w:val="20"/>
                <w:szCs w:val="20"/>
                <w:color w:val="auto"/>
              </w:rPr>
            </w:pPr>
            <w:r>
              <w:rPr>
                <w:rFonts w:ascii="Arial" w:cs="Arial" w:eastAsia="Arial" w:hAnsi="Arial"/>
                <w:sz w:val="18"/>
                <w:szCs w:val="18"/>
                <w:color w:val="4C4C4C"/>
                <w:w w:val="94"/>
              </w:rPr>
              <w:t>2019</w:t>
            </w:r>
          </w:p>
        </w:tc>
        <w:tc>
          <w:tcPr>
            <w:tcW w:w="1020" w:type="dxa"/>
            <w:vAlign w:val="bottom"/>
            <w:vMerge w:val="restart"/>
            <w:shd w:val="clear" w:color="auto" w:fill="BAE2F8"/>
          </w:tcPr>
          <w:p>
            <w:pPr>
              <w:jc w:val="right"/>
              <w:ind w:right="32"/>
              <w:spacing w:after="0"/>
              <w:rPr>
                <w:sz w:val="20"/>
                <w:szCs w:val="20"/>
                <w:color w:val="auto"/>
              </w:rPr>
            </w:pPr>
            <w:r>
              <w:rPr>
                <w:rFonts w:ascii="Arial" w:cs="Arial" w:eastAsia="Arial" w:hAnsi="Arial"/>
                <w:sz w:val="18"/>
                <w:szCs w:val="18"/>
                <w:color w:val="4C4C4C"/>
              </w:rPr>
              <w:t>159,673</w:t>
            </w:r>
          </w:p>
        </w:tc>
        <w:tc>
          <w:tcPr>
            <w:tcW w:w="920" w:type="dxa"/>
            <w:vAlign w:val="bottom"/>
            <w:vMerge w:val="restart"/>
            <w:shd w:val="clear" w:color="auto" w:fill="BAE2F8"/>
          </w:tcPr>
          <w:p>
            <w:pPr>
              <w:jc w:val="right"/>
              <w:ind w:right="32"/>
              <w:spacing w:after="0"/>
              <w:rPr>
                <w:sz w:val="20"/>
                <w:szCs w:val="20"/>
                <w:color w:val="auto"/>
              </w:rPr>
            </w:pPr>
            <w:r>
              <w:rPr>
                <w:rFonts w:ascii="Arial" w:cs="Arial" w:eastAsia="Arial" w:hAnsi="Arial"/>
                <w:sz w:val="18"/>
                <w:szCs w:val="18"/>
                <w:color w:val="4C4C4C"/>
              </w:rPr>
              <w:t>41,354</w:t>
            </w:r>
          </w:p>
        </w:tc>
        <w:tc>
          <w:tcPr>
            <w:tcW w:w="1060" w:type="dxa"/>
            <w:vAlign w:val="bottom"/>
            <w:vMerge w:val="restart"/>
            <w:shd w:val="clear" w:color="auto" w:fill="BAE2F8"/>
          </w:tcPr>
          <w:p>
            <w:pPr>
              <w:jc w:val="right"/>
              <w:ind w:right="33"/>
              <w:spacing w:after="0"/>
              <w:rPr>
                <w:sz w:val="20"/>
                <w:szCs w:val="20"/>
                <w:color w:val="auto"/>
              </w:rPr>
            </w:pPr>
            <w:r>
              <w:rPr>
                <w:rFonts w:ascii="Arial" w:cs="Arial" w:eastAsia="Arial" w:hAnsi="Arial"/>
                <w:sz w:val="18"/>
                <w:szCs w:val="18"/>
                <w:color w:val="4C4C4C"/>
              </w:rPr>
              <w:t>214,700</w:t>
            </w:r>
          </w:p>
        </w:tc>
        <w:tc>
          <w:tcPr>
            <w:tcW w:w="1180" w:type="dxa"/>
            <w:vAlign w:val="bottom"/>
            <w:vMerge w:val="restart"/>
            <w:shd w:val="clear" w:color="auto" w:fill="BAE2F8"/>
          </w:tcPr>
          <w:p>
            <w:pPr>
              <w:jc w:val="right"/>
              <w:ind w:right="233"/>
              <w:spacing w:after="0"/>
              <w:rPr>
                <w:sz w:val="20"/>
                <w:szCs w:val="20"/>
                <w:color w:val="auto"/>
              </w:rPr>
            </w:pPr>
            <w:r>
              <w:rPr>
                <w:rFonts w:ascii="Arial" w:cs="Arial" w:eastAsia="Arial" w:hAnsi="Arial"/>
                <w:sz w:val="18"/>
                <w:szCs w:val="18"/>
                <w:color w:val="4C4C4C"/>
              </w:rPr>
              <w:t>10,133</w:t>
            </w:r>
          </w:p>
        </w:tc>
        <w:tc>
          <w:tcPr>
            <w:tcW w:w="1000" w:type="dxa"/>
            <w:vAlign w:val="bottom"/>
            <w:vMerge w:val="restart"/>
            <w:shd w:val="clear" w:color="auto" w:fill="BAE2F8"/>
          </w:tcPr>
          <w:p>
            <w:pPr>
              <w:jc w:val="right"/>
              <w:spacing w:after="0"/>
              <w:rPr>
                <w:sz w:val="20"/>
                <w:szCs w:val="20"/>
                <w:color w:val="auto"/>
              </w:rPr>
            </w:pPr>
            <w:r>
              <w:rPr>
                <w:rFonts w:ascii="Arial" w:cs="Arial" w:eastAsia="Arial" w:hAnsi="Arial"/>
                <w:sz w:val="18"/>
                <w:szCs w:val="18"/>
                <w:color w:val="4C4C4C"/>
              </w:rPr>
              <w:t>425,860</w:t>
            </w:r>
          </w:p>
        </w:tc>
        <w:tc>
          <w:tcPr>
            <w:tcW w:w="0" w:type="dxa"/>
            <w:vAlign w:val="bottom"/>
          </w:tcPr>
          <w:p>
            <w:pPr>
              <w:spacing w:after="0"/>
              <w:rPr>
                <w:sz w:val="1"/>
                <w:szCs w:val="1"/>
                <w:color w:val="auto"/>
              </w:rPr>
            </w:pPr>
          </w:p>
        </w:tc>
      </w:tr>
      <w:tr>
        <w:trPr>
          <w:trHeight w:val="233"/>
        </w:trPr>
        <w:tc>
          <w:tcPr>
            <w:tcW w:w="2760" w:type="dxa"/>
            <w:vAlign w:val="bottom"/>
            <w:tcBorders>
              <w:bottom w:val="single" w:sz="8" w:color="BAE2F8"/>
            </w:tcBorders>
            <w:shd w:val="clear" w:color="auto" w:fill="BAE2F8"/>
          </w:tcPr>
          <w:p>
            <w:pPr>
              <w:spacing w:after="0"/>
              <w:rPr>
                <w:sz w:val="20"/>
                <w:szCs w:val="20"/>
                <w:color w:val="auto"/>
              </w:rPr>
            </w:pPr>
          </w:p>
        </w:tc>
        <w:tc>
          <w:tcPr>
            <w:tcW w:w="100" w:type="dxa"/>
            <w:vAlign w:val="bottom"/>
            <w:tcBorders>
              <w:bottom w:val="single" w:sz="8" w:color="BAE2F8"/>
            </w:tcBorders>
            <w:shd w:val="clear" w:color="auto" w:fill="BAE2F8"/>
          </w:tcPr>
          <w:p>
            <w:pPr>
              <w:spacing w:after="0"/>
              <w:rPr>
                <w:sz w:val="20"/>
                <w:szCs w:val="20"/>
                <w:color w:val="auto"/>
              </w:rPr>
            </w:pPr>
          </w:p>
        </w:tc>
        <w:tc>
          <w:tcPr>
            <w:tcW w:w="380" w:type="dxa"/>
            <w:vAlign w:val="bottom"/>
            <w:tcBorders>
              <w:bottom w:val="single" w:sz="8" w:color="BAE2F8"/>
            </w:tcBorders>
            <w:vMerge w:val="continue"/>
            <w:shd w:val="clear" w:color="auto" w:fill="BAE2F8"/>
          </w:tcPr>
          <w:p>
            <w:pPr>
              <w:spacing w:after="0"/>
              <w:rPr>
                <w:sz w:val="20"/>
                <w:szCs w:val="20"/>
                <w:color w:val="auto"/>
              </w:rPr>
            </w:pPr>
          </w:p>
        </w:tc>
        <w:tc>
          <w:tcPr>
            <w:tcW w:w="1020" w:type="dxa"/>
            <w:vAlign w:val="bottom"/>
            <w:tcBorders>
              <w:bottom w:val="single" w:sz="8" w:color="BAE2F8"/>
            </w:tcBorders>
            <w:vMerge w:val="continue"/>
            <w:shd w:val="clear" w:color="auto" w:fill="BAE2F8"/>
          </w:tcPr>
          <w:p>
            <w:pPr>
              <w:spacing w:after="0"/>
              <w:rPr>
                <w:sz w:val="20"/>
                <w:szCs w:val="20"/>
                <w:color w:val="auto"/>
              </w:rPr>
            </w:pPr>
          </w:p>
        </w:tc>
        <w:tc>
          <w:tcPr>
            <w:tcW w:w="920" w:type="dxa"/>
            <w:vAlign w:val="bottom"/>
            <w:tcBorders>
              <w:bottom w:val="single" w:sz="8" w:color="BAE2F8"/>
            </w:tcBorders>
            <w:vMerge w:val="continue"/>
            <w:shd w:val="clear" w:color="auto" w:fill="BAE2F8"/>
          </w:tcPr>
          <w:p>
            <w:pPr>
              <w:spacing w:after="0"/>
              <w:rPr>
                <w:sz w:val="20"/>
                <w:szCs w:val="20"/>
                <w:color w:val="auto"/>
              </w:rPr>
            </w:pPr>
          </w:p>
        </w:tc>
        <w:tc>
          <w:tcPr>
            <w:tcW w:w="1060" w:type="dxa"/>
            <w:vAlign w:val="bottom"/>
            <w:tcBorders>
              <w:bottom w:val="single" w:sz="8" w:color="BAE2F8"/>
            </w:tcBorders>
            <w:vMerge w:val="continue"/>
            <w:shd w:val="clear" w:color="auto" w:fill="BAE2F8"/>
          </w:tcPr>
          <w:p>
            <w:pPr>
              <w:spacing w:after="0"/>
              <w:rPr>
                <w:sz w:val="20"/>
                <w:szCs w:val="20"/>
                <w:color w:val="auto"/>
              </w:rPr>
            </w:pPr>
          </w:p>
        </w:tc>
        <w:tc>
          <w:tcPr>
            <w:tcW w:w="1180" w:type="dxa"/>
            <w:vAlign w:val="bottom"/>
            <w:tcBorders>
              <w:bottom w:val="single" w:sz="8" w:color="BAE2F8"/>
            </w:tcBorders>
            <w:vMerge w:val="continue"/>
            <w:shd w:val="clear" w:color="auto" w:fill="BAE2F8"/>
          </w:tcPr>
          <w:p>
            <w:pPr>
              <w:spacing w:after="0"/>
              <w:rPr>
                <w:sz w:val="20"/>
                <w:szCs w:val="20"/>
                <w:color w:val="auto"/>
              </w:rPr>
            </w:pPr>
          </w:p>
        </w:tc>
        <w:tc>
          <w:tcPr>
            <w:tcW w:w="1000" w:type="dxa"/>
            <w:vAlign w:val="bottom"/>
            <w:tcBorders>
              <w:bottom w:val="single" w:sz="8" w:color="BAE2F8"/>
            </w:tcBorders>
            <w:vMerge w:val="continue"/>
            <w:shd w:val="clear" w:color="auto" w:fill="BAE2F8"/>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60" w:type="dxa"/>
            <w:vAlign w:val="bottom"/>
          </w:tcPr>
          <w:p>
            <w:pPr>
              <w:ind w:left="20"/>
              <w:spacing w:after="0"/>
              <w:rPr>
                <w:sz w:val="20"/>
                <w:szCs w:val="20"/>
                <w:color w:val="auto"/>
              </w:rPr>
            </w:pPr>
            <w:r>
              <w:rPr>
                <w:rFonts w:ascii="Arial" w:cs="Arial" w:eastAsia="Arial" w:hAnsi="Arial"/>
                <w:sz w:val="18"/>
                <w:szCs w:val="18"/>
                <w:color w:val="4C4C4C"/>
              </w:rPr>
              <w:t>Fuping Chen</w:t>
            </w:r>
          </w:p>
        </w:tc>
        <w:tc>
          <w:tcPr>
            <w:tcW w:w="480" w:type="dxa"/>
            <w:vAlign w:val="bottom"/>
            <w:gridSpan w:val="2"/>
          </w:tcPr>
          <w:p>
            <w:pPr>
              <w:jc w:val="center"/>
              <w:ind w:left="10"/>
              <w:spacing w:after="0"/>
              <w:rPr>
                <w:sz w:val="20"/>
                <w:szCs w:val="20"/>
                <w:color w:val="auto"/>
              </w:rPr>
            </w:pPr>
            <w:r>
              <w:rPr>
                <w:rFonts w:ascii="Arial" w:cs="Arial" w:eastAsia="Arial" w:hAnsi="Arial"/>
                <w:sz w:val="18"/>
                <w:szCs w:val="18"/>
                <w:color w:val="4C4C4C"/>
                <w:w w:val="94"/>
              </w:rPr>
              <w:t>2021</w:t>
            </w:r>
          </w:p>
        </w:tc>
        <w:tc>
          <w:tcPr>
            <w:tcW w:w="1020" w:type="dxa"/>
            <w:vAlign w:val="bottom"/>
          </w:tcPr>
          <w:p>
            <w:pPr>
              <w:jc w:val="right"/>
              <w:ind w:right="32"/>
              <w:spacing w:after="0"/>
              <w:rPr>
                <w:sz w:val="20"/>
                <w:szCs w:val="20"/>
                <w:color w:val="auto"/>
              </w:rPr>
            </w:pPr>
            <w:r>
              <w:rPr>
                <w:rFonts w:ascii="Arial" w:cs="Arial" w:eastAsia="Arial" w:hAnsi="Arial"/>
                <w:sz w:val="18"/>
                <w:szCs w:val="18"/>
                <w:color w:val="4C4C4C"/>
              </w:rPr>
              <w:t>108,842</w:t>
            </w:r>
          </w:p>
        </w:tc>
        <w:tc>
          <w:tcPr>
            <w:tcW w:w="920" w:type="dxa"/>
            <w:vAlign w:val="bottom"/>
          </w:tcPr>
          <w:p>
            <w:pPr>
              <w:jc w:val="right"/>
              <w:ind w:right="32"/>
              <w:spacing w:after="0"/>
              <w:rPr>
                <w:sz w:val="20"/>
                <w:szCs w:val="20"/>
                <w:color w:val="auto"/>
              </w:rPr>
            </w:pPr>
            <w:r>
              <w:rPr>
                <w:rFonts w:ascii="Arial" w:cs="Arial" w:eastAsia="Arial" w:hAnsi="Arial"/>
                <w:sz w:val="18"/>
                <w:szCs w:val="18"/>
                <w:color w:val="4C4C4C"/>
              </w:rPr>
              <w:t>103,850</w:t>
            </w:r>
          </w:p>
        </w:tc>
        <w:tc>
          <w:tcPr>
            <w:tcW w:w="1060" w:type="dxa"/>
            <w:vAlign w:val="bottom"/>
          </w:tcPr>
          <w:p>
            <w:pPr>
              <w:jc w:val="right"/>
              <w:ind w:right="53"/>
              <w:spacing w:after="0"/>
              <w:rPr>
                <w:sz w:val="20"/>
                <w:szCs w:val="20"/>
                <w:color w:val="auto"/>
              </w:rPr>
            </w:pPr>
            <w:r>
              <w:rPr>
                <w:rFonts w:ascii="Arial" w:cs="Arial" w:eastAsia="Arial" w:hAnsi="Arial"/>
                <w:sz w:val="18"/>
                <w:szCs w:val="18"/>
                <w:color w:val="4C4C4C"/>
              </w:rPr>
              <w:t>—</w:t>
            </w:r>
          </w:p>
        </w:tc>
        <w:tc>
          <w:tcPr>
            <w:tcW w:w="1180" w:type="dxa"/>
            <w:vAlign w:val="bottom"/>
          </w:tcPr>
          <w:p>
            <w:pPr>
              <w:jc w:val="right"/>
              <w:ind w:right="253"/>
              <w:spacing w:after="0"/>
              <w:rPr>
                <w:sz w:val="20"/>
                <w:szCs w:val="20"/>
                <w:color w:val="auto"/>
              </w:rPr>
            </w:pPr>
            <w:r>
              <w:rPr>
                <w:rFonts w:ascii="Arial" w:cs="Arial" w:eastAsia="Arial" w:hAnsi="Arial"/>
                <w:sz w:val="18"/>
                <w:szCs w:val="18"/>
                <w:color w:val="4C4C4C"/>
              </w:rPr>
              <w:t>214</w:t>
            </w:r>
          </w:p>
        </w:tc>
        <w:tc>
          <w:tcPr>
            <w:tcW w:w="1000" w:type="dxa"/>
            <w:vAlign w:val="bottom"/>
          </w:tcPr>
          <w:p>
            <w:pPr>
              <w:jc w:val="right"/>
              <w:spacing w:after="0"/>
              <w:rPr>
                <w:sz w:val="20"/>
                <w:szCs w:val="20"/>
                <w:color w:val="auto"/>
              </w:rPr>
            </w:pPr>
            <w:r>
              <w:rPr>
                <w:rFonts w:ascii="Arial" w:cs="Arial" w:eastAsia="Arial" w:hAnsi="Arial"/>
                <w:sz w:val="18"/>
                <w:szCs w:val="18"/>
                <w:color w:val="4C4C4C"/>
              </w:rPr>
              <w:t>212,906</w:t>
            </w: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i w:val="1"/>
                <w:iCs w:val="1"/>
                <w:color w:val="4C4C4C"/>
              </w:rPr>
              <w:t>Vice President, Sales—China,</w:t>
            </w:r>
          </w:p>
        </w:tc>
        <w:tc>
          <w:tcPr>
            <w:tcW w:w="480" w:type="dxa"/>
            <w:vAlign w:val="bottom"/>
            <w:gridSpan w:val="2"/>
            <w:vMerge w:val="restart"/>
          </w:tcPr>
          <w:p>
            <w:pPr>
              <w:jc w:val="center"/>
              <w:ind w:left="10"/>
              <w:spacing w:after="0"/>
              <w:rPr>
                <w:sz w:val="20"/>
                <w:szCs w:val="20"/>
                <w:color w:val="auto"/>
              </w:rPr>
            </w:pPr>
            <w:r>
              <w:rPr>
                <w:rFonts w:ascii="Arial" w:cs="Arial" w:eastAsia="Arial" w:hAnsi="Arial"/>
                <w:sz w:val="18"/>
                <w:szCs w:val="18"/>
                <w:color w:val="4C4C4C"/>
                <w:w w:val="94"/>
              </w:rPr>
              <w:t>2020</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4C4C4C"/>
              </w:rPr>
              <w:t>103,871</w:t>
            </w: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4C4C4C"/>
              </w:rPr>
              <w:t>95,700</w:t>
            </w:r>
          </w:p>
        </w:tc>
        <w:tc>
          <w:tcPr>
            <w:tcW w:w="1060" w:type="dxa"/>
            <w:vAlign w:val="bottom"/>
            <w:vMerge w:val="restart"/>
          </w:tcPr>
          <w:p>
            <w:pPr>
              <w:jc w:val="right"/>
              <w:ind w:right="33"/>
              <w:spacing w:after="0"/>
              <w:rPr>
                <w:sz w:val="20"/>
                <w:szCs w:val="20"/>
                <w:color w:val="auto"/>
              </w:rPr>
            </w:pPr>
            <w:r>
              <w:rPr>
                <w:rFonts w:ascii="Arial" w:cs="Arial" w:eastAsia="Arial" w:hAnsi="Arial"/>
                <w:sz w:val="18"/>
                <w:szCs w:val="18"/>
                <w:color w:val="4C4C4C"/>
              </w:rPr>
              <w:t>793,157</w:t>
            </w:r>
          </w:p>
        </w:tc>
        <w:tc>
          <w:tcPr>
            <w:tcW w:w="1180" w:type="dxa"/>
            <w:vAlign w:val="bottom"/>
            <w:vMerge w:val="restart"/>
          </w:tcPr>
          <w:p>
            <w:pPr>
              <w:jc w:val="right"/>
              <w:ind w:right="233"/>
              <w:spacing w:after="0"/>
              <w:rPr>
                <w:sz w:val="20"/>
                <w:szCs w:val="20"/>
                <w:color w:val="auto"/>
              </w:rPr>
            </w:pPr>
            <w:r>
              <w:rPr>
                <w:rFonts w:ascii="Arial" w:cs="Arial" w:eastAsia="Arial" w:hAnsi="Arial"/>
                <w:sz w:val="18"/>
                <w:szCs w:val="18"/>
                <w:color w:val="4C4C4C"/>
              </w:rPr>
              <w:t>15,660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4C4C4C"/>
              </w:rPr>
              <w:t>1,008,388</w:t>
            </w:r>
          </w:p>
        </w:tc>
        <w:tc>
          <w:tcPr>
            <w:tcW w:w="0" w:type="dxa"/>
            <w:vAlign w:val="bottom"/>
          </w:tcPr>
          <w:p>
            <w:pPr>
              <w:spacing w:after="0"/>
              <w:rPr>
                <w:sz w:val="1"/>
                <w:szCs w:val="1"/>
                <w:color w:val="auto"/>
              </w:rPr>
            </w:pPr>
          </w:p>
        </w:tc>
      </w:tr>
      <w:tr>
        <w:trPr>
          <w:trHeight w:val="142"/>
        </w:trPr>
        <w:tc>
          <w:tcPr>
            <w:tcW w:w="2760" w:type="dxa"/>
            <w:vAlign w:val="bottom"/>
            <w:vMerge w:val="restart"/>
          </w:tcPr>
          <w:p>
            <w:pPr>
              <w:ind w:left="20"/>
              <w:spacing w:after="0"/>
              <w:rPr>
                <w:sz w:val="20"/>
                <w:szCs w:val="20"/>
                <w:color w:val="auto"/>
              </w:rPr>
            </w:pPr>
            <w:r>
              <w:rPr>
                <w:rFonts w:ascii="Arial" w:cs="Arial" w:eastAsia="Arial" w:hAnsi="Arial"/>
                <w:sz w:val="18"/>
                <w:szCs w:val="18"/>
                <w:i w:val="1"/>
                <w:iCs w:val="1"/>
                <w:color w:val="4C4C4C"/>
              </w:rPr>
              <w:t>ACM Research (Shanghai), Inc.</w:t>
            </w:r>
          </w:p>
        </w:tc>
        <w:tc>
          <w:tcPr>
            <w:tcW w:w="48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760" w:type="dxa"/>
            <w:vAlign w:val="bottom"/>
            <w:vMerge w:val="continue"/>
          </w:tcPr>
          <w:p>
            <w:pPr>
              <w:spacing w:after="0"/>
              <w:rPr>
                <w:sz w:val="8"/>
                <w:szCs w:val="8"/>
                <w:color w:val="auto"/>
              </w:rPr>
            </w:pPr>
          </w:p>
        </w:tc>
        <w:tc>
          <w:tcPr>
            <w:tcW w:w="480" w:type="dxa"/>
            <w:vAlign w:val="bottom"/>
            <w:gridSpan w:val="2"/>
            <w:vMerge w:val="restart"/>
          </w:tcPr>
          <w:p>
            <w:pPr>
              <w:jc w:val="center"/>
              <w:ind w:left="10"/>
              <w:spacing w:after="0"/>
              <w:rPr>
                <w:sz w:val="20"/>
                <w:szCs w:val="20"/>
                <w:color w:val="auto"/>
              </w:rPr>
            </w:pPr>
            <w:r>
              <w:rPr>
                <w:rFonts w:ascii="Arial" w:cs="Arial" w:eastAsia="Arial" w:hAnsi="Arial"/>
                <w:sz w:val="18"/>
                <w:szCs w:val="18"/>
                <w:color w:val="4C4C4C"/>
                <w:w w:val="94"/>
              </w:rPr>
              <w:t>2019</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4C4C4C"/>
              </w:rPr>
              <w:t>90,603</w:t>
            </w: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color w:val="4C4C4C"/>
              </w:rPr>
              <w:t>113,129</w:t>
            </w:r>
          </w:p>
        </w:tc>
        <w:tc>
          <w:tcPr>
            <w:tcW w:w="1060" w:type="dxa"/>
            <w:vAlign w:val="bottom"/>
            <w:vMerge w:val="restart"/>
          </w:tcPr>
          <w:p>
            <w:pPr>
              <w:jc w:val="right"/>
              <w:ind w:right="33"/>
              <w:spacing w:after="0"/>
              <w:rPr>
                <w:sz w:val="20"/>
                <w:szCs w:val="20"/>
                <w:color w:val="auto"/>
              </w:rPr>
            </w:pPr>
            <w:r>
              <w:rPr>
                <w:rFonts w:ascii="Arial" w:cs="Arial" w:eastAsia="Arial" w:hAnsi="Arial"/>
                <w:sz w:val="18"/>
                <w:szCs w:val="18"/>
                <w:color w:val="4C4C4C"/>
              </w:rPr>
              <w:t>61,198</w:t>
            </w:r>
          </w:p>
        </w:tc>
        <w:tc>
          <w:tcPr>
            <w:tcW w:w="1180" w:type="dxa"/>
            <w:vAlign w:val="bottom"/>
            <w:vMerge w:val="restart"/>
          </w:tcPr>
          <w:p>
            <w:pPr>
              <w:jc w:val="right"/>
              <w:ind w:right="233"/>
              <w:spacing w:after="0"/>
              <w:rPr>
                <w:sz w:val="20"/>
                <w:szCs w:val="20"/>
                <w:color w:val="auto"/>
              </w:rPr>
            </w:pPr>
            <w:r>
              <w:rPr>
                <w:rFonts w:ascii="Arial" w:cs="Arial" w:eastAsia="Arial" w:hAnsi="Arial"/>
                <w:sz w:val="18"/>
                <w:szCs w:val="18"/>
                <w:color w:val="4C4C4C"/>
              </w:rPr>
              <w:t>13,920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4C4C4C"/>
              </w:rPr>
              <w:t>278,850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40" w:right="299" w:hanging="348"/>
        <w:spacing w:after="0" w:line="281" w:lineRule="auto"/>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Compensation amounts paid in RMB have been converted, for purposes of the table, to U.S. dollars at the average RMB per U.S. dollar exchange rate for the applicable years.</w:t>
      </w:r>
    </w:p>
    <w:p>
      <w:pPr>
        <w:spacing w:after="0" w:line="1" w:lineRule="exact"/>
        <w:rPr>
          <w:rFonts w:ascii="Arial" w:cs="Arial" w:eastAsia="Arial" w:hAnsi="Arial"/>
          <w:sz w:val="14"/>
          <w:szCs w:val="14"/>
          <w:color w:val="auto"/>
        </w:rPr>
      </w:pPr>
    </w:p>
    <w:p>
      <w:pPr>
        <w:jc w:val="both"/>
        <w:ind w:left="640" w:right="299" w:hanging="348"/>
        <w:spacing w:after="0" w:line="250" w:lineRule="auto"/>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Amounts shown represent the aggregate grant date fair value of option awards granted in accordance with Financial Accounting Standards Board Accounting Standards Codification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These amounts do not necessarily correspond to the actual amounts that will be earned by the NEOs. For assumptions made in valuing these awards and related information with respect to options awards exercisable for Class A common stock, see note 2 to our consolidated financial statements included in our Annual Report on Form 10-K for the fiscal year ended December 31, 2021.</w:t>
      </w:r>
    </w:p>
    <w:p>
      <w:pPr>
        <w:spacing w:after="0" w:line="187" w:lineRule="exact"/>
        <w:rPr>
          <w:rFonts w:ascii="Arial" w:cs="Arial" w:eastAsia="Arial" w:hAnsi="Arial"/>
          <w:sz w:val="14"/>
          <w:szCs w:val="14"/>
          <w:color w:val="auto"/>
        </w:rPr>
      </w:pPr>
    </w:p>
    <w:p>
      <w:pPr>
        <w:jc w:val="both"/>
        <w:ind w:left="640" w:right="299" w:hanging="348"/>
        <w:spacing w:after="0" w:line="271" w:lineRule="auto"/>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(a) option awards exercisable for Class A common stock and (b) with respect to Dr. Wang, Mr. Wang, Ms. Feng and Mr. Chen in 2020, option awards exercisable for shares of ACM Shanghai. See “—Grants of Plan-Based Awards” table below.</w:t>
      </w:r>
    </w:p>
    <w:p>
      <w:pPr>
        <w:spacing w:after="0" w:line="176" w:lineRule="exact"/>
        <w:rPr>
          <w:rFonts w:ascii="Arial" w:cs="Arial" w:eastAsia="Arial" w:hAnsi="Arial"/>
          <w:sz w:val="14"/>
          <w:szCs w:val="14"/>
          <w:color w:val="auto"/>
        </w:rPr>
      </w:pPr>
    </w:p>
    <w:p>
      <w:pPr>
        <w:ind w:left="640" w:right="499" w:hanging="348"/>
        <w:spacing w:after="0" w:line="285" w:lineRule="auto"/>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shown (a) consist of health insurance with respect to 2021 and (b) housing subsidies with respect to 2020 and 2019.</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Narrative Explanation of the Summary Compensation Table</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The compensation paid to our NEOs consists of the following components:</w:t>
      </w:r>
    </w:p>
    <w:p>
      <w:pPr>
        <w:spacing w:after="0" w:line="104" w:lineRule="exact"/>
        <w:rPr>
          <w:sz w:val="20"/>
          <w:szCs w:val="20"/>
          <w:color w:val="auto"/>
        </w:rPr>
      </w:pPr>
    </w:p>
    <w:p>
      <w:pPr>
        <w:ind w:left="640" w:hanging="348"/>
        <w:spacing w:after="0"/>
        <w:tabs>
          <w:tab w:leader="none" w:pos="640" w:val="left"/>
        </w:tabs>
        <w:numPr>
          <w:ilvl w:val="0"/>
          <w:numId w:val="43"/>
        </w:numPr>
        <w:rPr>
          <w:rFonts w:ascii="Arial" w:cs="Arial" w:eastAsia="Arial" w:hAnsi="Arial"/>
          <w:sz w:val="18"/>
          <w:szCs w:val="18"/>
          <w:color w:val="4C4C4C"/>
        </w:rPr>
      </w:pPr>
      <w:r>
        <w:rPr>
          <w:rFonts w:ascii="Arial" w:cs="Arial" w:eastAsia="Arial" w:hAnsi="Arial"/>
          <w:sz w:val="18"/>
          <w:szCs w:val="18"/>
          <w:color w:val="4C4C4C"/>
        </w:rPr>
        <w:t>base salary;</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43"/>
        </w:numPr>
        <w:rPr>
          <w:rFonts w:ascii="Arial" w:cs="Arial" w:eastAsia="Arial" w:hAnsi="Arial"/>
          <w:sz w:val="18"/>
          <w:szCs w:val="18"/>
          <w:color w:val="4C4C4C"/>
        </w:rPr>
      </w:pPr>
      <w:r>
        <w:rPr>
          <w:rFonts w:ascii="Arial" w:cs="Arial" w:eastAsia="Arial" w:hAnsi="Arial"/>
          <w:sz w:val="18"/>
          <w:szCs w:val="18"/>
          <w:color w:val="4C4C4C"/>
        </w:rPr>
        <w:t>discretionary-based cash bonuses;</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43"/>
        </w:numPr>
        <w:rPr>
          <w:rFonts w:ascii="Arial" w:cs="Arial" w:eastAsia="Arial" w:hAnsi="Arial"/>
          <w:sz w:val="18"/>
          <w:szCs w:val="18"/>
          <w:color w:val="4C4C4C"/>
        </w:rPr>
      </w:pPr>
      <w:r>
        <w:rPr>
          <w:rFonts w:ascii="Arial" w:cs="Arial" w:eastAsia="Arial" w:hAnsi="Arial"/>
          <w:sz w:val="18"/>
          <w:szCs w:val="18"/>
          <w:color w:val="4C4C4C"/>
        </w:rPr>
        <w:t>long-term incentive compensation in the form of stock options; and</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43"/>
        </w:numPr>
        <w:rPr>
          <w:rFonts w:ascii="Arial" w:cs="Arial" w:eastAsia="Arial" w:hAnsi="Arial"/>
          <w:sz w:val="18"/>
          <w:szCs w:val="18"/>
          <w:color w:val="4C4C4C"/>
        </w:rPr>
      </w:pPr>
      <w:r>
        <w:rPr>
          <w:rFonts w:ascii="Arial" w:cs="Arial" w:eastAsia="Arial" w:hAnsi="Arial"/>
          <w:sz w:val="18"/>
          <w:szCs w:val="18"/>
          <w:color w:val="4C4C4C"/>
        </w:rPr>
        <w:t>benefits consisting principally of housing subsidies.</w:t>
      </w:r>
    </w:p>
    <w:p>
      <w:pPr>
        <w:spacing w:after="0" w:line="17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4C4C4C"/>
        </w:rPr>
        <w:t>Annual base salaries of our NEOs in 2021 were as follows: David Wang, $183,105; Mark McKechnie, $242,703; Jian Wang, $120,094; Lisa Feng, $157,135; and Fuping Chen, $108,842.</w:t>
      </w:r>
    </w:p>
    <w:p>
      <w:pPr>
        <w:spacing w:after="0" w:line="127"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We enter into employment agreements with our employees located principally in the PRC, including each of our NEOs other than Mark McKechnie (who is based in the United States), that contain an employment term and other statutorily required terms and conditions, but do not include compensatory terms. In addition, ACM Shanghai was a party to an employment agreement with Lisa Feng that was entered into as of January 8, 2018 and extended through January 21, 2023. This agreement contained provisions with respect to base salary, annual bonus eligibility and certain severance payments.</w:t>
      </w:r>
    </w:p>
    <w:p>
      <w:pPr>
        <w:spacing w:after="0" w:line="138"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We do not have an established bonus policy for our NEOs. The compensation committee may decide, in its sole discretion, to reward NEOs with annual cash bonuses based on the achievement of individual NEO performance, our business performance (including revenues and profits, without specified targets), and development generally.</w:t>
      </w:r>
    </w:p>
    <w:p>
      <w:pPr>
        <w:spacing w:after="0" w:line="133"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4C4C4C"/>
        </w:rPr>
        <w:t>Historically, we have not typically granted stock options to NEOs on an annual basis. From time to time, however, we grant stock options, when appropriate, as the long-term incentive component of our compensation program. Our stock options allow our employees to purchase covered shares at a price equal to the fair market value on the date of grant. In some cases, we attach performance criteria to the vesting of the stock options. We did not grant any equity awards to the NEOs during 2021.</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Grants of Plan-Based Awards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We did not grant any equity awards to the NEOs during the year ended December 31, 2021.</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Outstanding Equity Awards at December 31, 2021</w:t>
      </w:r>
    </w:p>
    <w:p>
      <w:pPr>
        <w:spacing w:after="0" w:line="175" w:lineRule="exact"/>
        <w:rPr>
          <w:sz w:val="20"/>
          <w:szCs w:val="20"/>
          <w:color w:val="auto"/>
        </w:rPr>
      </w:pPr>
    </w:p>
    <w:p>
      <w:pPr>
        <w:ind w:left="300" w:right="299"/>
        <w:spacing w:after="0" w:line="271" w:lineRule="auto"/>
        <w:rPr>
          <w:sz w:val="20"/>
          <w:szCs w:val="20"/>
          <w:color w:val="auto"/>
        </w:rPr>
      </w:pPr>
      <w:r>
        <w:rPr>
          <w:rFonts w:ascii="Arial" w:cs="Arial" w:eastAsia="Arial" w:hAnsi="Arial"/>
          <w:sz w:val="18"/>
          <w:szCs w:val="18"/>
          <w:color w:val="4C4C4C"/>
        </w:rPr>
        <w:t>The following table sets forth information regarding each unexercised option held by each of our NEOs as of December 31, 2021.</w:t>
      </w:r>
    </w:p>
    <w:p>
      <w:pPr>
        <w:spacing w:after="0" w:line="24" w:lineRule="exact"/>
        <w:rPr>
          <w:sz w:val="20"/>
          <w:szCs w:val="20"/>
          <w:color w:val="auto"/>
        </w:rPr>
      </w:pPr>
    </w:p>
    <w:tbl>
      <w:tblPr>
        <w:tblLayout w:type="fixed"/>
        <w:tblInd w:w="300" w:type="dxa"/>
        <w:tblCellMar>
          <w:top w:w="0" w:type="dxa"/>
          <w:left w:w="0" w:type="dxa"/>
          <w:bottom w:w="0" w:type="dxa"/>
          <w:right w:w="0" w:type="dxa"/>
        </w:tblCellMar>
      </w:tblPr>
      <w:tr>
        <w:trPr>
          <w:trHeight w:val="322"/>
        </w:trPr>
        <w:tc>
          <w:tcPr>
            <w:tcW w:w="960" w:type="dxa"/>
            <w:vAlign w:val="bottom"/>
            <w:shd w:val="clear" w:color="auto" w:fill="0D3F64"/>
          </w:tcPr>
          <w:p>
            <w:pPr>
              <w:spacing w:after="0"/>
              <w:rPr>
                <w:sz w:val="24"/>
                <w:szCs w:val="24"/>
                <w:color w:val="auto"/>
              </w:rPr>
            </w:pPr>
          </w:p>
        </w:tc>
        <w:tc>
          <w:tcPr>
            <w:tcW w:w="40" w:type="dxa"/>
            <w:vAlign w:val="bottom"/>
            <w:shd w:val="clear" w:color="auto" w:fill="0D3F64"/>
          </w:tcPr>
          <w:p>
            <w:pPr>
              <w:spacing w:after="0"/>
              <w:rPr>
                <w:sz w:val="24"/>
                <w:szCs w:val="24"/>
                <w:color w:val="auto"/>
              </w:rPr>
            </w:pPr>
          </w:p>
        </w:tc>
        <w:tc>
          <w:tcPr>
            <w:tcW w:w="500" w:type="dxa"/>
            <w:vAlign w:val="bottom"/>
            <w:shd w:val="clear" w:color="auto" w:fill="0D3F64"/>
          </w:tcPr>
          <w:p>
            <w:pPr>
              <w:spacing w:after="0"/>
              <w:rPr>
                <w:sz w:val="24"/>
                <w:szCs w:val="24"/>
                <w:color w:val="auto"/>
              </w:rPr>
            </w:pPr>
          </w:p>
        </w:tc>
        <w:tc>
          <w:tcPr>
            <w:tcW w:w="1540" w:type="dxa"/>
            <w:vAlign w:val="bottom"/>
            <w:shd w:val="clear" w:color="auto" w:fill="0D3F64"/>
          </w:tcPr>
          <w:p>
            <w:pPr>
              <w:spacing w:after="0"/>
              <w:rPr>
                <w:sz w:val="24"/>
                <w:szCs w:val="24"/>
                <w:color w:val="auto"/>
              </w:rPr>
            </w:pPr>
          </w:p>
        </w:tc>
        <w:tc>
          <w:tcPr>
            <w:tcW w:w="2880" w:type="dxa"/>
            <w:vAlign w:val="bottom"/>
            <w:gridSpan w:val="2"/>
            <w:shd w:val="clear" w:color="auto" w:fill="0D3F64"/>
          </w:tcPr>
          <w:p>
            <w:pPr>
              <w:jc w:val="right"/>
              <w:ind w:right="361"/>
              <w:spacing w:after="0"/>
              <w:rPr>
                <w:sz w:val="20"/>
                <w:szCs w:val="20"/>
                <w:color w:val="auto"/>
              </w:rPr>
            </w:pPr>
            <w:r>
              <w:rPr>
                <w:rFonts w:ascii="Arial" w:cs="Arial" w:eastAsia="Arial" w:hAnsi="Arial"/>
                <w:sz w:val="14"/>
                <w:szCs w:val="14"/>
                <w:b w:val="1"/>
                <w:bCs w:val="1"/>
                <w:color w:val="FFFFFF"/>
              </w:rPr>
              <w:t>Option Awards</w:t>
            </w:r>
          </w:p>
        </w:tc>
        <w:tc>
          <w:tcPr>
            <w:tcW w:w="1180" w:type="dxa"/>
            <w:vAlign w:val="bottom"/>
            <w:shd w:val="clear" w:color="auto" w:fill="0D3F64"/>
          </w:tcPr>
          <w:p>
            <w:pPr>
              <w:spacing w:after="0"/>
              <w:rPr>
                <w:sz w:val="24"/>
                <w:szCs w:val="24"/>
                <w:color w:val="auto"/>
              </w:rPr>
            </w:pPr>
          </w:p>
        </w:tc>
        <w:tc>
          <w:tcPr>
            <w:tcW w:w="1320" w:type="dxa"/>
            <w:vAlign w:val="bottom"/>
            <w:shd w:val="clear" w:color="auto" w:fill="0D3F64"/>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60" w:type="dxa"/>
            <w:vAlign w:val="bottom"/>
            <w:shd w:val="clear" w:color="auto" w:fill="0D3F64"/>
          </w:tcPr>
          <w:p>
            <w:pPr>
              <w:spacing w:after="0"/>
              <w:rPr>
                <w:sz w:val="22"/>
                <w:szCs w:val="22"/>
                <w:color w:val="auto"/>
              </w:rPr>
            </w:pPr>
          </w:p>
        </w:tc>
        <w:tc>
          <w:tcPr>
            <w:tcW w:w="40" w:type="dxa"/>
            <w:vAlign w:val="bottom"/>
            <w:shd w:val="clear" w:color="auto" w:fill="0D3F64"/>
          </w:tcPr>
          <w:p>
            <w:pPr>
              <w:spacing w:after="0"/>
              <w:rPr>
                <w:sz w:val="22"/>
                <w:szCs w:val="22"/>
                <w:color w:val="auto"/>
              </w:rPr>
            </w:pPr>
          </w:p>
        </w:tc>
        <w:tc>
          <w:tcPr>
            <w:tcW w:w="500" w:type="dxa"/>
            <w:vAlign w:val="bottom"/>
            <w:shd w:val="clear" w:color="auto" w:fill="0D3F64"/>
          </w:tcPr>
          <w:p>
            <w:pPr>
              <w:spacing w:after="0"/>
              <w:rPr>
                <w:sz w:val="22"/>
                <w:szCs w:val="22"/>
                <w:color w:val="auto"/>
              </w:rPr>
            </w:pPr>
          </w:p>
        </w:tc>
        <w:tc>
          <w:tcPr>
            <w:tcW w:w="1540" w:type="dxa"/>
            <w:vAlign w:val="bottom"/>
            <w:shd w:val="clear" w:color="auto" w:fill="0D3F64"/>
          </w:tcPr>
          <w:p>
            <w:pPr>
              <w:spacing w:after="0"/>
              <w:rPr>
                <w:sz w:val="22"/>
                <w:szCs w:val="22"/>
                <w:color w:val="auto"/>
              </w:rPr>
            </w:pPr>
          </w:p>
        </w:tc>
        <w:tc>
          <w:tcPr>
            <w:tcW w:w="1560" w:type="dxa"/>
            <w:vAlign w:val="bottom"/>
            <w:shd w:val="clear" w:color="auto" w:fill="0D3F64"/>
          </w:tcPr>
          <w:p>
            <w:pPr>
              <w:spacing w:after="0"/>
              <w:rPr>
                <w:sz w:val="22"/>
                <w:szCs w:val="22"/>
                <w:color w:val="auto"/>
              </w:rPr>
            </w:pPr>
          </w:p>
        </w:tc>
        <w:tc>
          <w:tcPr>
            <w:tcW w:w="132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Equity Incentive</w:t>
            </w:r>
          </w:p>
        </w:tc>
        <w:tc>
          <w:tcPr>
            <w:tcW w:w="1180" w:type="dxa"/>
            <w:vAlign w:val="bottom"/>
            <w:shd w:val="clear" w:color="auto" w:fill="0D3F64"/>
          </w:tcPr>
          <w:p>
            <w:pPr>
              <w:spacing w:after="0"/>
              <w:rPr>
                <w:sz w:val="22"/>
                <w:szCs w:val="22"/>
                <w:color w:val="auto"/>
              </w:rPr>
            </w:pPr>
          </w:p>
        </w:tc>
        <w:tc>
          <w:tcPr>
            <w:tcW w:w="1320" w:type="dxa"/>
            <w:vAlign w:val="bottom"/>
            <w:shd w:val="clear" w:color="auto" w:fill="0D3F64"/>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0D3F64"/>
          </w:tcPr>
          <w:p>
            <w:pPr>
              <w:spacing w:after="0"/>
              <w:rPr>
                <w:sz w:val="14"/>
                <w:szCs w:val="14"/>
                <w:color w:val="auto"/>
              </w:rPr>
            </w:pPr>
          </w:p>
        </w:tc>
        <w:tc>
          <w:tcPr>
            <w:tcW w:w="40" w:type="dxa"/>
            <w:vAlign w:val="bottom"/>
            <w:shd w:val="clear" w:color="auto" w:fill="0D3F64"/>
          </w:tcPr>
          <w:p>
            <w:pPr>
              <w:spacing w:after="0"/>
              <w:rPr>
                <w:sz w:val="14"/>
                <w:szCs w:val="14"/>
                <w:color w:val="auto"/>
              </w:rPr>
            </w:pPr>
          </w:p>
        </w:tc>
        <w:tc>
          <w:tcPr>
            <w:tcW w:w="500" w:type="dxa"/>
            <w:vAlign w:val="bottom"/>
            <w:shd w:val="clear" w:color="auto" w:fill="0D3F64"/>
          </w:tcPr>
          <w:p>
            <w:pPr>
              <w:spacing w:after="0"/>
              <w:rPr>
                <w:sz w:val="14"/>
                <w:szCs w:val="14"/>
                <w:color w:val="auto"/>
              </w:rPr>
            </w:pPr>
          </w:p>
        </w:tc>
        <w:tc>
          <w:tcPr>
            <w:tcW w:w="1540" w:type="dxa"/>
            <w:vAlign w:val="bottom"/>
            <w:shd w:val="clear" w:color="auto" w:fill="0D3F64"/>
          </w:tcPr>
          <w:p>
            <w:pPr>
              <w:spacing w:after="0"/>
              <w:rPr>
                <w:sz w:val="14"/>
                <w:szCs w:val="14"/>
                <w:color w:val="auto"/>
              </w:rPr>
            </w:pPr>
          </w:p>
        </w:tc>
        <w:tc>
          <w:tcPr>
            <w:tcW w:w="1560" w:type="dxa"/>
            <w:vAlign w:val="bottom"/>
            <w:shd w:val="clear" w:color="auto" w:fill="0D3F64"/>
          </w:tcPr>
          <w:p>
            <w:pPr>
              <w:spacing w:after="0"/>
              <w:rPr>
                <w:sz w:val="14"/>
                <w:szCs w:val="14"/>
                <w:color w:val="auto"/>
              </w:rPr>
            </w:pPr>
          </w:p>
        </w:tc>
        <w:tc>
          <w:tcPr>
            <w:tcW w:w="132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Plan Awards:</w:t>
            </w:r>
          </w:p>
        </w:tc>
        <w:tc>
          <w:tcPr>
            <w:tcW w:w="1180" w:type="dxa"/>
            <w:vAlign w:val="bottom"/>
            <w:shd w:val="clear" w:color="auto" w:fill="0D3F64"/>
          </w:tcPr>
          <w:p>
            <w:pPr>
              <w:spacing w:after="0"/>
              <w:rPr>
                <w:sz w:val="14"/>
                <w:szCs w:val="14"/>
                <w:color w:val="auto"/>
              </w:rPr>
            </w:pPr>
          </w:p>
        </w:tc>
        <w:tc>
          <w:tcPr>
            <w:tcW w:w="1320" w:type="dxa"/>
            <w:vAlign w:val="bottom"/>
            <w:shd w:val="clear" w:color="auto" w:fill="0D3F6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0D3F64"/>
          </w:tcPr>
          <w:p>
            <w:pPr>
              <w:spacing w:after="0"/>
              <w:rPr>
                <w:sz w:val="14"/>
                <w:szCs w:val="14"/>
                <w:color w:val="auto"/>
              </w:rPr>
            </w:pPr>
          </w:p>
        </w:tc>
        <w:tc>
          <w:tcPr>
            <w:tcW w:w="40" w:type="dxa"/>
            <w:vAlign w:val="bottom"/>
            <w:shd w:val="clear" w:color="auto" w:fill="0D3F64"/>
          </w:tcPr>
          <w:p>
            <w:pPr>
              <w:spacing w:after="0"/>
              <w:rPr>
                <w:sz w:val="14"/>
                <w:szCs w:val="14"/>
                <w:color w:val="auto"/>
              </w:rPr>
            </w:pPr>
          </w:p>
        </w:tc>
        <w:tc>
          <w:tcPr>
            <w:tcW w:w="500" w:type="dxa"/>
            <w:vAlign w:val="bottom"/>
            <w:shd w:val="clear" w:color="auto" w:fill="0D3F64"/>
          </w:tcPr>
          <w:p>
            <w:pPr>
              <w:spacing w:after="0"/>
              <w:rPr>
                <w:sz w:val="14"/>
                <w:szCs w:val="14"/>
                <w:color w:val="auto"/>
              </w:rPr>
            </w:pPr>
          </w:p>
        </w:tc>
        <w:tc>
          <w:tcPr>
            <w:tcW w:w="1540" w:type="dxa"/>
            <w:vAlign w:val="bottom"/>
            <w:shd w:val="clear" w:color="auto" w:fill="0D3F64"/>
          </w:tcPr>
          <w:p>
            <w:pPr>
              <w:spacing w:after="0"/>
              <w:rPr>
                <w:sz w:val="14"/>
                <w:szCs w:val="14"/>
                <w:color w:val="auto"/>
              </w:rPr>
            </w:pPr>
          </w:p>
        </w:tc>
        <w:tc>
          <w:tcPr>
            <w:tcW w:w="1560" w:type="dxa"/>
            <w:vAlign w:val="bottom"/>
            <w:shd w:val="clear" w:color="auto" w:fill="0D3F64"/>
          </w:tcPr>
          <w:p>
            <w:pPr>
              <w:spacing w:after="0"/>
              <w:rPr>
                <w:sz w:val="14"/>
                <w:szCs w:val="14"/>
                <w:color w:val="auto"/>
              </w:rPr>
            </w:pPr>
          </w:p>
        </w:tc>
        <w:tc>
          <w:tcPr>
            <w:tcW w:w="132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Number of</w:t>
            </w:r>
          </w:p>
        </w:tc>
        <w:tc>
          <w:tcPr>
            <w:tcW w:w="1180" w:type="dxa"/>
            <w:vAlign w:val="bottom"/>
            <w:shd w:val="clear" w:color="auto" w:fill="0D3F64"/>
          </w:tcPr>
          <w:p>
            <w:pPr>
              <w:spacing w:after="0"/>
              <w:rPr>
                <w:sz w:val="14"/>
                <w:szCs w:val="14"/>
                <w:color w:val="auto"/>
              </w:rPr>
            </w:pPr>
          </w:p>
        </w:tc>
        <w:tc>
          <w:tcPr>
            <w:tcW w:w="1320" w:type="dxa"/>
            <w:vAlign w:val="bottom"/>
            <w:shd w:val="clear" w:color="auto" w:fill="0D3F6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0D3F64"/>
          </w:tcPr>
          <w:p>
            <w:pPr>
              <w:spacing w:after="0"/>
              <w:rPr>
                <w:sz w:val="14"/>
                <w:szCs w:val="14"/>
                <w:color w:val="auto"/>
              </w:rPr>
            </w:pPr>
          </w:p>
        </w:tc>
        <w:tc>
          <w:tcPr>
            <w:tcW w:w="40" w:type="dxa"/>
            <w:vAlign w:val="bottom"/>
            <w:shd w:val="clear" w:color="auto" w:fill="0D3F64"/>
          </w:tcPr>
          <w:p>
            <w:pPr>
              <w:spacing w:after="0"/>
              <w:rPr>
                <w:sz w:val="14"/>
                <w:szCs w:val="14"/>
                <w:color w:val="auto"/>
              </w:rPr>
            </w:pPr>
          </w:p>
        </w:tc>
        <w:tc>
          <w:tcPr>
            <w:tcW w:w="500" w:type="dxa"/>
            <w:vAlign w:val="bottom"/>
            <w:shd w:val="clear" w:color="auto" w:fill="0D3F64"/>
          </w:tcPr>
          <w:p>
            <w:pPr>
              <w:spacing w:after="0"/>
              <w:rPr>
                <w:sz w:val="14"/>
                <w:szCs w:val="14"/>
                <w:color w:val="auto"/>
              </w:rPr>
            </w:pPr>
          </w:p>
        </w:tc>
        <w:tc>
          <w:tcPr>
            <w:tcW w:w="154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156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132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Securities</w:t>
            </w:r>
          </w:p>
        </w:tc>
        <w:tc>
          <w:tcPr>
            <w:tcW w:w="1180" w:type="dxa"/>
            <w:vAlign w:val="bottom"/>
            <w:shd w:val="clear" w:color="auto" w:fill="0D3F64"/>
          </w:tcPr>
          <w:p>
            <w:pPr>
              <w:spacing w:after="0"/>
              <w:rPr>
                <w:sz w:val="14"/>
                <w:szCs w:val="14"/>
                <w:color w:val="auto"/>
              </w:rPr>
            </w:pPr>
          </w:p>
        </w:tc>
        <w:tc>
          <w:tcPr>
            <w:tcW w:w="1320" w:type="dxa"/>
            <w:vAlign w:val="bottom"/>
            <w:shd w:val="clear" w:color="auto" w:fill="0D3F6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0D3F64"/>
          </w:tcPr>
          <w:p>
            <w:pPr>
              <w:spacing w:after="0"/>
              <w:rPr>
                <w:sz w:val="14"/>
                <w:szCs w:val="14"/>
                <w:color w:val="auto"/>
              </w:rPr>
            </w:pPr>
          </w:p>
        </w:tc>
        <w:tc>
          <w:tcPr>
            <w:tcW w:w="40" w:type="dxa"/>
            <w:vAlign w:val="bottom"/>
            <w:shd w:val="clear" w:color="auto" w:fill="0D3F64"/>
          </w:tcPr>
          <w:p>
            <w:pPr>
              <w:spacing w:after="0"/>
              <w:rPr>
                <w:sz w:val="14"/>
                <w:szCs w:val="14"/>
                <w:color w:val="auto"/>
              </w:rPr>
            </w:pPr>
          </w:p>
        </w:tc>
        <w:tc>
          <w:tcPr>
            <w:tcW w:w="500" w:type="dxa"/>
            <w:vAlign w:val="bottom"/>
            <w:shd w:val="clear" w:color="auto" w:fill="0D3F64"/>
          </w:tcPr>
          <w:p>
            <w:pPr>
              <w:spacing w:after="0"/>
              <w:rPr>
                <w:sz w:val="14"/>
                <w:szCs w:val="14"/>
                <w:color w:val="auto"/>
              </w:rPr>
            </w:pPr>
          </w:p>
        </w:tc>
        <w:tc>
          <w:tcPr>
            <w:tcW w:w="154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Underlying</w:t>
            </w:r>
          </w:p>
        </w:tc>
        <w:tc>
          <w:tcPr>
            <w:tcW w:w="156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Underlying</w:t>
            </w:r>
          </w:p>
        </w:tc>
        <w:tc>
          <w:tcPr>
            <w:tcW w:w="132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Underlying</w:t>
            </w:r>
          </w:p>
        </w:tc>
        <w:tc>
          <w:tcPr>
            <w:tcW w:w="1180" w:type="dxa"/>
            <w:vAlign w:val="bottom"/>
            <w:shd w:val="clear" w:color="auto" w:fill="0D3F64"/>
          </w:tcPr>
          <w:p>
            <w:pPr>
              <w:spacing w:after="0"/>
              <w:rPr>
                <w:sz w:val="14"/>
                <w:szCs w:val="14"/>
                <w:color w:val="auto"/>
              </w:rPr>
            </w:pPr>
          </w:p>
        </w:tc>
        <w:tc>
          <w:tcPr>
            <w:tcW w:w="1320" w:type="dxa"/>
            <w:vAlign w:val="bottom"/>
            <w:shd w:val="clear" w:color="auto" w:fill="0D3F6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0D3F64"/>
          </w:tcPr>
          <w:p>
            <w:pPr>
              <w:spacing w:after="0"/>
              <w:rPr>
                <w:sz w:val="14"/>
                <w:szCs w:val="14"/>
                <w:color w:val="auto"/>
              </w:rPr>
            </w:pPr>
          </w:p>
        </w:tc>
        <w:tc>
          <w:tcPr>
            <w:tcW w:w="40" w:type="dxa"/>
            <w:vAlign w:val="bottom"/>
            <w:shd w:val="clear" w:color="auto" w:fill="0D3F64"/>
          </w:tcPr>
          <w:p>
            <w:pPr>
              <w:spacing w:after="0"/>
              <w:rPr>
                <w:sz w:val="14"/>
                <w:szCs w:val="14"/>
                <w:color w:val="auto"/>
              </w:rPr>
            </w:pPr>
          </w:p>
        </w:tc>
        <w:tc>
          <w:tcPr>
            <w:tcW w:w="500" w:type="dxa"/>
            <w:vAlign w:val="bottom"/>
            <w:shd w:val="clear" w:color="auto" w:fill="0D3F64"/>
          </w:tcPr>
          <w:p>
            <w:pPr>
              <w:spacing w:after="0"/>
              <w:rPr>
                <w:sz w:val="14"/>
                <w:szCs w:val="14"/>
                <w:color w:val="auto"/>
              </w:rPr>
            </w:pPr>
          </w:p>
        </w:tc>
        <w:tc>
          <w:tcPr>
            <w:tcW w:w="154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Unexercised Options</w:t>
            </w:r>
          </w:p>
        </w:tc>
        <w:tc>
          <w:tcPr>
            <w:tcW w:w="156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Unexercised Options</w:t>
            </w:r>
          </w:p>
        </w:tc>
        <w:tc>
          <w:tcPr>
            <w:tcW w:w="132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Unexercised</w:t>
            </w:r>
          </w:p>
        </w:tc>
        <w:tc>
          <w:tcPr>
            <w:tcW w:w="1180" w:type="dxa"/>
            <w:vAlign w:val="bottom"/>
            <w:shd w:val="clear" w:color="auto" w:fill="0D3F64"/>
          </w:tcPr>
          <w:p>
            <w:pPr>
              <w:jc w:val="right"/>
              <w:spacing w:after="0"/>
              <w:rPr>
                <w:sz w:val="20"/>
                <w:szCs w:val="20"/>
                <w:color w:val="auto"/>
              </w:rPr>
            </w:pPr>
            <w:r>
              <w:rPr>
                <w:rFonts w:ascii="Arial" w:cs="Arial" w:eastAsia="Arial" w:hAnsi="Arial"/>
                <w:sz w:val="14"/>
                <w:szCs w:val="14"/>
                <w:b w:val="1"/>
                <w:bCs w:val="1"/>
                <w:color w:val="FFFFFF"/>
              </w:rPr>
              <w:t>Option Exercise</w:t>
            </w:r>
          </w:p>
        </w:tc>
        <w:tc>
          <w:tcPr>
            <w:tcW w:w="1320" w:type="dxa"/>
            <w:vAlign w:val="bottom"/>
            <w:shd w:val="clear" w:color="auto" w:fill="0D3F64"/>
          </w:tcPr>
          <w:p>
            <w:pPr>
              <w:jc w:val="right"/>
              <w:spacing w:after="0"/>
              <w:rPr>
                <w:sz w:val="20"/>
                <w:szCs w:val="20"/>
                <w:color w:val="auto"/>
              </w:rPr>
            </w:pPr>
            <w:r>
              <w:rPr>
                <w:rFonts w:ascii="Arial" w:cs="Arial" w:eastAsia="Arial" w:hAnsi="Arial"/>
                <w:sz w:val="14"/>
                <w:szCs w:val="14"/>
                <w:b w:val="1"/>
                <w:bCs w:val="1"/>
                <w:color w:val="FFFFFF"/>
              </w:rPr>
              <w:t>Option Expiration</w:t>
            </w:r>
          </w:p>
        </w:tc>
        <w:tc>
          <w:tcPr>
            <w:tcW w:w="0" w:type="dxa"/>
            <w:vAlign w:val="bottom"/>
          </w:tcPr>
          <w:p>
            <w:pPr>
              <w:spacing w:after="0"/>
              <w:rPr>
                <w:sz w:val="1"/>
                <w:szCs w:val="1"/>
                <w:color w:val="auto"/>
              </w:rPr>
            </w:pPr>
          </w:p>
        </w:tc>
      </w:tr>
      <w:tr>
        <w:trPr>
          <w:trHeight w:val="212"/>
        </w:trPr>
        <w:tc>
          <w:tcPr>
            <w:tcW w:w="960" w:type="dxa"/>
            <w:vAlign w:val="bottom"/>
            <w:shd w:val="clear" w:color="auto" w:fill="0D3F64"/>
          </w:tcPr>
          <w:p>
            <w:pPr>
              <w:ind w:left="20"/>
              <w:spacing w:after="0"/>
              <w:rPr>
                <w:sz w:val="20"/>
                <w:szCs w:val="20"/>
                <w:color w:val="auto"/>
              </w:rPr>
            </w:pPr>
            <w:r>
              <w:rPr>
                <w:rFonts w:ascii="Arial" w:cs="Arial" w:eastAsia="Arial" w:hAnsi="Arial"/>
                <w:sz w:val="14"/>
                <w:szCs w:val="14"/>
                <w:b w:val="1"/>
                <w:bCs w:val="1"/>
                <w:color w:val="FFFFFF"/>
              </w:rPr>
              <w:t>Name</w:t>
            </w:r>
          </w:p>
        </w:tc>
        <w:tc>
          <w:tcPr>
            <w:tcW w:w="40" w:type="dxa"/>
            <w:vAlign w:val="bottom"/>
            <w:shd w:val="clear" w:color="auto" w:fill="0D3F64"/>
          </w:tcPr>
          <w:p>
            <w:pPr>
              <w:spacing w:after="0"/>
              <w:rPr>
                <w:sz w:val="18"/>
                <w:szCs w:val="18"/>
                <w:color w:val="auto"/>
              </w:rPr>
            </w:pPr>
          </w:p>
        </w:tc>
        <w:tc>
          <w:tcPr>
            <w:tcW w:w="500" w:type="dxa"/>
            <w:vAlign w:val="bottom"/>
            <w:shd w:val="clear" w:color="auto" w:fill="0D3F64"/>
          </w:tcPr>
          <w:p>
            <w:pPr>
              <w:spacing w:after="0"/>
              <w:rPr>
                <w:sz w:val="18"/>
                <w:szCs w:val="18"/>
                <w:color w:val="auto"/>
              </w:rPr>
            </w:pPr>
          </w:p>
        </w:tc>
        <w:tc>
          <w:tcPr>
            <w:tcW w:w="154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Exercisable</w:t>
            </w:r>
          </w:p>
        </w:tc>
        <w:tc>
          <w:tcPr>
            <w:tcW w:w="156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Unexercisable</w:t>
            </w:r>
          </w:p>
        </w:tc>
        <w:tc>
          <w:tcPr>
            <w:tcW w:w="132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Unearned Options</w:t>
            </w:r>
          </w:p>
        </w:tc>
        <w:tc>
          <w:tcPr>
            <w:tcW w:w="1180" w:type="dxa"/>
            <w:vAlign w:val="bottom"/>
            <w:shd w:val="clear" w:color="auto" w:fill="0D3F64"/>
          </w:tcPr>
          <w:p>
            <w:pPr>
              <w:jc w:val="right"/>
              <w:ind w:right="220"/>
              <w:spacing w:after="0"/>
              <w:rPr>
                <w:sz w:val="20"/>
                <w:szCs w:val="20"/>
                <w:color w:val="auto"/>
              </w:rPr>
            </w:pPr>
            <w:r>
              <w:rPr>
                <w:rFonts w:ascii="Arial" w:cs="Arial" w:eastAsia="Arial" w:hAnsi="Arial"/>
                <w:sz w:val="14"/>
                <w:szCs w:val="14"/>
                <w:b w:val="1"/>
                <w:bCs w:val="1"/>
                <w:color w:val="FFFFFF"/>
              </w:rPr>
              <w:t>Price ($)</w:t>
            </w:r>
          </w:p>
        </w:tc>
        <w:tc>
          <w:tcPr>
            <w:tcW w:w="1320" w:type="dxa"/>
            <w:vAlign w:val="bottom"/>
            <w:shd w:val="clear" w:color="auto" w:fill="0D3F64"/>
          </w:tcPr>
          <w:p>
            <w:pPr>
              <w:jc w:val="right"/>
              <w:ind w:right="400"/>
              <w:spacing w:after="0"/>
              <w:rPr>
                <w:sz w:val="20"/>
                <w:szCs w:val="20"/>
                <w:color w:val="auto"/>
              </w:rPr>
            </w:pPr>
            <w:r>
              <w:rPr>
                <w:rFonts w:ascii="Arial" w:cs="Arial" w:eastAsia="Arial" w:hAnsi="Arial"/>
                <w:sz w:val="14"/>
                <w:szCs w:val="14"/>
                <w:b w:val="1"/>
                <w:bCs w:val="1"/>
                <w:color w:val="FFFFFF"/>
              </w:rPr>
              <w:t>Date</w:t>
            </w:r>
          </w:p>
        </w:tc>
        <w:tc>
          <w:tcPr>
            <w:tcW w:w="0" w:type="dxa"/>
            <w:vAlign w:val="bottom"/>
          </w:tcPr>
          <w:p>
            <w:pPr>
              <w:spacing w:after="0"/>
              <w:rPr>
                <w:sz w:val="1"/>
                <w:szCs w:val="1"/>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6"/>
                <w:szCs w:val="16"/>
                <w:color w:val="4C4C4C"/>
              </w:rPr>
              <w:t>David H.</w:t>
            </w:r>
          </w:p>
        </w:tc>
        <w:tc>
          <w:tcPr>
            <w:tcW w:w="540" w:type="dxa"/>
            <w:vAlign w:val="bottom"/>
            <w:gridSpan w:val="2"/>
          </w:tcPr>
          <w:p>
            <w:pPr>
              <w:jc w:val="center"/>
              <w:spacing w:after="0"/>
              <w:rPr>
                <w:sz w:val="20"/>
                <w:szCs w:val="20"/>
                <w:color w:val="auto"/>
              </w:rPr>
            </w:pPr>
            <w:r>
              <w:rPr>
                <w:rFonts w:ascii="Arial" w:cs="Arial" w:eastAsia="Arial" w:hAnsi="Arial"/>
                <w:sz w:val="16"/>
                <w:szCs w:val="16"/>
                <w:color w:val="4C4C4C"/>
              </w:rPr>
              <w:t>(1)(3)</w:t>
            </w:r>
          </w:p>
        </w:tc>
        <w:tc>
          <w:tcPr>
            <w:tcW w:w="1540" w:type="dxa"/>
            <w:vAlign w:val="bottom"/>
          </w:tcPr>
          <w:p>
            <w:pPr>
              <w:jc w:val="right"/>
              <w:ind w:right="400"/>
              <w:spacing w:after="0"/>
              <w:rPr>
                <w:sz w:val="20"/>
                <w:szCs w:val="20"/>
                <w:color w:val="auto"/>
              </w:rPr>
            </w:pPr>
            <w:r>
              <w:rPr>
                <w:rFonts w:ascii="Arial" w:cs="Arial" w:eastAsia="Arial" w:hAnsi="Arial"/>
                <w:sz w:val="16"/>
                <w:szCs w:val="16"/>
                <w:color w:val="4C4C4C"/>
              </w:rPr>
              <w:t>1,200,000</w:t>
            </w:r>
          </w:p>
        </w:tc>
        <w:tc>
          <w:tcPr>
            <w:tcW w:w="1560" w:type="dxa"/>
            <w:vAlign w:val="bottom"/>
          </w:tcPr>
          <w:p>
            <w:pPr>
              <w:jc w:val="right"/>
              <w:ind w:right="561"/>
              <w:spacing w:after="0"/>
              <w:rPr>
                <w:sz w:val="20"/>
                <w:szCs w:val="20"/>
                <w:color w:val="auto"/>
              </w:rPr>
            </w:pPr>
            <w:r>
              <w:rPr>
                <w:rFonts w:ascii="Arial" w:cs="Arial" w:eastAsia="Arial" w:hAnsi="Arial"/>
                <w:sz w:val="16"/>
                <w:szCs w:val="16"/>
                <w:color w:val="4C4C4C"/>
              </w:rPr>
              <w:t>—</w:t>
            </w:r>
          </w:p>
        </w:tc>
        <w:tc>
          <w:tcPr>
            <w:tcW w:w="1320" w:type="dxa"/>
            <w:vAlign w:val="bottom"/>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tcPr>
          <w:p>
            <w:pPr>
              <w:jc w:val="right"/>
              <w:ind w:right="400"/>
              <w:spacing w:after="0"/>
              <w:rPr>
                <w:sz w:val="20"/>
                <w:szCs w:val="20"/>
                <w:color w:val="auto"/>
              </w:rPr>
            </w:pPr>
            <w:r>
              <w:rPr>
                <w:rFonts w:ascii="Arial" w:cs="Arial" w:eastAsia="Arial" w:hAnsi="Arial"/>
                <w:sz w:val="16"/>
                <w:szCs w:val="16"/>
                <w:color w:val="4C4C4C"/>
              </w:rPr>
              <w:t>0.50</w:t>
            </w:r>
          </w:p>
        </w:tc>
        <w:tc>
          <w:tcPr>
            <w:tcW w:w="1320" w:type="dxa"/>
            <w:vAlign w:val="bottom"/>
          </w:tcPr>
          <w:p>
            <w:pPr>
              <w:jc w:val="right"/>
              <w:ind w:right="240"/>
              <w:spacing w:after="0"/>
              <w:rPr>
                <w:sz w:val="20"/>
                <w:szCs w:val="20"/>
                <w:color w:val="auto"/>
              </w:rPr>
            </w:pPr>
            <w:r>
              <w:rPr>
                <w:rFonts w:ascii="Arial" w:cs="Arial" w:eastAsia="Arial" w:hAnsi="Arial"/>
                <w:sz w:val="16"/>
                <w:szCs w:val="16"/>
                <w:color w:val="4C4C4C"/>
              </w:rPr>
              <w:t>4/30/2025</w:t>
            </w:r>
          </w:p>
        </w:tc>
        <w:tc>
          <w:tcPr>
            <w:tcW w:w="0" w:type="dxa"/>
            <w:vAlign w:val="bottom"/>
          </w:tcPr>
          <w:p>
            <w:pPr>
              <w:spacing w:after="0"/>
              <w:rPr>
                <w:sz w:val="1"/>
                <w:szCs w:val="1"/>
                <w:color w:val="auto"/>
              </w:rPr>
            </w:pPr>
          </w:p>
        </w:tc>
      </w:tr>
      <w:tr>
        <w:trPr>
          <w:trHeight w:val="215"/>
        </w:trPr>
        <w:tc>
          <w:tcPr>
            <w:tcW w:w="960" w:type="dxa"/>
            <w:vAlign w:val="bottom"/>
          </w:tcPr>
          <w:p>
            <w:pPr>
              <w:ind w:left="20"/>
              <w:spacing w:after="0"/>
              <w:rPr>
                <w:sz w:val="20"/>
                <w:szCs w:val="20"/>
                <w:color w:val="auto"/>
              </w:rPr>
            </w:pPr>
            <w:r>
              <w:rPr>
                <w:rFonts w:ascii="Arial" w:cs="Arial" w:eastAsia="Arial" w:hAnsi="Arial"/>
                <w:sz w:val="16"/>
                <w:szCs w:val="16"/>
                <w:color w:val="4C4C4C"/>
              </w:rPr>
              <w:t>Wang</w:t>
            </w:r>
          </w:p>
        </w:tc>
        <w:tc>
          <w:tcPr>
            <w:tcW w:w="540" w:type="dxa"/>
            <w:vAlign w:val="bottom"/>
            <w:gridSpan w:val="2"/>
            <w:vMerge w:val="restart"/>
          </w:tcPr>
          <w:p>
            <w:pPr>
              <w:jc w:val="center"/>
              <w:spacing w:after="0"/>
              <w:rPr>
                <w:sz w:val="20"/>
                <w:szCs w:val="20"/>
                <w:color w:val="auto"/>
              </w:rPr>
            </w:pPr>
            <w:r>
              <w:rPr>
                <w:rFonts w:ascii="Arial" w:cs="Arial" w:eastAsia="Arial" w:hAnsi="Arial"/>
                <w:sz w:val="16"/>
                <w:szCs w:val="16"/>
                <w:color w:val="4C4C4C"/>
              </w:rPr>
              <w:t>(1)(4)</w:t>
            </w:r>
          </w:p>
        </w:tc>
        <w:tc>
          <w:tcPr>
            <w:tcW w:w="1540" w:type="dxa"/>
            <w:vAlign w:val="bottom"/>
            <w:vMerge w:val="restart"/>
          </w:tcPr>
          <w:p>
            <w:pPr>
              <w:jc w:val="right"/>
              <w:ind w:right="400"/>
              <w:spacing w:after="0"/>
              <w:rPr>
                <w:sz w:val="20"/>
                <w:szCs w:val="20"/>
                <w:color w:val="auto"/>
              </w:rPr>
            </w:pPr>
            <w:r>
              <w:rPr>
                <w:rFonts w:ascii="Arial" w:cs="Arial" w:eastAsia="Arial" w:hAnsi="Arial"/>
                <w:sz w:val="16"/>
                <w:szCs w:val="16"/>
                <w:color w:val="4C4C4C"/>
              </w:rPr>
              <w:t>1,000,002</w:t>
            </w:r>
          </w:p>
        </w:tc>
        <w:tc>
          <w:tcPr>
            <w:tcW w:w="1560" w:type="dxa"/>
            <w:vAlign w:val="bottom"/>
            <w:vMerge w:val="restart"/>
          </w:tcPr>
          <w:p>
            <w:pPr>
              <w:jc w:val="right"/>
              <w:ind w:right="561"/>
              <w:spacing w:after="0"/>
              <w:rPr>
                <w:sz w:val="20"/>
                <w:szCs w:val="20"/>
                <w:color w:val="auto"/>
              </w:rPr>
            </w:pPr>
            <w:r>
              <w:rPr>
                <w:rFonts w:ascii="Arial" w:cs="Arial" w:eastAsia="Arial" w:hAnsi="Arial"/>
                <w:sz w:val="16"/>
                <w:szCs w:val="16"/>
                <w:color w:val="4C4C4C"/>
              </w:rPr>
              <w:t>—</w:t>
            </w:r>
          </w:p>
        </w:tc>
        <w:tc>
          <w:tcPr>
            <w:tcW w:w="1320" w:type="dxa"/>
            <w:vAlign w:val="bottom"/>
            <w:vMerge w:val="restart"/>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vMerge w:val="restart"/>
          </w:tcPr>
          <w:p>
            <w:pPr>
              <w:jc w:val="right"/>
              <w:ind w:right="400"/>
              <w:spacing w:after="0"/>
              <w:rPr>
                <w:sz w:val="20"/>
                <w:szCs w:val="20"/>
                <w:color w:val="auto"/>
              </w:rPr>
            </w:pPr>
            <w:r>
              <w:rPr>
                <w:rFonts w:ascii="Arial" w:cs="Arial" w:eastAsia="Arial" w:hAnsi="Arial"/>
                <w:sz w:val="16"/>
                <w:szCs w:val="16"/>
                <w:color w:val="4C4C4C"/>
              </w:rPr>
              <w:t>1.00</w:t>
            </w:r>
          </w:p>
        </w:tc>
        <w:tc>
          <w:tcPr>
            <w:tcW w:w="1320" w:type="dxa"/>
            <w:vAlign w:val="bottom"/>
            <w:vMerge w:val="restart"/>
          </w:tcPr>
          <w:p>
            <w:pPr>
              <w:jc w:val="right"/>
              <w:ind w:right="240"/>
              <w:spacing w:after="0"/>
              <w:rPr>
                <w:sz w:val="20"/>
                <w:szCs w:val="20"/>
                <w:color w:val="auto"/>
              </w:rPr>
            </w:pPr>
            <w:r>
              <w:rPr>
                <w:rFonts w:ascii="Arial" w:cs="Arial" w:eastAsia="Arial" w:hAnsi="Arial"/>
                <w:sz w:val="16"/>
                <w:szCs w:val="16"/>
                <w:color w:val="4C4C4C"/>
              </w:rPr>
              <w:t>12/27/2026</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96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4C4C4C"/>
              </w:rPr>
              <w:t>(1)(5)</w:t>
            </w:r>
          </w:p>
        </w:tc>
        <w:tc>
          <w:tcPr>
            <w:tcW w:w="1540" w:type="dxa"/>
            <w:vAlign w:val="bottom"/>
          </w:tcPr>
          <w:p>
            <w:pPr>
              <w:jc w:val="right"/>
              <w:ind w:right="420"/>
              <w:spacing w:after="0"/>
              <w:rPr>
                <w:sz w:val="20"/>
                <w:szCs w:val="20"/>
                <w:color w:val="auto"/>
              </w:rPr>
            </w:pPr>
            <w:r>
              <w:rPr>
                <w:rFonts w:ascii="Arial" w:cs="Arial" w:eastAsia="Arial" w:hAnsi="Arial"/>
                <w:sz w:val="16"/>
                <w:szCs w:val="16"/>
                <w:color w:val="4C4C4C"/>
              </w:rPr>
              <w:t>99,999</w:t>
            </w:r>
          </w:p>
        </w:tc>
        <w:tc>
          <w:tcPr>
            <w:tcW w:w="1560" w:type="dxa"/>
            <w:vAlign w:val="bottom"/>
          </w:tcPr>
          <w:p>
            <w:pPr>
              <w:jc w:val="right"/>
              <w:ind w:right="521"/>
              <w:spacing w:after="0"/>
              <w:rPr>
                <w:sz w:val="20"/>
                <w:szCs w:val="20"/>
                <w:color w:val="auto"/>
              </w:rPr>
            </w:pPr>
            <w:r>
              <w:rPr>
                <w:rFonts w:ascii="Arial" w:cs="Arial" w:eastAsia="Arial" w:hAnsi="Arial"/>
                <w:sz w:val="16"/>
                <w:szCs w:val="16"/>
                <w:color w:val="4C4C4C"/>
              </w:rPr>
              <w:t>50,001</w:t>
            </w:r>
          </w:p>
        </w:tc>
        <w:tc>
          <w:tcPr>
            <w:tcW w:w="1320" w:type="dxa"/>
            <w:vAlign w:val="bottom"/>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tcPr>
          <w:p>
            <w:pPr>
              <w:jc w:val="right"/>
              <w:ind w:right="400"/>
              <w:spacing w:after="0"/>
              <w:rPr>
                <w:sz w:val="20"/>
                <w:szCs w:val="20"/>
                <w:color w:val="auto"/>
              </w:rPr>
            </w:pPr>
            <w:r>
              <w:rPr>
                <w:rFonts w:ascii="Arial" w:cs="Arial" w:eastAsia="Arial" w:hAnsi="Arial"/>
                <w:sz w:val="16"/>
                <w:szCs w:val="16"/>
                <w:color w:val="4C4C4C"/>
              </w:rPr>
              <w:t>5.60</w:t>
            </w:r>
          </w:p>
        </w:tc>
        <w:tc>
          <w:tcPr>
            <w:tcW w:w="1320" w:type="dxa"/>
            <w:vAlign w:val="bottom"/>
          </w:tcPr>
          <w:p>
            <w:pPr>
              <w:jc w:val="right"/>
              <w:ind w:right="240"/>
              <w:spacing w:after="0"/>
              <w:rPr>
                <w:sz w:val="20"/>
                <w:szCs w:val="20"/>
                <w:color w:val="auto"/>
              </w:rPr>
            </w:pPr>
            <w:r>
              <w:rPr>
                <w:rFonts w:ascii="Arial" w:cs="Arial" w:eastAsia="Arial" w:hAnsi="Arial"/>
                <w:sz w:val="16"/>
                <w:szCs w:val="16"/>
                <w:color w:val="4C4C4C"/>
              </w:rPr>
              <w:t>4/22/2029</w:t>
            </w:r>
          </w:p>
        </w:tc>
        <w:tc>
          <w:tcPr>
            <w:tcW w:w="0" w:type="dxa"/>
            <w:vAlign w:val="bottom"/>
          </w:tcPr>
          <w:p>
            <w:pPr>
              <w:spacing w:after="0"/>
              <w:rPr>
                <w:sz w:val="1"/>
                <w:szCs w:val="1"/>
                <w:color w:val="auto"/>
              </w:rPr>
            </w:pPr>
          </w:p>
        </w:tc>
      </w:tr>
      <w:tr>
        <w:trPr>
          <w:trHeight w:val="297"/>
        </w:trPr>
        <w:tc>
          <w:tcPr>
            <w:tcW w:w="96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4C4C4C"/>
              </w:rPr>
              <w:t>(1)(6)</w:t>
            </w:r>
          </w:p>
        </w:tc>
        <w:tc>
          <w:tcPr>
            <w:tcW w:w="1540" w:type="dxa"/>
            <w:vAlign w:val="bottom"/>
          </w:tcPr>
          <w:p>
            <w:pPr>
              <w:jc w:val="right"/>
              <w:ind w:right="400"/>
              <w:spacing w:after="0"/>
              <w:rPr>
                <w:sz w:val="20"/>
                <w:szCs w:val="20"/>
                <w:color w:val="auto"/>
              </w:rPr>
            </w:pPr>
            <w:r>
              <w:rPr>
                <w:rFonts w:ascii="Arial" w:cs="Arial" w:eastAsia="Arial" w:hAnsi="Arial"/>
                <w:sz w:val="16"/>
                <w:szCs w:val="16"/>
                <w:color w:val="4C4C4C"/>
              </w:rPr>
              <w:t>545,397</w:t>
            </w:r>
          </w:p>
        </w:tc>
        <w:tc>
          <w:tcPr>
            <w:tcW w:w="1560" w:type="dxa"/>
            <w:vAlign w:val="bottom"/>
          </w:tcPr>
          <w:p>
            <w:pPr>
              <w:jc w:val="right"/>
              <w:ind w:right="561"/>
              <w:spacing w:after="0"/>
              <w:rPr>
                <w:sz w:val="20"/>
                <w:szCs w:val="20"/>
                <w:color w:val="auto"/>
              </w:rPr>
            </w:pPr>
            <w:r>
              <w:rPr>
                <w:rFonts w:ascii="Arial" w:cs="Arial" w:eastAsia="Arial" w:hAnsi="Arial"/>
                <w:sz w:val="16"/>
                <w:szCs w:val="16"/>
                <w:color w:val="4C4C4C"/>
              </w:rPr>
              <w:t>—</w:t>
            </w:r>
          </w:p>
        </w:tc>
        <w:tc>
          <w:tcPr>
            <w:tcW w:w="1320" w:type="dxa"/>
            <w:vAlign w:val="bottom"/>
          </w:tcPr>
          <w:p>
            <w:pPr>
              <w:jc w:val="right"/>
              <w:ind w:right="261"/>
              <w:spacing w:after="0"/>
              <w:rPr>
                <w:sz w:val="20"/>
                <w:szCs w:val="20"/>
                <w:color w:val="auto"/>
              </w:rPr>
            </w:pPr>
            <w:r>
              <w:rPr>
                <w:rFonts w:ascii="Arial" w:cs="Arial" w:eastAsia="Arial" w:hAnsi="Arial"/>
                <w:sz w:val="16"/>
                <w:szCs w:val="16"/>
                <w:color w:val="4C4C4C"/>
              </w:rPr>
              <w:t>1,090,800</w:t>
            </w:r>
          </w:p>
        </w:tc>
        <w:tc>
          <w:tcPr>
            <w:tcW w:w="1180" w:type="dxa"/>
            <w:vAlign w:val="bottom"/>
          </w:tcPr>
          <w:p>
            <w:pPr>
              <w:jc w:val="right"/>
              <w:ind w:right="400"/>
              <w:spacing w:after="0"/>
              <w:rPr>
                <w:sz w:val="20"/>
                <w:szCs w:val="20"/>
                <w:color w:val="auto"/>
              </w:rPr>
            </w:pPr>
            <w:r>
              <w:rPr>
                <w:rFonts w:ascii="Arial" w:cs="Arial" w:eastAsia="Arial" w:hAnsi="Arial"/>
                <w:sz w:val="16"/>
                <w:szCs w:val="16"/>
                <w:color w:val="4C4C4C"/>
              </w:rPr>
              <w:t>7.36</w:t>
            </w:r>
          </w:p>
        </w:tc>
        <w:tc>
          <w:tcPr>
            <w:tcW w:w="1320" w:type="dxa"/>
            <w:vAlign w:val="bottom"/>
          </w:tcPr>
          <w:p>
            <w:pPr>
              <w:jc w:val="right"/>
              <w:ind w:right="240"/>
              <w:spacing w:after="0"/>
              <w:rPr>
                <w:sz w:val="20"/>
                <w:szCs w:val="20"/>
                <w:color w:val="auto"/>
              </w:rPr>
            </w:pPr>
            <w:r>
              <w:rPr>
                <w:rFonts w:ascii="Arial" w:cs="Arial" w:eastAsia="Arial" w:hAnsi="Arial"/>
                <w:sz w:val="16"/>
                <w:szCs w:val="16"/>
                <w:color w:val="4C4C4C"/>
              </w:rPr>
              <w:t>3/19/2030</w:t>
            </w:r>
          </w:p>
        </w:tc>
        <w:tc>
          <w:tcPr>
            <w:tcW w:w="0" w:type="dxa"/>
            <w:vAlign w:val="bottom"/>
          </w:tcPr>
          <w:p>
            <w:pPr>
              <w:spacing w:after="0"/>
              <w:rPr>
                <w:sz w:val="1"/>
                <w:szCs w:val="1"/>
                <w:color w:val="auto"/>
              </w:rPr>
            </w:pPr>
          </w:p>
        </w:tc>
      </w:tr>
      <w:tr>
        <w:trPr>
          <w:trHeight w:val="297"/>
        </w:trPr>
        <w:tc>
          <w:tcPr>
            <w:tcW w:w="96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4C4C4C"/>
              </w:rPr>
              <w:t>(2)(7)</w:t>
            </w:r>
          </w:p>
        </w:tc>
        <w:tc>
          <w:tcPr>
            <w:tcW w:w="1540" w:type="dxa"/>
            <w:vAlign w:val="bottom"/>
          </w:tcPr>
          <w:p>
            <w:pPr>
              <w:jc w:val="right"/>
              <w:ind w:right="460"/>
              <w:spacing w:after="0"/>
              <w:rPr>
                <w:sz w:val="20"/>
                <w:szCs w:val="20"/>
                <w:color w:val="auto"/>
              </w:rPr>
            </w:pPr>
            <w:r>
              <w:rPr>
                <w:rFonts w:ascii="Arial" w:cs="Arial" w:eastAsia="Arial" w:hAnsi="Arial"/>
                <w:sz w:val="16"/>
                <w:szCs w:val="16"/>
                <w:color w:val="4C4C4C"/>
              </w:rPr>
              <w:t>—</w:t>
            </w:r>
          </w:p>
        </w:tc>
        <w:tc>
          <w:tcPr>
            <w:tcW w:w="1560" w:type="dxa"/>
            <w:vAlign w:val="bottom"/>
          </w:tcPr>
          <w:p>
            <w:pPr>
              <w:jc w:val="right"/>
              <w:ind w:right="561"/>
              <w:spacing w:after="0"/>
              <w:rPr>
                <w:sz w:val="20"/>
                <w:szCs w:val="20"/>
                <w:color w:val="auto"/>
              </w:rPr>
            </w:pPr>
            <w:r>
              <w:rPr>
                <w:rFonts w:ascii="Arial" w:cs="Arial" w:eastAsia="Arial" w:hAnsi="Arial"/>
                <w:sz w:val="16"/>
                <w:szCs w:val="16"/>
                <w:color w:val="4C4C4C"/>
              </w:rPr>
              <w:t>—</w:t>
            </w:r>
          </w:p>
        </w:tc>
        <w:tc>
          <w:tcPr>
            <w:tcW w:w="1320" w:type="dxa"/>
            <w:vAlign w:val="bottom"/>
          </w:tcPr>
          <w:p>
            <w:pPr>
              <w:jc w:val="right"/>
              <w:ind w:right="281"/>
              <w:spacing w:after="0"/>
              <w:rPr>
                <w:sz w:val="20"/>
                <w:szCs w:val="20"/>
                <w:color w:val="auto"/>
              </w:rPr>
            </w:pPr>
            <w:r>
              <w:rPr>
                <w:rFonts w:ascii="Arial" w:cs="Arial" w:eastAsia="Arial" w:hAnsi="Arial"/>
                <w:sz w:val="16"/>
                <w:szCs w:val="16"/>
                <w:color w:val="4C4C4C"/>
              </w:rPr>
              <w:t>538,462</w:t>
            </w:r>
          </w:p>
        </w:tc>
        <w:tc>
          <w:tcPr>
            <w:tcW w:w="1180" w:type="dxa"/>
            <w:vAlign w:val="bottom"/>
          </w:tcPr>
          <w:p>
            <w:pPr>
              <w:jc w:val="right"/>
              <w:ind w:right="400"/>
              <w:spacing w:after="0"/>
              <w:rPr>
                <w:sz w:val="20"/>
                <w:szCs w:val="20"/>
                <w:color w:val="auto"/>
              </w:rPr>
            </w:pPr>
            <w:r>
              <w:rPr>
                <w:rFonts w:ascii="Arial" w:cs="Arial" w:eastAsia="Arial" w:hAnsi="Arial"/>
                <w:sz w:val="16"/>
                <w:szCs w:val="16"/>
                <w:color w:val="4C4C4C"/>
              </w:rPr>
              <w:t>1.89</w:t>
            </w:r>
          </w:p>
        </w:tc>
        <w:tc>
          <w:tcPr>
            <w:tcW w:w="1320" w:type="dxa"/>
            <w:vAlign w:val="bottom"/>
          </w:tcPr>
          <w:p>
            <w:pPr>
              <w:jc w:val="right"/>
              <w:ind w:right="240"/>
              <w:spacing w:after="0"/>
              <w:rPr>
                <w:sz w:val="20"/>
                <w:szCs w:val="20"/>
                <w:color w:val="auto"/>
              </w:rPr>
            </w:pPr>
            <w:r>
              <w:rPr>
                <w:rFonts w:ascii="Arial" w:cs="Arial" w:eastAsia="Arial" w:hAnsi="Arial"/>
                <w:sz w:val="16"/>
                <w:szCs w:val="16"/>
                <w:color w:val="4C4C4C"/>
              </w:rPr>
              <w:t>12/31/2024</w:t>
            </w:r>
          </w:p>
        </w:tc>
        <w:tc>
          <w:tcPr>
            <w:tcW w:w="0" w:type="dxa"/>
            <w:vAlign w:val="bottom"/>
          </w:tcPr>
          <w:p>
            <w:pPr>
              <w:spacing w:after="0"/>
              <w:rPr>
                <w:sz w:val="1"/>
                <w:szCs w:val="1"/>
                <w:color w:val="auto"/>
              </w:rPr>
            </w:pPr>
          </w:p>
        </w:tc>
      </w:tr>
      <w:tr>
        <w:trPr>
          <w:trHeight w:val="43"/>
        </w:trPr>
        <w:tc>
          <w:tcPr>
            <w:tcW w:w="96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15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960" w:type="dxa"/>
            <w:vAlign w:val="bottom"/>
            <w:shd w:val="clear" w:color="auto" w:fill="BAE2F8"/>
          </w:tcPr>
          <w:p>
            <w:pPr>
              <w:ind w:left="20"/>
              <w:spacing w:after="0"/>
              <w:rPr>
                <w:sz w:val="20"/>
                <w:szCs w:val="20"/>
                <w:color w:val="auto"/>
              </w:rPr>
            </w:pPr>
            <w:r>
              <w:rPr>
                <w:rFonts w:ascii="Arial" w:cs="Arial" w:eastAsia="Arial" w:hAnsi="Arial"/>
                <w:sz w:val="16"/>
                <w:szCs w:val="16"/>
                <w:color w:val="4C4C4C"/>
              </w:rPr>
              <w:t>Mark</w:t>
            </w:r>
          </w:p>
        </w:tc>
        <w:tc>
          <w:tcPr>
            <w:tcW w:w="40" w:type="dxa"/>
            <w:vAlign w:val="bottom"/>
            <w:shd w:val="clear" w:color="auto" w:fill="BAE2F8"/>
          </w:tcPr>
          <w:p>
            <w:pPr>
              <w:spacing w:after="0"/>
              <w:rPr>
                <w:sz w:val="19"/>
                <w:szCs w:val="19"/>
                <w:color w:val="auto"/>
              </w:rPr>
            </w:pPr>
          </w:p>
        </w:tc>
        <w:tc>
          <w:tcPr>
            <w:tcW w:w="500" w:type="dxa"/>
            <w:vAlign w:val="bottom"/>
            <w:shd w:val="clear" w:color="auto" w:fill="BAE2F8"/>
          </w:tcPr>
          <w:p>
            <w:pPr>
              <w:jc w:val="center"/>
              <w:spacing w:after="0"/>
              <w:rPr>
                <w:sz w:val="20"/>
                <w:szCs w:val="20"/>
                <w:color w:val="auto"/>
              </w:rPr>
            </w:pPr>
            <w:r>
              <w:rPr>
                <w:rFonts w:ascii="Arial" w:cs="Arial" w:eastAsia="Arial" w:hAnsi="Arial"/>
                <w:sz w:val="16"/>
                <w:szCs w:val="16"/>
                <w:color w:val="4C4C4C"/>
              </w:rPr>
              <w:t>(1)(8)</w:t>
            </w:r>
          </w:p>
        </w:tc>
        <w:tc>
          <w:tcPr>
            <w:tcW w:w="1540" w:type="dxa"/>
            <w:vAlign w:val="bottom"/>
            <w:shd w:val="clear" w:color="auto" w:fill="BAE2F8"/>
          </w:tcPr>
          <w:p>
            <w:pPr>
              <w:jc w:val="right"/>
              <w:ind w:right="420"/>
              <w:spacing w:after="0"/>
              <w:rPr>
                <w:sz w:val="20"/>
                <w:szCs w:val="20"/>
                <w:color w:val="auto"/>
              </w:rPr>
            </w:pPr>
            <w:r>
              <w:rPr>
                <w:rFonts w:ascii="Arial" w:cs="Arial" w:eastAsia="Arial" w:hAnsi="Arial"/>
                <w:sz w:val="16"/>
                <w:szCs w:val="16"/>
                <w:color w:val="4C4C4C"/>
              </w:rPr>
              <w:t>9,915</w:t>
            </w:r>
          </w:p>
        </w:tc>
        <w:tc>
          <w:tcPr>
            <w:tcW w:w="1560" w:type="dxa"/>
            <w:vAlign w:val="bottom"/>
            <w:shd w:val="clear" w:color="auto" w:fill="BAE2F8"/>
          </w:tcPr>
          <w:p>
            <w:pPr>
              <w:jc w:val="right"/>
              <w:ind w:right="521"/>
              <w:spacing w:after="0"/>
              <w:rPr>
                <w:sz w:val="20"/>
                <w:szCs w:val="20"/>
                <w:color w:val="auto"/>
              </w:rPr>
            </w:pPr>
            <w:r>
              <w:rPr>
                <w:rFonts w:ascii="Arial" w:cs="Arial" w:eastAsia="Arial" w:hAnsi="Arial"/>
                <w:sz w:val="16"/>
                <w:szCs w:val="16"/>
                <w:color w:val="4C4C4C"/>
              </w:rPr>
              <w:t>20,001</w:t>
            </w:r>
          </w:p>
        </w:tc>
        <w:tc>
          <w:tcPr>
            <w:tcW w:w="1320" w:type="dxa"/>
            <w:vAlign w:val="bottom"/>
            <w:shd w:val="clear" w:color="auto" w:fill="BAE2F8"/>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shd w:val="clear" w:color="auto" w:fill="BAE2F8"/>
          </w:tcPr>
          <w:p>
            <w:pPr>
              <w:jc w:val="right"/>
              <w:ind w:right="400"/>
              <w:spacing w:after="0"/>
              <w:rPr>
                <w:sz w:val="20"/>
                <w:szCs w:val="20"/>
                <w:color w:val="auto"/>
              </w:rPr>
            </w:pPr>
            <w:r>
              <w:rPr>
                <w:rFonts w:ascii="Arial" w:cs="Arial" w:eastAsia="Arial" w:hAnsi="Arial"/>
                <w:sz w:val="16"/>
                <w:szCs w:val="16"/>
                <w:color w:val="4C4C4C"/>
              </w:rPr>
              <w:t>4.62</w:t>
            </w:r>
          </w:p>
        </w:tc>
        <w:tc>
          <w:tcPr>
            <w:tcW w:w="1320" w:type="dxa"/>
            <w:vAlign w:val="bottom"/>
            <w:shd w:val="clear" w:color="auto" w:fill="BAE2F8"/>
          </w:tcPr>
          <w:p>
            <w:pPr>
              <w:jc w:val="right"/>
              <w:ind w:right="240"/>
              <w:spacing w:after="0"/>
              <w:rPr>
                <w:sz w:val="20"/>
                <w:szCs w:val="20"/>
                <w:color w:val="auto"/>
              </w:rPr>
            </w:pPr>
            <w:r>
              <w:rPr>
                <w:rFonts w:ascii="Arial" w:cs="Arial" w:eastAsia="Arial" w:hAnsi="Arial"/>
                <w:sz w:val="16"/>
                <w:szCs w:val="16"/>
                <w:color w:val="4C4C4C"/>
              </w:rPr>
              <w:t>07/31/2028</w:t>
            </w:r>
          </w:p>
        </w:tc>
        <w:tc>
          <w:tcPr>
            <w:tcW w:w="0" w:type="dxa"/>
            <w:vAlign w:val="bottom"/>
          </w:tcPr>
          <w:p>
            <w:pPr>
              <w:spacing w:after="0"/>
              <w:rPr>
                <w:sz w:val="1"/>
                <w:szCs w:val="1"/>
                <w:color w:val="auto"/>
              </w:rPr>
            </w:pPr>
          </w:p>
        </w:tc>
      </w:tr>
      <w:tr>
        <w:trPr>
          <w:trHeight w:val="215"/>
        </w:trPr>
        <w:tc>
          <w:tcPr>
            <w:tcW w:w="960" w:type="dxa"/>
            <w:vAlign w:val="bottom"/>
            <w:shd w:val="clear" w:color="auto" w:fill="BAE2F8"/>
          </w:tcPr>
          <w:p>
            <w:pPr>
              <w:ind w:left="20"/>
              <w:spacing w:after="0"/>
              <w:rPr>
                <w:sz w:val="20"/>
                <w:szCs w:val="20"/>
                <w:color w:val="auto"/>
              </w:rPr>
            </w:pPr>
            <w:r>
              <w:rPr>
                <w:rFonts w:ascii="Arial" w:cs="Arial" w:eastAsia="Arial" w:hAnsi="Arial"/>
                <w:sz w:val="16"/>
                <w:szCs w:val="16"/>
                <w:color w:val="4C4C4C"/>
              </w:rPr>
              <w:t>McKechnie</w:t>
            </w:r>
          </w:p>
        </w:tc>
        <w:tc>
          <w:tcPr>
            <w:tcW w:w="40" w:type="dxa"/>
            <w:vAlign w:val="bottom"/>
            <w:shd w:val="clear" w:color="auto" w:fill="BAE2F8"/>
          </w:tcPr>
          <w:p>
            <w:pPr>
              <w:spacing w:after="0"/>
              <w:rPr>
                <w:sz w:val="18"/>
                <w:szCs w:val="18"/>
                <w:color w:val="auto"/>
              </w:rPr>
            </w:pPr>
          </w:p>
        </w:tc>
        <w:tc>
          <w:tcPr>
            <w:tcW w:w="500" w:type="dxa"/>
            <w:vAlign w:val="bottom"/>
            <w:vMerge w:val="restart"/>
            <w:shd w:val="clear" w:color="auto" w:fill="BAE2F8"/>
          </w:tcPr>
          <w:p>
            <w:pPr>
              <w:jc w:val="center"/>
              <w:spacing w:after="0"/>
              <w:rPr>
                <w:sz w:val="20"/>
                <w:szCs w:val="20"/>
                <w:color w:val="auto"/>
              </w:rPr>
            </w:pPr>
            <w:r>
              <w:rPr>
                <w:rFonts w:ascii="Arial" w:cs="Arial" w:eastAsia="Arial" w:hAnsi="Arial"/>
                <w:sz w:val="16"/>
                <w:szCs w:val="16"/>
                <w:color w:val="4C4C4C"/>
              </w:rPr>
              <w:t>(1)(5)</w:t>
            </w:r>
          </w:p>
        </w:tc>
        <w:tc>
          <w:tcPr>
            <w:tcW w:w="1540" w:type="dxa"/>
            <w:vAlign w:val="bottom"/>
            <w:vMerge w:val="restart"/>
            <w:shd w:val="clear" w:color="auto" w:fill="BAE2F8"/>
          </w:tcPr>
          <w:p>
            <w:pPr>
              <w:jc w:val="right"/>
              <w:ind w:right="420"/>
              <w:spacing w:after="0"/>
              <w:rPr>
                <w:sz w:val="20"/>
                <w:szCs w:val="20"/>
                <w:color w:val="auto"/>
              </w:rPr>
            </w:pPr>
            <w:r>
              <w:rPr>
                <w:rFonts w:ascii="Arial" w:cs="Arial" w:eastAsia="Arial" w:hAnsi="Arial"/>
                <w:sz w:val="16"/>
                <w:szCs w:val="16"/>
                <w:color w:val="4C4C4C"/>
              </w:rPr>
              <w:t>37,500</w:t>
            </w:r>
          </w:p>
        </w:tc>
        <w:tc>
          <w:tcPr>
            <w:tcW w:w="1560" w:type="dxa"/>
            <w:vAlign w:val="bottom"/>
            <w:vMerge w:val="restart"/>
            <w:shd w:val="clear" w:color="auto" w:fill="BAE2F8"/>
          </w:tcPr>
          <w:p>
            <w:pPr>
              <w:jc w:val="right"/>
              <w:ind w:right="521"/>
              <w:spacing w:after="0"/>
              <w:rPr>
                <w:sz w:val="20"/>
                <w:szCs w:val="20"/>
                <w:color w:val="auto"/>
              </w:rPr>
            </w:pPr>
            <w:r>
              <w:rPr>
                <w:rFonts w:ascii="Arial" w:cs="Arial" w:eastAsia="Arial" w:hAnsi="Arial"/>
                <w:sz w:val="16"/>
                <w:szCs w:val="16"/>
                <w:color w:val="4C4C4C"/>
              </w:rPr>
              <w:t>30,000</w:t>
            </w:r>
          </w:p>
        </w:tc>
        <w:tc>
          <w:tcPr>
            <w:tcW w:w="1320" w:type="dxa"/>
            <w:vAlign w:val="bottom"/>
            <w:vMerge w:val="restart"/>
            <w:shd w:val="clear" w:color="auto" w:fill="BAE2F8"/>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vMerge w:val="restart"/>
            <w:shd w:val="clear" w:color="auto" w:fill="BAE2F8"/>
          </w:tcPr>
          <w:p>
            <w:pPr>
              <w:jc w:val="right"/>
              <w:ind w:right="400"/>
              <w:spacing w:after="0"/>
              <w:rPr>
                <w:sz w:val="20"/>
                <w:szCs w:val="20"/>
                <w:color w:val="auto"/>
              </w:rPr>
            </w:pPr>
            <w:r>
              <w:rPr>
                <w:rFonts w:ascii="Arial" w:cs="Arial" w:eastAsia="Arial" w:hAnsi="Arial"/>
                <w:sz w:val="16"/>
                <w:szCs w:val="16"/>
                <w:color w:val="4C4C4C"/>
              </w:rPr>
              <w:t>5.60</w:t>
            </w:r>
          </w:p>
        </w:tc>
        <w:tc>
          <w:tcPr>
            <w:tcW w:w="1320" w:type="dxa"/>
            <w:vAlign w:val="bottom"/>
            <w:vMerge w:val="restart"/>
            <w:shd w:val="clear" w:color="auto" w:fill="BAE2F8"/>
          </w:tcPr>
          <w:p>
            <w:pPr>
              <w:jc w:val="right"/>
              <w:ind w:right="240"/>
              <w:spacing w:after="0"/>
              <w:rPr>
                <w:sz w:val="20"/>
                <w:szCs w:val="20"/>
                <w:color w:val="auto"/>
              </w:rPr>
            </w:pPr>
            <w:r>
              <w:rPr>
                <w:rFonts w:ascii="Arial" w:cs="Arial" w:eastAsia="Arial" w:hAnsi="Arial"/>
                <w:sz w:val="16"/>
                <w:szCs w:val="16"/>
                <w:color w:val="4C4C4C"/>
              </w:rPr>
              <w:t>04/22/2029</w:t>
            </w:r>
          </w:p>
        </w:tc>
        <w:tc>
          <w:tcPr>
            <w:tcW w:w="0" w:type="dxa"/>
            <w:vAlign w:val="bottom"/>
          </w:tcPr>
          <w:p>
            <w:pPr>
              <w:spacing w:after="0"/>
              <w:rPr>
                <w:sz w:val="1"/>
                <w:szCs w:val="1"/>
                <w:color w:val="auto"/>
              </w:rPr>
            </w:pPr>
          </w:p>
        </w:tc>
      </w:tr>
      <w:tr>
        <w:trPr>
          <w:trHeight w:val="108"/>
        </w:trPr>
        <w:tc>
          <w:tcPr>
            <w:tcW w:w="960" w:type="dxa"/>
            <w:vAlign w:val="bottom"/>
            <w:shd w:val="clear" w:color="auto" w:fill="BAE2F8"/>
          </w:tcPr>
          <w:p>
            <w:pPr>
              <w:spacing w:after="0"/>
              <w:rPr>
                <w:sz w:val="9"/>
                <w:szCs w:val="9"/>
                <w:color w:val="auto"/>
              </w:rPr>
            </w:pPr>
          </w:p>
        </w:tc>
        <w:tc>
          <w:tcPr>
            <w:tcW w:w="40" w:type="dxa"/>
            <w:vAlign w:val="bottom"/>
            <w:shd w:val="clear" w:color="auto" w:fill="BAE2F8"/>
          </w:tcPr>
          <w:p>
            <w:pPr>
              <w:spacing w:after="0"/>
              <w:rPr>
                <w:sz w:val="9"/>
                <w:szCs w:val="9"/>
                <w:color w:val="auto"/>
              </w:rPr>
            </w:pPr>
          </w:p>
        </w:tc>
        <w:tc>
          <w:tcPr>
            <w:tcW w:w="500" w:type="dxa"/>
            <w:vAlign w:val="bottom"/>
            <w:vMerge w:val="continue"/>
            <w:shd w:val="clear" w:color="auto" w:fill="BAE2F8"/>
          </w:tcPr>
          <w:p>
            <w:pPr>
              <w:spacing w:after="0"/>
              <w:rPr>
                <w:sz w:val="9"/>
                <w:szCs w:val="9"/>
                <w:color w:val="auto"/>
              </w:rPr>
            </w:pPr>
          </w:p>
        </w:tc>
        <w:tc>
          <w:tcPr>
            <w:tcW w:w="1540" w:type="dxa"/>
            <w:vAlign w:val="bottom"/>
            <w:vMerge w:val="continue"/>
            <w:shd w:val="clear" w:color="auto" w:fill="BAE2F8"/>
          </w:tcPr>
          <w:p>
            <w:pPr>
              <w:spacing w:after="0"/>
              <w:rPr>
                <w:sz w:val="9"/>
                <w:szCs w:val="9"/>
                <w:color w:val="auto"/>
              </w:rPr>
            </w:pPr>
          </w:p>
        </w:tc>
        <w:tc>
          <w:tcPr>
            <w:tcW w:w="1560" w:type="dxa"/>
            <w:vAlign w:val="bottom"/>
            <w:vMerge w:val="continue"/>
            <w:shd w:val="clear" w:color="auto" w:fill="BAE2F8"/>
          </w:tcPr>
          <w:p>
            <w:pPr>
              <w:spacing w:after="0"/>
              <w:rPr>
                <w:sz w:val="9"/>
                <w:szCs w:val="9"/>
                <w:color w:val="auto"/>
              </w:rPr>
            </w:pPr>
          </w:p>
        </w:tc>
        <w:tc>
          <w:tcPr>
            <w:tcW w:w="1320" w:type="dxa"/>
            <w:vAlign w:val="bottom"/>
            <w:vMerge w:val="continue"/>
            <w:shd w:val="clear" w:color="auto" w:fill="BAE2F8"/>
          </w:tcPr>
          <w:p>
            <w:pPr>
              <w:spacing w:after="0"/>
              <w:rPr>
                <w:sz w:val="9"/>
                <w:szCs w:val="9"/>
                <w:color w:val="auto"/>
              </w:rPr>
            </w:pPr>
          </w:p>
        </w:tc>
        <w:tc>
          <w:tcPr>
            <w:tcW w:w="1180" w:type="dxa"/>
            <w:vAlign w:val="bottom"/>
            <w:vMerge w:val="continue"/>
            <w:shd w:val="clear" w:color="auto" w:fill="BAE2F8"/>
          </w:tcPr>
          <w:p>
            <w:pPr>
              <w:spacing w:after="0"/>
              <w:rPr>
                <w:sz w:val="9"/>
                <w:szCs w:val="9"/>
                <w:color w:val="auto"/>
              </w:rPr>
            </w:pPr>
          </w:p>
        </w:tc>
        <w:tc>
          <w:tcPr>
            <w:tcW w:w="1320" w:type="dxa"/>
            <w:vAlign w:val="bottom"/>
            <w:vMerge w:val="continue"/>
            <w:shd w:val="clear" w:color="auto" w:fill="BAE2F8"/>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960" w:type="dxa"/>
            <w:vAlign w:val="bottom"/>
            <w:tcBorders>
              <w:bottom w:val="single" w:sz="8" w:color="BAE2F8"/>
            </w:tcBorders>
            <w:shd w:val="clear" w:color="auto" w:fill="BAE2F8"/>
          </w:tcPr>
          <w:p>
            <w:pPr>
              <w:spacing w:after="0"/>
              <w:rPr>
                <w:sz w:val="24"/>
                <w:szCs w:val="24"/>
                <w:color w:val="auto"/>
              </w:rPr>
            </w:pPr>
          </w:p>
        </w:tc>
        <w:tc>
          <w:tcPr>
            <w:tcW w:w="40" w:type="dxa"/>
            <w:vAlign w:val="bottom"/>
            <w:tcBorders>
              <w:bottom w:val="single" w:sz="8" w:color="BAE2F8"/>
            </w:tcBorders>
            <w:shd w:val="clear" w:color="auto" w:fill="BAE2F8"/>
          </w:tcPr>
          <w:p>
            <w:pPr>
              <w:spacing w:after="0"/>
              <w:rPr>
                <w:sz w:val="24"/>
                <w:szCs w:val="24"/>
                <w:color w:val="auto"/>
              </w:rPr>
            </w:pPr>
          </w:p>
        </w:tc>
        <w:tc>
          <w:tcPr>
            <w:tcW w:w="500" w:type="dxa"/>
            <w:vAlign w:val="bottom"/>
            <w:tcBorders>
              <w:bottom w:val="single" w:sz="8" w:color="BAE2F8"/>
            </w:tcBorders>
            <w:shd w:val="clear" w:color="auto" w:fill="BAE2F8"/>
          </w:tcPr>
          <w:p>
            <w:pPr>
              <w:jc w:val="center"/>
              <w:spacing w:after="0"/>
              <w:rPr>
                <w:sz w:val="20"/>
                <w:szCs w:val="20"/>
                <w:color w:val="auto"/>
              </w:rPr>
            </w:pPr>
            <w:r>
              <w:rPr>
                <w:rFonts w:ascii="Arial" w:cs="Arial" w:eastAsia="Arial" w:hAnsi="Arial"/>
                <w:sz w:val="16"/>
                <w:szCs w:val="16"/>
                <w:color w:val="4C4C4C"/>
              </w:rPr>
              <w:t>(1)(9)</w:t>
            </w:r>
          </w:p>
        </w:tc>
        <w:tc>
          <w:tcPr>
            <w:tcW w:w="1540" w:type="dxa"/>
            <w:vAlign w:val="bottom"/>
            <w:tcBorders>
              <w:bottom w:val="single" w:sz="8" w:color="BAE2F8"/>
            </w:tcBorders>
            <w:shd w:val="clear" w:color="auto" w:fill="BAE2F8"/>
          </w:tcPr>
          <w:p>
            <w:pPr>
              <w:jc w:val="right"/>
              <w:ind w:right="420"/>
              <w:spacing w:after="0"/>
              <w:rPr>
                <w:sz w:val="20"/>
                <w:szCs w:val="20"/>
                <w:color w:val="auto"/>
              </w:rPr>
            </w:pPr>
            <w:r>
              <w:rPr>
                <w:rFonts w:ascii="Arial" w:cs="Arial" w:eastAsia="Arial" w:hAnsi="Arial"/>
                <w:sz w:val="16"/>
                <w:szCs w:val="16"/>
                <w:color w:val="4C4C4C"/>
              </w:rPr>
              <w:t>31,248</w:t>
            </w:r>
          </w:p>
        </w:tc>
        <w:tc>
          <w:tcPr>
            <w:tcW w:w="1560" w:type="dxa"/>
            <w:vAlign w:val="bottom"/>
            <w:tcBorders>
              <w:bottom w:val="single" w:sz="8" w:color="BAE2F8"/>
            </w:tcBorders>
            <w:shd w:val="clear" w:color="auto" w:fill="BAE2F8"/>
          </w:tcPr>
          <w:p>
            <w:pPr>
              <w:jc w:val="right"/>
              <w:ind w:right="521"/>
              <w:spacing w:after="0"/>
              <w:rPr>
                <w:sz w:val="20"/>
                <w:szCs w:val="20"/>
                <w:color w:val="auto"/>
              </w:rPr>
            </w:pPr>
            <w:r>
              <w:rPr>
                <w:rFonts w:ascii="Arial" w:cs="Arial" w:eastAsia="Arial" w:hAnsi="Arial"/>
                <w:sz w:val="16"/>
                <w:szCs w:val="16"/>
                <w:color w:val="4C4C4C"/>
              </w:rPr>
              <w:t>28,752</w:t>
            </w:r>
          </w:p>
        </w:tc>
        <w:tc>
          <w:tcPr>
            <w:tcW w:w="1320" w:type="dxa"/>
            <w:vAlign w:val="bottom"/>
            <w:tcBorders>
              <w:bottom w:val="single" w:sz="8" w:color="BAE2F8"/>
            </w:tcBorders>
            <w:shd w:val="clear" w:color="auto" w:fill="BAE2F8"/>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tcBorders>
              <w:bottom w:val="single" w:sz="8" w:color="BAE2F8"/>
            </w:tcBorders>
            <w:shd w:val="clear" w:color="auto" w:fill="BAE2F8"/>
          </w:tcPr>
          <w:p>
            <w:pPr>
              <w:jc w:val="right"/>
              <w:ind w:right="400"/>
              <w:spacing w:after="0"/>
              <w:rPr>
                <w:sz w:val="20"/>
                <w:szCs w:val="20"/>
                <w:color w:val="auto"/>
              </w:rPr>
            </w:pPr>
            <w:r>
              <w:rPr>
                <w:rFonts w:ascii="Arial" w:cs="Arial" w:eastAsia="Arial" w:hAnsi="Arial"/>
                <w:sz w:val="16"/>
                <w:szCs w:val="16"/>
                <w:color w:val="4C4C4C"/>
              </w:rPr>
              <w:t>4.55</w:t>
            </w:r>
          </w:p>
        </w:tc>
        <w:tc>
          <w:tcPr>
            <w:tcW w:w="1320" w:type="dxa"/>
            <w:vAlign w:val="bottom"/>
            <w:tcBorders>
              <w:bottom w:val="single" w:sz="8" w:color="BAE2F8"/>
            </w:tcBorders>
            <w:shd w:val="clear" w:color="auto" w:fill="BAE2F8"/>
          </w:tcPr>
          <w:p>
            <w:pPr>
              <w:jc w:val="right"/>
              <w:ind w:right="260"/>
              <w:spacing w:after="0"/>
              <w:rPr>
                <w:sz w:val="20"/>
                <w:szCs w:val="20"/>
                <w:color w:val="auto"/>
              </w:rPr>
            </w:pPr>
            <w:r>
              <w:rPr>
                <w:rFonts w:ascii="Arial" w:cs="Arial" w:eastAsia="Arial" w:hAnsi="Arial"/>
                <w:sz w:val="16"/>
                <w:szCs w:val="16"/>
                <w:color w:val="4C4C4C"/>
              </w:rPr>
              <w:t>11/03/2029</w:t>
            </w:r>
          </w:p>
        </w:tc>
        <w:tc>
          <w:tcPr>
            <w:tcW w:w="0" w:type="dxa"/>
            <w:vAlign w:val="bottom"/>
          </w:tcPr>
          <w:p>
            <w:pPr>
              <w:spacing w:after="0"/>
              <w:rPr>
                <w:sz w:val="1"/>
                <w:szCs w:val="1"/>
                <w:color w:val="auto"/>
              </w:rPr>
            </w:pPr>
          </w:p>
        </w:tc>
      </w:tr>
      <w:tr>
        <w:trPr>
          <w:trHeight w:val="255"/>
        </w:trPr>
        <w:tc>
          <w:tcPr>
            <w:tcW w:w="960" w:type="dxa"/>
            <w:vAlign w:val="bottom"/>
          </w:tcPr>
          <w:p>
            <w:pPr>
              <w:ind w:left="20"/>
              <w:spacing w:after="0"/>
              <w:rPr>
                <w:sz w:val="20"/>
                <w:szCs w:val="20"/>
                <w:color w:val="auto"/>
              </w:rPr>
            </w:pPr>
            <w:r>
              <w:rPr>
                <w:rFonts w:ascii="Arial" w:cs="Arial" w:eastAsia="Arial" w:hAnsi="Arial"/>
                <w:sz w:val="16"/>
                <w:szCs w:val="16"/>
                <w:color w:val="4C4C4C"/>
              </w:rPr>
              <w:t>Jian Wang</w:t>
            </w:r>
          </w:p>
        </w:tc>
        <w:tc>
          <w:tcPr>
            <w:tcW w:w="540" w:type="dxa"/>
            <w:vAlign w:val="bottom"/>
            <w:gridSpan w:val="2"/>
          </w:tcPr>
          <w:p>
            <w:pPr>
              <w:jc w:val="center"/>
              <w:spacing w:after="0"/>
              <w:rPr>
                <w:sz w:val="20"/>
                <w:szCs w:val="20"/>
                <w:color w:val="auto"/>
              </w:rPr>
            </w:pPr>
            <w:r>
              <w:rPr>
                <w:rFonts w:ascii="Arial" w:cs="Arial" w:eastAsia="Arial" w:hAnsi="Arial"/>
                <w:sz w:val="16"/>
                <w:szCs w:val="16"/>
                <w:color w:val="4C4C4C"/>
              </w:rPr>
              <w:t>(1)(8)</w:t>
            </w:r>
          </w:p>
        </w:tc>
        <w:tc>
          <w:tcPr>
            <w:tcW w:w="1540" w:type="dxa"/>
            <w:vAlign w:val="bottom"/>
          </w:tcPr>
          <w:p>
            <w:pPr>
              <w:jc w:val="right"/>
              <w:ind w:right="420"/>
              <w:spacing w:after="0"/>
              <w:rPr>
                <w:sz w:val="20"/>
                <w:szCs w:val="20"/>
                <w:color w:val="auto"/>
              </w:rPr>
            </w:pPr>
            <w:r>
              <w:rPr>
                <w:rFonts w:ascii="Arial" w:cs="Arial" w:eastAsia="Arial" w:hAnsi="Arial"/>
                <w:sz w:val="16"/>
                <w:szCs w:val="16"/>
                <w:color w:val="4C4C4C"/>
              </w:rPr>
              <w:t>99,999</w:t>
            </w:r>
          </w:p>
        </w:tc>
        <w:tc>
          <w:tcPr>
            <w:tcW w:w="1560" w:type="dxa"/>
            <w:vAlign w:val="bottom"/>
          </w:tcPr>
          <w:p>
            <w:pPr>
              <w:jc w:val="right"/>
              <w:ind w:right="521"/>
              <w:spacing w:after="0"/>
              <w:rPr>
                <w:sz w:val="20"/>
                <w:szCs w:val="20"/>
                <w:color w:val="auto"/>
              </w:rPr>
            </w:pPr>
            <w:r>
              <w:rPr>
                <w:rFonts w:ascii="Arial" w:cs="Arial" w:eastAsia="Arial" w:hAnsi="Arial"/>
                <w:sz w:val="16"/>
                <w:szCs w:val="16"/>
                <w:color w:val="4C4C4C"/>
              </w:rPr>
              <w:t>20,001</w:t>
            </w:r>
          </w:p>
        </w:tc>
        <w:tc>
          <w:tcPr>
            <w:tcW w:w="1320" w:type="dxa"/>
            <w:vAlign w:val="bottom"/>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tcPr>
          <w:p>
            <w:pPr>
              <w:jc w:val="right"/>
              <w:ind w:right="400"/>
              <w:spacing w:after="0"/>
              <w:rPr>
                <w:sz w:val="20"/>
                <w:szCs w:val="20"/>
                <w:color w:val="auto"/>
              </w:rPr>
            </w:pPr>
            <w:r>
              <w:rPr>
                <w:rFonts w:ascii="Arial" w:cs="Arial" w:eastAsia="Arial" w:hAnsi="Arial"/>
                <w:sz w:val="16"/>
                <w:szCs w:val="16"/>
                <w:color w:val="4C4C4C"/>
              </w:rPr>
              <w:t>4.62</w:t>
            </w:r>
          </w:p>
        </w:tc>
        <w:tc>
          <w:tcPr>
            <w:tcW w:w="1320" w:type="dxa"/>
            <w:vAlign w:val="bottom"/>
          </w:tcPr>
          <w:p>
            <w:pPr>
              <w:jc w:val="right"/>
              <w:ind w:right="240"/>
              <w:spacing w:after="0"/>
              <w:rPr>
                <w:sz w:val="20"/>
                <w:szCs w:val="20"/>
                <w:color w:val="auto"/>
              </w:rPr>
            </w:pPr>
            <w:r>
              <w:rPr>
                <w:rFonts w:ascii="Arial" w:cs="Arial" w:eastAsia="Arial" w:hAnsi="Arial"/>
                <w:sz w:val="16"/>
                <w:szCs w:val="16"/>
                <w:color w:val="4C4C4C"/>
              </w:rPr>
              <w:t>7/31/2028</w:t>
            </w:r>
          </w:p>
        </w:tc>
        <w:tc>
          <w:tcPr>
            <w:tcW w:w="0" w:type="dxa"/>
            <w:vAlign w:val="bottom"/>
          </w:tcPr>
          <w:p>
            <w:pPr>
              <w:spacing w:after="0"/>
              <w:rPr>
                <w:sz w:val="1"/>
                <w:szCs w:val="1"/>
                <w:color w:val="auto"/>
              </w:rPr>
            </w:pPr>
          </w:p>
        </w:tc>
      </w:tr>
      <w:tr>
        <w:trPr>
          <w:trHeight w:val="297"/>
        </w:trPr>
        <w:tc>
          <w:tcPr>
            <w:tcW w:w="96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4C4C4C"/>
              </w:rPr>
              <w:t>(1)(5)</w:t>
            </w:r>
          </w:p>
        </w:tc>
        <w:tc>
          <w:tcPr>
            <w:tcW w:w="1540" w:type="dxa"/>
            <w:vAlign w:val="bottom"/>
          </w:tcPr>
          <w:p>
            <w:pPr>
              <w:jc w:val="right"/>
              <w:ind w:right="420"/>
              <w:spacing w:after="0"/>
              <w:rPr>
                <w:sz w:val="20"/>
                <w:szCs w:val="20"/>
                <w:color w:val="auto"/>
              </w:rPr>
            </w:pPr>
            <w:r>
              <w:rPr>
                <w:rFonts w:ascii="Arial" w:cs="Arial" w:eastAsia="Arial" w:hAnsi="Arial"/>
                <w:sz w:val="16"/>
                <w:szCs w:val="16"/>
                <w:color w:val="4C4C4C"/>
              </w:rPr>
              <w:t>60,000</w:t>
            </w:r>
          </w:p>
        </w:tc>
        <w:tc>
          <w:tcPr>
            <w:tcW w:w="1560" w:type="dxa"/>
            <w:vAlign w:val="bottom"/>
          </w:tcPr>
          <w:p>
            <w:pPr>
              <w:jc w:val="right"/>
              <w:ind w:right="521"/>
              <w:spacing w:after="0"/>
              <w:rPr>
                <w:sz w:val="20"/>
                <w:szCs w:val="20"/>
                <w:color w:val="auto"/>
              </w:rPr>
            </w:pPr>
            <w:r>
              <w:rPr>
                <w:rFonts w:ascii="Arial" w:cs="Arial" w:eastAsia="Arial" w:hAnsi="Arial"/>
                <w:sz w:val="16"/>
                <w:szCs w:val="16"/>
                <w:color w:val="4C4C4C"/>
              </w:rPr>
              <w:t>30,000</w:t>
            </w:r>
          </w:p>
        </w:tc>
        <w:tc>
          <w:tcPr>
            <w:tcW w:w="1320" w:type="dxa"/>
            <w:vAlign w:val="bottom"/>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tcPr>
          <w:p>
            <w:pPr>
              <w:jc w:val="right"/>
              <w:ind w:right="400"/>
              <w:spacing w:after="0"/>
              <w:rPr>
                <w:sz w:val="20"/>
                <w:szCs w:val="20"/>
                <w:color w:val="auto"/>
              </w:rPr>
            </w:pPr>
            <w:r>
              <w:rPr>
                <w:rFonts w:ascii="Arial" w:cs="Arial" w:eastAsia="Arial" w:hAnsi="Arial"/>
                <w:sz w:val="16"/>
                <w:szCs w:val="16"/>
                <w:color w:val="4C4C4C"/>
              </w:rPr>
              <w:t>5.60</w:t>
            </w:r>
          </w:p>
        </w:tc>
        <w:tc>
          <w:tcPr>
            <w:tcW w:w="1320" w:type="dxa"/>
            <w:vAlign w:val="bottom"/>
          </w:tcPr>
          <w:p>
            <w:pPr>
              <w:jc w:val="right"/>
              <w:ind w:right="240"/>
              <w:spacing w:after="0"/>
              <w:rPr>
                <w:sz w:val="20"/>
                <w:szCs w:val="20"/>
                <w:color w:val="auto"/>
              </w:rPr>
            </w:pPr>
            <w:r>
              <w:rPr>
                <w:rFonts w:ascii="Arial" w:cs="Arial" w:eastAsia="Arial" w:hAnsi="Arial"/>
                <w:sz w:val="16"/>
                <w:szCs w:val="16"/>
                <w:color w:val="4C4C4C"/>
              </w:rPr>
              <w:t>4/22/2029</w:t>
            </w:r>
          </w:p>
        </w:tc>
        <w:tc>
          <w:tcPr>
            <w:tcW w:w="0" w:type="dxa"/>
            <w:vAlign w:val="bottom"/>
          </w:tcPr>
          <w:p>
            <w:pPr>
              <w:spacing w:after="0"/>
              <w:rPr>
                <w:sz w:val="1"/>
                <w:szCs w:val="1"/>
                <w:color w:val="auto"/>
              </w:rPr>
            </w:pPr>
          </w:p>
        </w:tc>
      </w:tr>
      <w:tr>
        <w:trPr>
          <w:trHeight w:val="297"/>
        </w:trPr>
        <w:tc>
          <w:tcPr>
            <w:tcW w:w="96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4C4C4C"/>
              </w:rPr>
              <w:t>(2)(7)</w:t>
            </w:r>
          </w:p>
        </w:tc>
        <w:tc>
          <w:tcPr>
            <w:tcW w:w="1540" w:type="dxa"/>
            <w:vAlign w:val="bottom"/>
          </w:tcPr>
          <w:p>
            <w:pPr>
              <w:jc w:val="right"/>
              <w:ind w:right="460"/>
              <w:spacing w:after="0"/>
              <w:rPr>
                <w:sz w:val="20"/>
                <w:szCs w:val="20"/>
                <w:color w:val="auto"/>
              </w:rPr>
            </w:pPr>
            <w:r>
              <w:rPr>
                <w:rFonts w:ascii="Arial" w:cs="Arial" w:eastAsia="Arial" w:hAnsi="Arial"/>
                <w:sz w:val="16"/>
                <w:szCs w:val="16"/>
                <w:color w:val="4C4C4C"/>
              </w:rPr>
              <w:t>—</w:t>
            </w:r>
          </w:p>
        </w:tc>
        <w:tc>
          <w:tcPr>
            <w:tcW w:w="1560" w:type="dxa"/>
            <w:vAlign w:val="bottom"/>
          </w:tcPr>
          <w:p>
            <w:pPr>
              <w:jc w:val="right"/>
              <w:ind w:right="561"/>
              <w:spacing w:after="0"/>
              <w:rPr>
                <w:sz w:val="20"/>
                <w:szCs w:val="20"/>
                <w:color w:val="auto"/>
              </w:rPr>
            </w:pPr>
            <w:r>
              <w:rPr>
                <w:rFonts w:ascii="Arial" w:cs="Arial" w:eastAsia="Arial" w:hAnsi="Arial"/>
                <w:sz w:val="16"/>
                <w:szCs w:val="16"/>
                <w:color w:val="4C4C4C"/>
              </w:rPr>
              <w:t>—</w:t>
            </w:r>
          </w:p>
        </w:tc>
        <w:tc>
          <w:tcPr>
            <w:tcW w:w="1320" w:type="dxa"/>
            <w:vAlign w:val="bottom"/>
          </w:tcPr>
          <w:p>
            <w:pPr>
              <w:jc w:val="right"/>
              <w:ind w:right="281"/>
              <w:spacing w:after="0"/>
              <w:rPr>
                <w:sz w:val="20"/>
                <w:szCs w:val="20"/>
                <w:color w:val="auto"/>
              </w:rPr>
            </w:pPr>
            <w:r>
              <w:rPr>
                <w:rFonts w:ascii="Arial" w:cs="Arial" w:eastAsia="Arial" w:hAnsi="Arial"/>
                <w:sz w:val="16"/>
                <w:szCs w:val="16"/>
                <w:color w:val="4C4C4C"/>
              </w:rPr>
              <w:t>298,462</w:t>
            </w:r>
          </w:p>
        </w:tc>
        <w:tc>
          <w:tcPr>
            <w:tcW w:w="1180" w:type="dxa"/>
            <w:vAlign w:val="bottom"/>
          </w:tcPr>
          <w:p>
            <w:pPr>
              <w:jc w:val="right"/>
              <w:ind w:right="400"/>
              <w:spacing w:after="0"/>
              <w:rPr>
                <w:sz w:val="20"/>
                <w:szCs w:val="20"/>
                <w:color w:val="auto"/>
              </w:rPr>
            </w:pPr>
            <w:r>
              <w:rPr>
                <w:rFonts w:ascii="Arial" w:cs="Arial" w:eastAsia="Arial" w:hAnsi="Arial"/>
                <w:sz w:val="16"/>
                <w:szCs w:val="16"/>
                <w:color w:val="4C4C4C"/>
              </w:rPr>
              <w:t>1.89</w:t>
            </w:r>
          </w:p>
        </w:tc>
        <w:tc>
          <w:tcPr>
            <w:tcW w:w="1320" w:type="dxa"/>
            <w:vAlign w:val="bottom"/>
          </w:tcPr>
          <w:p>
            <w:pPr>
              <w:jc w:val="right"/>
              <w:ind w:right="240"/>
              <w:spacing w:after="0"/>
              <w:rPr>
                <w:sz w:val="20"/>
                <w:szCs w:val="20"/>
                <w:color w:val="auto"/>
              </w:rPr>
            </w:pPr>
            <w:r>
              <w:rPr>
                <w:rFonts w:ascii="Arial" w:cs="Arial" w:eastAsia="Arial" w:hAnsi="Arial"/>
                <w:sz w:val="16"/>
                <w:szCs w:val="16"/>
                <w:color w:val="4C4C4C"/>
              </w:rPr>
              <w:t>12/31/2024</w:t>
            </w:r>
          </w:p>
        </w:tc>
        <w:tc>
          <w:tcPr>
            <w:tcW w:w="0" w:type="dxa"/>
            <w:vAlign w:val="bottom"/>
          </w:tcPr>
          <w:p>
            <w:pPr>
              <w:spacing w:after="0"/>
              <w:rPr>
                <w:sz w:val="1"/>
                <w:szCs w:val="1"/>
                <w:color w:val="auto"/>
              </w:rPr>
            </w:pPr>
          </w:p>
        </w:tc>
      </w:tr>
      <w:tr>
        <w:trPr>
          <w:trHeight w:val="43"/>
        </w:trPr>
        <w:tc>
          <w:tcPr>
            <w:tcW w:w="96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15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960" w:type="dxa"/>
            <w:vAlign w:val="bottom"/>
            <w:shd w:val="clear" w:color="auto" w:fill="BAE2F8"/>
          </w:tcPr>
          <w:p>
            <w:pPr>
              <w:ind w:left="20"/>
              <w:spacing w:after="0"/>
              <w:rPr>
                <w:sz w:val="20"/>
                <w:szCs w:val="20"/>
                <w:color w:val="auto"/>
              </w:rPr>
            </w:pPr>
            <w:r>
              <w:rPr>
                <w:rFonts w:ascii="Arial" w:cs="Arial" w:eastAsia="Arial" w:hAnsi="Arial"/>
                <w:sz w:val="16"/>
                <w:szCs w:val="16"/>
                <w:color w:val="4C4C4C"/>
              </w:rPr>
              <w:t>Lisa Feng</w:t>
            </w:r>
          </w:p>
        </w:tc>
        <w:tc>
          <w:tcPr>
            <w:tcW w:w="40" w:type="dxa"/>
            <w:vAlign w:val="bottom"/>
            <w:shd w:val="clear" w:color="auto" w:fill="BAE2F8"/>
          </w:tcPr>
          <w:p>
            <w:pPr>
              <w:spacing w:after="0"/>
              <w:rPr>
                <w:sz w:val="22"/>
                <w:szCs w:val="22"/>
                <w:color w:val="auto"/>
              </w:rPr>
            </w:pPr>
          </w:p>
        </w:tc>
        <w:tc>
          <w:tcPr>
            <w:tcW w:w="500" w:type="dxa"/>
            <w:vAlign w:val="bottom"/>
            <w:shd w:val="clear" w:color="auto" w:fill="BAE2F8"/>
          </w:tcPr>
          <w:p>
            <w:pPr>
              <w:jc w:val="center"/>
              <w:spacing w:after="0"/>
              <w:rPr>
                <w:sz w:val="20"/>
                <w:szCs w:val="20"/>
                <w:color w:val="auto"/>
              </w:rPr>
            </w:pPr>
            <w:r>
              <w:rPr>
                <w:rFonts w:ascii="Arial" w:cs="Arial" w:eastAsia="Arial" w:hAnsi="Arial"/>
                <w:sz w:val="16"/>
                <w:szCs w:val="16"/>
                <w:color w:val="4C4C4C"/>
                <w:w w:val="99"/>
              </w:rPr>
              <w:t>(1)(10)</w:t>
            </w:r>
          </w:p>
        </w:tc>
        <w:tc>
          <w:tcPr>
            <w:tcW w:w="1540" w:type="dxa"/>
            <w:vAlign w:val="bottom"/>
            <w:shd w:val="clear" w:color="auto" w:fill="BAE2F8"/>
          </w:tcPr>
          <w:p>
            <w:pPr>
              <w:jc w:val="right"/>
              <w:ind w:right="420"/>
              <w:spacing w:after="0"/>
              <w:rPr>
                <w:sz w:val="20"/>
                <w:szCs w:val="20"/>
                <w:color w:val="auto"/>
              </w:rPr>
            </w:pPr>
            <w:r>
              <w:rPr>
                <w:rFonts w:ascii="Arial" w:cs="Arial" w:eastAsia="Arial" w:hAnsi="Arial"/>
                <w:sz w:val="16"/>
                <w:szCs w:val="16"/>
                <w:color w:val="4C4C4C"/>
              </w:rPr>
              <w:t>43,125</w:t>
            </w:r>
          </w:p>
        </w:tc>
        <w:tc>
          <w:tcPr>
            <w:tcW w:w="1560" w:type="dxa"/>
            <w:vAlign w:val="bottom"/>
            <w:shd w:val="clear" w:color="auto" w:fill="BAE2F8"/>
          </w:tcPr>
          <w:p>
            <w:pPr>
              <w:jc w:val="right"/>
              <w:ind w:right="541"/>
              <w:spacing w:after="0"/>
              <w:rPr>
                <w:sz w:val="20"/>
                <w:szCs w:val="20"/>
                <w:color w:val="auto"/>
              </w:rPr>
            </w:pPr>
            <w:r>
              <w:rPr>
                <w:rFonts w:ascii="Arial" w:cs="Arial" w:eastAsia="Arial" w:hAnsi="Arial"/>
                <w:sz w:val="16"/>
                <w:szCs w:val="16"/>
                <w:color w:val="4C4C4C"/>
              </w:rPr>
              <w:t>1,875</w:t>
            </w:r>
          </w:p>
        </w:tc>
        <w:tc>
          <w:tcPr>
            <w:tcW w:w="1320" w:type="dxa"/>
            <w:vAlign w:val="bottom"/>
            <w:shd w:val="clear" w:color="auto" w:fill="BAE2F8"/>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shd w:val="clear" w:color="auto" w:fill="BAE2F8"/>
          </w:tcPr>
          <w:p>
            <w:pPr>
              <w:jc w:val="right"/>
              <w:ind w:right="400"/>
              <w:spacing w:after="0"/>
              <w:rPr>
                <w:sz w:val="20"/>
                <w:szCs w:val="20"/>
                <w:color w:val="auto"/>
              </w:rPr>
            </w:pPr>
            <w:r>
              <w:rPr>
                <w:rFonts w:ascii="Arial" w:cs="Arial" w:eastAsia="Arial" w:hAnsi="Arial"/>
                <w:sz w:val="16"/>
                <w:szCs w:val="16"/>
                <w:color w:val="4C4C4C"/>
              </w:rPr>
              <w:t>1.77</w:t>
            </w:r>
          </w:p>
        </w:tc>
        <w:tc>
          <w:tcPr>
            <w:tcW w:w="1320" w:type="dxa"/>
            <w:vAlign w:val="bottom"/>
            <w:shd w:val="clear" w:color="auto" w:fill="BAE2F8"/>
          </w:tcPr>
          <w:p>
            <w:pPr>
              <w:jc w:val="right"/>
              <w:ind w:right="240"/>
              <w:spacing w:after="0"/>
              <w:rPr>
                <w:sz w:val="20"/>
                <w:szCs w:val="20"/>
                <w:color w:val="auto"/>
              </w:rPr>
            </w:pPr>
            <w:r>
              <w:rPr>
                <w:rFonts w:ascii="Arial" w:cs="Arial" w:eastAsia="Arial" w:hAnsi="Arial"/>
                <w:sz w:val="16"/>
                <w:szCs w:val="16"/>
                <w:color w:val="4C4C4C"/>
              </w:rPr>
              <w:t>1/24/2028</w:t>
            </w:r>
          </w:p>
        </w:tc>
        <w:tc>
          <w:tcPr>
            <w:tcW w:w="0" w:type="dxa"/>
            <w:vAlign w:val="bottom"/>
          </w:tcPr>
          <w:p>
            <w:pPr>
              <w:spacing w:after="0"/>
              <w:rPr>
                <w:sz w:val="1"/>
                <w:szCs w:val="1"/>
                <w:color w:val="auto"/>
              </w:rPr>
            </w:pPr>
          </w:p>
        </w:tc>
      </w:tr>
      <w:tr>
        <w:trPr>
          <w:trHeight w:val="297"/>
        </w:trPr>
        <w:tc>
          <w:tcPr>
            <w:tcW w:w="960" w:type="dxa"/>
            <w:vAlign w:val="bottom"/>
            <w:shd w:val="clear" w:color="auto" w:fill="BAE2F8"/>
          </w:tcPr>
          <w:p>
            <w:pPr>
              <w:spacing w:after="0"/>
              <w:rPr>
                <w:sz w:val="24"/>
                <w:szCs w:val="24"/>
                <w:color w:val="auto"/>
              </w:rPr>
            </w:pPr>
          </w:p>
        </w:tc>
        <w:tc>
          <w:tcPr>
            <w:tcW w:w="40" w:type="dxa"/>
            <w:vAlign w:val="bottom"/>
            <w:shd w:val="clear" w:color="auto" w:fill="BAE2F8"/>
          </w:tcPr>
          <w:p>
            <w:pPr>
              <w:spacing w:after="0"/>
              <w:rPr>
                <w:sz w:val="24"/>
                <w:szCs w:val="24"/>
                <w:color w:val="auto"/>
              </w:rPr>
            </w:pPr>
          </w:p>
        </w:tc>
        <w:tc>
          <w:tcPr>
            <w:tcW w:w="500" w:type="dxa"/>
            <w:vAlign w:val="bottom"/>
            <w:shd w:val="clear" w:color="auto" w:fill="BAE2F8"/>
          </w:tcPr>
          <w:p>
            <w:pPr>
              <w:jc w:val="center"/>
              <w:spacing w:after="0"/>
              <w:rPr>
                <w:sz w:val="20"/>
                <w:szCs w:val="20"/>
                <w:color w:val="auto"/>
              </w:rPr>
            </w:pPr>
            <w:r>
              <w:rPr>
                <w:rFonts w:ascii="Arial" w:cs="Arial" w:eastAsia="Arial" w:hAnsi="Arial"/>
                <w:sz w:val="16"/>
                <w:szCs w:val="16"/>
                <w:color w:val="4C4C4C"/>
              </w:rPr>
              <w:t>(1)(7)</w:t>
            </w:r>
          </w:p>
        </w:tc>
        <w:tc>
          <w:tcPr>
            <w:tcW w:w="1540" w:type="dxa"/>
            <w:vAlign w:val="bottom"/>
            <w:shd w:val="clear" w:color="auto" w:fill="BAE2F8"/>
          </w:tcPr>
          <w:p>
            <w:pPr>
              <w:jc w:val="right"/>
              <w:ind w:right="420"/>
              <w:spacing w:after="0"/>
              <w:rPr>
                <w:sz w:val="20"/>
                <w:szCs w:val="20"/>
                <w:color w:val="auto"/>
              </w:rPr>
            </w:pPr>
            <w:r>
              <w:rPr>
                <w:rFonts w:ascii="Arial" w:cs="Arial" w:eastAsia="Arial" w:hAnsi="Arial"/>
                <w:sz w:val="16"/>
                <w:szCs w:val="16"/>
                <w:color w:val="4C4C4C"/>
              </w:rPr>
              <w:t>49,998</w:t>
            </w:r>
          </w:p>
        </w:tc>
        <w:tc>
          <w:tcPr>
            <w:tcW w:w="1560" w:type="dxa"/>
            <w:vAlign w:val="bottom"/>
            <w:shd w:val="clear" w:color="auto" w:fill="BAE2F8"/>
          </w:tcPr>
          <w:p>
            <w:pPr>
              <w:jc w:val="right"/>
              <w:ind w:right="521"/>
              <w:spacing w:after="0"/>
              <w:rPr>
                <w:sz w:val="20"/>
                <w:szCs w:val="20"/>
                <w:color w:val="auto"/>
              </w:rPr>
            </w:pPr>
            <w:r>
              <w:rPr>
                <w:rFonts w:ascii="Arial" w:cs="Arial" w:eastAsia="Arial" w:hAnsi="Arial"/>
                <w:sz w:val="16"/>
                <w:szCs w:val="16"/>
                <w:color w:val="4C4C4C"/>
              </w:rPr>
              <w:t>25,002</w:t>
            </w:r>
          </w:p>
        </w:tc>
        <w:tc>
          <w:tcPr>
            <w:tcW w:w="1320" w:type="dxa"/>
            <w:vAlign w:val="bottom"/>
            <w:shd w:val="clear" w:color="auto" w:fill="BAE2F8"/>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shd w:val="clear" w:color="auto" w:fill="BAE2F8"/>
          </w:tcPr>
          <w:p>
            <w:pPr>
              <w:jc w:val="right"/>
              <w:ind w:right="400"/>
              <w:spacing w:after="0"/>
              <w:rPr>
                <w:sz w:val="20"/>
                <w:szCs w:val="20"/>
                <w:color w:val="auto"/>
              </w:rPr>
            </w:pPr>
            <w:r>
              <w:rPr>
                <w:rFonts w:ascii="Arial" w:cs="Arial" w:eastAsia="Arial" w:hAnsi="Arial"/>
                <w:sz w:val="16"/>
                <w:szCs w:val="16"/>
                <w:color w:val="4C4C4C"/>
              </w:rPr>
              <w:t>5.60</w:t>
            </w:r>
          </w:p>
        </w:tc>
        <w:tc>
          <w:tcPr>
            <w:tcW w:w="1320" w:type="dxa"/>
            <w:vAlign w:val="bottom"/>
            <w:shd w:val="clear" w:color="auto" w:fill="BAE2F8"/>
          </w:tcPr>
          <w:p>
            <w:pPr>
              <w:jc w:val="right"/>
              <w:ind w:right="240"/>
              <w:spacing w:after="0"/>
              <w:rPr>
                <w:sz w:val="20"/>
                <w:szCs w:val="20"/>
                <w:color w:val="auto"/>
              </w:rPr>
            </w:pPr>
            <w:r>
              <w:rPr>
                <w:rFonts w:ascii="Arial" w:cs="Arial" w:eastAsia="Arial" w:hAnsi="Arial"/>
                <w:sz w:val="16"/>
                <w:szCs w:val="16"/>
                <w:color w:val="4C4C4C"/>
              </w:rPr>
              <w:t>4/22/2029</w:t>
            </w:r>
          </w:p>
        </w:tc>
        <w:tc>
          <w:tcPr>
            <w:tcW w:w="0" w:type="dxa"/>
            <w:vAlign w:val="bottom"/>
          </w:tcPr>
          <w:p>
            <w:pPr>
              <w:spacing w:after="0"/>
              <w:rPr>
                <w:sz w:val="1"/>
                <w:szCs w:val="1"/>
                <w:color w:val="auto"/>
              </w:rPr>
            </w:pPr>
          </w:p>
        </w:tc>
      </w:tr>
      <w:tr>
        <w:trPr>
          <w:trHeight w:val="297"/>
        </w:trPr>
        <w:tc>
          <w:tcPr>
            <w:tcW w:w="960" w:type="dxa"/>
            <w:vAlign w:val="bottom"/>
            <w:shd w:val="clear" w:color="auto" w:fill="BAE2F8"/>
          </w:tcPr>
          <w:p>
            <w:pPr>
              <w:spacing w:after="0"/>
              <w:rPr>
                <w:sz w:val="24"/>
                <w:szCs w:val="24"/>
                <w:color w:val="auto"/>
              </w:rPr>
            </w:pPr>
          </w:p>
        </w:tc>
        <w:tc>
          <w:tcPr>
            <w:tcW w:w="40" w:type="dxa"/>
            <w:vAlign w:val="bottom"/>
            <w:shd w:val="clear" w:color="auto" w:fill="BAE2F8"/>
          </w:tcPr>
          <w:p>
            <w:pPr>
              <w:spacing w:after="0"/>
              <w:rPr>
                <w:sz w:val="24"/>
                <w:szCs w:val="24"/>
                <w:color w:val="auto"/>
              </w:rPr>
            </w:pPr>
          </w:p>
        </w:tc>
        <w:tc>
          <w:tcPr>
            <w:tcW w:w="500" w:type="dxa"/>
            <w:vAlign w:val="bottom"/>
            <w:shd w:val="clear" w:color="auto" w:fill="BAE2F8"/>
          </w:tcPr>
          <w:p>
            <w:pPr>
              <w:jc w:val="center"/>
              <w:spacing w:after="0"/>
              <w:rPr>
                <w:sz w:val="20"/>
                <w:szCs w:val="20"/>
                <w:color w:val="auto"/>
              </w:rPr>
            </w:pPr>
            <w:r>
              <w:rPr>
                <w:rFonts w:ascii="Arial" w:cs="Arial" w:eastAsia="Arial" w:hAnsi="Arial"/>
                <w:sz w:val="16"/>
                <w:szCs w:val="16"/>
                <w:color w:val="4C4C4C"/>
              </w:rPr>
              <w:t>(1)(9)</w:t>
            </w:r>
          </w:p>
        </w:tc>
        <w:tc>
          <w:tcPr>
            <w:tcW w:w="1540" w:type="dxa"/>
            <w:vAlign w:val="bottom"/>
            <w:shd w:val="clear" w:color="auto" w:fill="BAE2F8"/>
          </w:tcPr>
          <w:p>
            <w:pPr>
              <w:jc w:val="right"/>
              <w:ind w:right="420"/>
              <w:spacing w:after="0"/>
              <w:rPr>
                <w:sz w:val="20"/>
                <w:szCs w:val="20"/>
                <w:color w:val="auto"/>
              </w:rPr>
            </w:pPr>
            <w:r>
              <w:rPr>
                <w:rFonts w:ascii="Arial" w:cs="Arial" w:eastAsia="Arial" w:hAnsi="Arial"/>
                <w:sz w:val="16"/>
                <w:szCs w:val="16"/>
                <w:color w:val="4C4C4C"/>
              </w:rPr>
              <w:t>15,624</w:t>
            </w:r>
          </w:p>
        </w:tc>
        <w:tc>
          <w:tcPr>
            <w:tcW w:w="1560" w:type="dxa"/>
            <w:vAlign w:val="bottom"/>
            <w:shd w:val="clear" w:color="auto" w:fill="BAE2F8"/>
          </w:tcPr>
          <w:p>
            <w:pPr>
              <w:jc w:val="right"/>
              <w:ind w:right="521"/>
              <w:spacing w:after="0"/>
              <w:rPr>
                <w:sz w:val="20"/>
                <w:szCs w:val="20"/>
                <w:color w:val="auto"/>
              </w:rPr>
            </w:pPr>
            <w:r>
              <w:rPr>
                <w:rFonts w:ascii="Arial" w:cs="Arial" w:eastAsia="Arial" w:hAnsi="Arial"/>
                <w:sz w:val="16"/>
                <w:szCs w:val="16"/>
                <w:color w:val="4C4C4C"/>
              </w:rPr>
              <w:t>14,376</w:t>
            </w:r>
          </w:p>
        </w:tc>
        <w:tc>
          <w:tcPr>
            <w:tcW w:w="1320" w:type="dxa"/>
            <w:vAlign w:val="bottom"/>
            <w:shd w:val="clear" w:color="auto" w:fill="BAE2F8"/>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shd w:val="clear" w:color="auto" w:fill="BAE2F8"/>
          </w:tcPr>
          <w:p>
            <w:pPr>
              <w:jc w:val="right"/>
              <w:ind w:right="400"/>
              <w:spacing w:after="0"/>
              <w:rPr>
                <w:sz w:val="20"/>
                <w:szCs w:val="20"/>
                <w:color w:val="auto"/>
              </w:rPr>
            </w:pPr>
            <w:r>
              <w:rPr>
                <w:rFonts w:ascii="Arial" w:cs="Arial" w:eastAsia="Arial" w:hAnsi="Arial"/>
                <w:sz w:val="16"/>
                <w:szCs w:val="16"/>
                <w:color w:val="4C4C4C"/>
              </w:rPr>
              <w:t>4.55</w:t>
            </w:r>
          </w:p>
        </w:tc>
        <w:tc>
          <w:tcPr>
            <w:tcW w:w="1320" w:type="dxa"/>
            <w:vAlign w:val="bottom"/>
            <w:shd w:val="clear" w:color="auto" w:fill="BAE2F8"/>
          </w:tcPr>
          <w:p>
            <w:pPr>
              <w:jc w:val="right"/>
              <w:ind w:right="260"/>
              <w:spacing w:after="0"/>
              <w:rPr>
                <w:sz w:val="20"/>
                <w:szCs w:val="20"/>
                <w:color w:val="auto"/>
              </w:rPr>
            </w:pPr>
            <w:r>
              <w:rPr>
                <w:rFonts w:ascii="Arial" w:cs="Arial" w:eastAsia="Arial" w:hAnsi="Arial"/>
                <w:sz w:val="16"/>
                <w:szCs w:val="16"/>
                <w:color w:val="4C4C4C"/>
              </w:rPr>
              <w:t>11/3/2029</w:t>
            </w:r>
          </w:p>
        </w:tc>
        <w:tc>
          <w:tcPr>
            <w:tcW w:w="0" w:type="dxa"/>
            <w:vAlign w:val="bottom"/>
          </w:tcPr>
          <w:p>
            <w:pPr>
              <w:spacing w:after="0"/>
              <w:rPr>
                <w:sz w:val="1"/>
                <w:szCs w:val="1"/>
                <w:color w:val="auto"/>
              </w:rPr>
            </w:pPr>
          </w:p>
        </w:tc>
      </w:tr>
      <w:tr>
        <w:trPr>
          <w:trHeight w:val="297"/>
        </w:trPr>
        <w:tc>
          <w:tcPr>
            <w:tcW w:w="960" w:type="dxa"/>
            <w:vAlign w:val="bottom"/>
            <w:shd w:val="clear" w:color="auto" w:fill="BAE2F8"/>
          </w:tcPr>
          <w:p>
            <w:pPr>
              <w:spacing w:after="0"/>
              <w:rPr>
                <w:sz w:val="24"/>
                <w:szCs w:val="24"/>
                <w:color w:val="auto"/>
              </w:rPr>
            </w:pPr>
          </w:p>
        </w:tc>
        <w:tc>
          <w:tcPr>
            <w:tcW w:w="40" w:type="dxa"/>
            <w:vAlign w:val="bottom"/>
            <w:shd w:val="clear" w:color="auto" w:fill="BAE2F8"/>
          </w:tcPr>
          <w:p>
            <w:pPr>
              <w:spacing w:after="0"/>
              <w:rPr>
                <w:sz w:val="24"/>
                <w:szCs w:val="24"/>
                <w:color w:val="auto"/>
              </w:rPr>
            </w:pPr>
          </w:p>
        </w:tc>
        <w:tc>
          <w:tcPr>
            <w:tcW w:w="500" w:type="dxa"/>
            <w:vAlign w:val="bottom"/>
            <w:shd w:val="clear" w:color="auto" w:fill="BAE2F8"/>
          </w:tcPr>
          <w:p>
            <w:pPr>
              <w:jc w:val="center"/>
              <w:spacing w:after="0"/>
              <w:rPr>
                <w:sz w:val="20"/>
                <w:szCs w:val="20"/>
                <w:color w:val="auto"/>
              </w:rPr>
            </w:pPr>
            <w:r>
              <w:rPr>
                <w:rFonts w:ascii="Arial" w:cs="Arial" w:eastAsia="Arial" w:hAnsi="Arial"/>
                <w:sz w:val="16"/>
                <w:szCs w:val="16"/>
                <w:color w:val="4C4C4C"/>
                <w:w w:val="99"/>
              </w:rPr>
              <w:t>(1)(11)</w:t>
            </w:r>
          </w:p>
        </w:tc>
        <w:tc>
          <w:tcPr>
            <w:tcW w:w="1540" w:type="dxa"/>
            <w:vAlign w:val="bottom"/>
            <w:shd w:val="clear" w:color="auto" w:fill="BAE2F8"/>
          </w:tcPr>
          <w:p>
            <w:pPr>
              <w:jc w:val="right"/>
              <w:ind w:right="420"/>
              <w:spacing w:after="0"/>
              <w:rPr>
                <w:sz w:val="20"/>
                <w:szCs w:val="20"/>
                <w:color w:val="auto"/>
              </w:rPr>
            </w:pPr>
            <w:r>
              <w:rPr>
                <w:rFonts w:ascii="Arial" w:cs="Arial" w:eastAsia="Arial" w:hAnsi="Arial"/>
                <w:sz w:val="16"/>
                <w:szCs w:val="16"/>
                <w:color w:val="4C4C4C"/>
              </w:rPr>
              <w:t>12,498</w:t>
            </w:r>
          </w:p>
        </w:tc>
        <w:tc>
          <w:tcPr>
            <w:tcW w:w="1560" w:type="dxa"/>
            <w:vAlign w:val="bottom"/>
            <w:shd w:val="clear" w:color="auto" w:fill="BAE2F8"/>
          </w:tcPr>
          <w:p>
            <w:pPr>
              <w:jc w:val="right"/>
              <w:ind w:right="521"/>
              <w:spacing w:after="0"/>
              <w:rPr>
                <w:sz w:val="20"/>
                <w:szCs w:val="20"/>
                <w:color w:val="auto"/>
              </w:rPr>
            </w:pPr>
            <w:r>
              <w:rPr>
                <w:rFonts w:ascii="Arial" w:cs="Arial" w:eastAsia="Arial" w:hAnsi="Arial"/>
                <w:sz w:val="16"/>
                <w:szCs w:val="16"/>
                <w:color w:val="4C4C4C"/>
              </w:rPr>
              <w:t>17,502</w:t>
            </w:r>
          </w:p>
        </w:tc>
        <w:tc>
          <w:tcPr>
            <w:tcW w:w="1320" w:type="dxa"/>
            <w:vAlign w:val="bottom"/>
            <w:shd w:val="clear" w:color="auto" w:fill="BAE2F8"/>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shd w:val="clear" w:color="auto" w:fill="BAE2F8"/>
          </w:tcPr>
          <w:p>
            <w:pPr>
              <w:jc w:val="right"/>
              <w:ind w:right="380"/>
              <w:spacing w:after="0"/>
              <w:rPr>
                <w:sz w:val="20"/>
                <w:szCs w:val="20"/>
                <w:color w:val="auto"/>
              </w:rPr>
            </w:pPr>
            <w:r>
              <w:rPr>
                <w:rFonts w:ascii="Arial" w:cs="Arial" w:eastAsia="Arial" w:hAnsi="Arial"/>
                <w:sz w:val="16"/>
                <w:szCs w:val="16"/>
                <w:color w:val="4C4C4C"/>
              </w:rPr>
              <w:t>12.75</w:t>
            </w:r>
          </w:p>
        </w:tc>
        <w:tc>
          <w:tcPr>
            <w:tcW w:w="1320" w:type="dxa"/>
            <w:vAlign w:val="bottom"/>
            <w:shd w:val="clear" w:color="auto" w:fill="BAE2F8"/>
          </w:tcPr>
          <w:p>
            <w:pPr>
              <w:jc w:val="right"/>
              <w:ind w:right="240"/>
              <w:spacing w:after="0"/>
              <w:rPr>
                <w:sz w:val="20"/>
                <w:szCs w:val="20"/>
                <w:color w:val="auto"/>
              </w:rPr>
            </w:pPr>
            <w:r>
              <w:rPr>
                <w:rFonts w:ascii="Arial" w:cs="Arial" w:eastAsia="Arial" w:hAnsi="Arial"/>
                <w:sz w:val="16"/>
                <w:szCs w:val="16"/>
                <w:color w:val="4C4C4C"/>
              </w:rPr>
              <w:t>4/27/2030</w:t>
            </w:r>
          </w:p>
        </w:tc>
        <w:tc>
          <w:tcPr>
            <w:tcW w:w="0" w:type="dxa"/>
            <w:vAlign w:val="bottom"/>
          </w:tcPr>
          <w:p>
            <w:pPr>
              <w:spacing w:after="0"/>
              <w:rPr>
                <w:sz w:val="1"/>
                <w:szCs w:val="1"/>
                <w:color w:val="auto"/>
              </w:rPr>
            </w:pPr>
          </w:p>
        </w:tc>
      </w:tr>
      <w:tr>
        <w:trPr>
          <w:trHeight w:val="319"/>
        </w:trPr>
        <w:tc>
          <w:tcPr>
            <w:tcW w:w="960" w:type="dxa"/>
            <w:vAlign w:val="bottom"/>
            <w:tcBorders>
              <w:bottom w:val="single" w:sz="8" w:color="BAE2F8"/>
            </w:tcBorders>
            <w:shd w:val="clear" w:color="auto" w:fill="BAE2F8"/>
          </w:tcPr>
          <w:p>
            <w:pPr>
              <w:spacing w:after="0"/>
              <w:rPr>
                <w:sz w:val="24"/>
                <w:szCs w:val="24"/>
                <w:color w:val="auto"/>
              </w:rPr>
            </w:pPr>
          </w:p>
        </w:tc>
        <w:tc>
          <w:tcPr>
            <w:tcW w:w="40" w:type="dxa"/>
            <w:vAlign w:val="bottom"/>
            <w:tcBorders>
              <w:bottom w:val="single" w:sz="8" w:color="BAE2F8"/>
            </w:tcBorders>
            <w:shd w:val="clear" w:color="auto" w:fill="BAE2F8"/>
          </w:tcPr>
          <w:p>
            <w:pPr>
              <w:spacing w:after="0"/>
              <w:rPr>
                <w:sz w:val="24"/>
                <w:szCs w:val="24"/>
                <w:color w:val="auto"/>
              </w:rPr>
            </w:pPr>
          </w:p>
        </w:tc>
        <w:tc>
          <w:tcPr>
            <w:tcW w:w="500" w:type="dxa"/>
            <w:vAlign w:val="bottom"/>
            <w:tcBorders>
              <w:bottom w:val="single" w:sz="8" w:color="BAE2F8"/>
            </w:tcBorders>
            <w:shd w:val="clear" w:color="auto" w:fill="BAE2F8"/>
          </w:tcPr>
          <w:p>
            <w:pPr>
              <w:jc w:val="center"/>
              <w:spacing w:after="0"/>
              <w:rPr>
                <w:sz w:val="20"/>
                <w:szCs w:val="20"/>
                <w:color w:val="auto"/>
              </w:rPr>
            </w:pPr>
            <w:r>
              <w:rPr>
                <w:rFonts w:ascii="Arial" w:cs="Arial" w:eastAsia="Arial" w:hAnsi="Arial"/>
                <w:sz w:val="16"/>
                <w:szCs w:val="16"/>
                <w:color w:val="4C4C4C"/>
              </w:rPr>
              <w:t>(2)(7)</w:t>
            </w:r>
          </w:p>
        </w:tc>
        <w:tc>
          <w:tcPr>
            <w:tcW w:w="1540" w:type="dxa"/>
            <w:vAlign w:val="bottom"/>
            <w:tcBorders>
              <w:bottom w:val="single" w:sz="8" w:color="BAE2F8"/>
            </w:tcBorders>
            <w:shd w:val="clear" w:color="auto" w:fill="BAE2F8"/>
          </w:tcPr>
          <w:p>
            <w:pPr>
              <w:jc w:val="right"/>
              <w:ind w:right="460"/>
              <w:spacing w:after="0"/>
              <w:rPr>
                <w:sz w:val="20"/>
                <w:szCs w:val="20"/>
                <w:color w:val="auto"/>
              </w:rPr>
            </w:pPr>
            <w:r>
              <w:rPr>
                <w:rFonts w:ascii="Arial" w:cs="Arial" w:eastAsia="Arial" w:hAnsi="Arial"/>
                <w:sz w:val="16"/>
                <w:szCs w:val="16"/>
                <w:color w:val="4C4C4C"/>
              </w:rPr>
              <w:t>—</w:t>
            </w:r>
          </w:p>
        </w:tc>
        <w:tc>
          <w:tcPr>
            <w:tcW w:w="1560" w:type="dxa"/>
            <w:vAlign w:val="bottom"/>
            <w:tcBorders>
              <w:bottom w:val="single" w:sz="8" w:color="BAE2F8"/>
            </w:tcBorders>
            <w:shd w:val="clear" w:color="auto" w:fill="BAE2F8"/>
          </w:tcPr>
          <w:p>
            <w:pPr>
              <w:jc w:val="right"/>
              <w:ind w:right="561"/>
              <w:spacing w:after="0"/>
              <w:rPr>
                <w:sz w:val="20"/>
                <w:szCs w:val="20"/>
                <w:color w:val="auto"/>
              </w:rPr>
            </w:pPr>
            <w:r>
              <w:rPr>
                <w:rFonts w:ascii="Arial" w:cs="Arial" w:eastAsia="Arial" w:hAnsi="Arial"/>
                <w:sz w:val="16"/>
                <w:szCs w:val="16"/>
                <w:color w:val="4C4C4C"/>
              </w:rPr>
              <w:t>—</w:t>
            </w:r>
          </w:p>
        </w:tc>
        <w:tc>
          <w:tcPr>
            <w:tcW w:w="1320" w:type="dxa"/>
            <w:vAlign w:val="bottom"/>
            <w:tcBorders>
              <w:bottom w:val="single" w:sz="8" w:color="BAE2F8"/>
            </w:tcBorders>
            <w:shd w:val="clear" w:color="auto" w:fill="BAE2F8"/>
          </w:tcPr>
          <w:p>
            <w:pPr>
              <w:jc w:val="right"/>
              <w:ind w:right="281"/>
              <w:spacing w:after="0"/>
              <w:rPr>
                <w:sz w:val="20"/>
                <w:szCs w:val="20"/>
                <w:color w:val="auto"/>
              </w:rPr>
            </w:pPr>
            <w:r>
              <w:rPr>
                <w:rFonts w:ascii="Arial" w:cs="Arial" w:eastAsia="Arial" w:hAnsi="Arial"/>
                <w:sz w:val="16"/>
                <w:szCs w:val="16"/>
                <w:color w:val="4C4C4C"/>
              </w:rPr>
              <w:t>260,000</w:t>
            </w:r>
          </w:p>
        </w:tc>
        <w:tc>
          <w:tcPr>
            <w:tcW w:w="1180" w:type="dxa"/>
            <w:vAlign w:val="bottom"/>
            <w:tcBorders>
              <w:bottom w:val="single" w:sz="8" w:color="BAE2F8"/>
            </w:tcBorders>
            <w:shd w:val="clear" w:color="auto" w:fill="BAE2F8"/>
          </w:tcPr>
          <w:p>
            <w:pPr>
              <w:jc w:val="right"/>
              <w:ind w:right="400"/>
              <w:spacing w:after="0"/>
              <w:rPr>
                <w:sz w:val="20"/>
                <w:szCs w:val="20"/>
                <w:color w:val="auto"/>
              </w:rPr>
            </w:pPr>
            <w:r>
              <w:rPr>
                <w:rFonts w:ascii="Arial" w:cs="Arial" w:eastAsia="Arial" w:hAnsi="Arial"/>
                <w:sz w:val="16"/>
                <w:szCs w:val="16"/>
                <w:color w:val="4C4C4C"/>
              </w:rPr>
              <w:t>1.89</w:t>
            </w:r>
          </w:p>
        </w:tc>
        <w:tc>
          <w:tcPr>
            <w:tcW w:w="1320" w:type="dxa"/>
            <w:vAlign w:val="bottom"/>
            <w:tcBorders>
              <w:bottom w:val="single" w:sz="8" w:color="BAE2F8"/>
            </w:tcBorders>
            <w:shd w:val="clear" w:color="auto" w:fill="BAE2F8"/>
          </w:tcPr>
          <w:p>
            <w:pPr>
              <w:jc w:val="right"/>
              <w:ind w:right="240"/>
              <w:spacing w:after="0"/>
              <w:rPr>
                <w:sz w:val="20"/>
                <w:szCs w:val="20"/>
                <w:color w:val="auto"/>
              </w:rPr>
            </w:pPr>
            <w:r>
              <w:rPr>
                <w:rFonts w:ascii="Arial" w:cs="Arial" w:eastAsia="Arial" w:hAnsi="Arial"/>
                <w:sz w:val="16"/>
                <w:szCs w:val="16"/>
                <w:color w:val="4C4C4C"/>
              </w:rPr>
              <w:t>12/31/2024</w:t>
            </w:r>
          </w:p>
        </w:tc>
        <w:tc>
          <w:tcPr>
            <w:tcW w:w="0" w:type="dxa"/>
            <w:vAlign w:val="bottom"/>
          </w:tcPr>
          <w:p>
            <w:pPr>
              <w:spacing w:after="0"/>
              <w:rPr>
                <w:sz w:val="1"/>
                <w:szCs w:val="1"/>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6"/>
                <w:szCs w:val="16"/>
                <w:color w:val="4C4C4C"/>
              </w:rPr>
              <w:t>Fuping</w:t>
            </w:r>
          </w:p>
        </w:tc>
        <w:tc>
          <w:tcPr>
            <w:tcW w:w="540" w:type="dxa"/>
            <w:vAlign w:val="bottom"/>
            <w:gridSpan w:val="2"/>
          </w:tcPr>
          <w:p>
            <w:pPr>
              <w:jc w:val="center"/>
              <w:spacing w:after="0"/>
              <w:rPr>
                <w:sz w:val="20"/>
                <w:szCs w:val="20"/>
                <w:color w:val="auto"/>
              </w:rPr>
            </w:pPr>
            <w:r>
              <w:rPr>
                <w:rFonts w:ascii="Arial" w:cs="Arial" w:eastAsia="Arial" w:hAnsi="Arial"/>
                <w:sz w:val="16"/>
                <w:szCs w:val="16"/>
                <w:color w:val="4C4C4C"/>
              </w:rPr>
              <w:t>(1)(4)</w:t>
            </w:r>
          </w:p>
        </w:tc>
        <w:tc>
          <w:tcPr>
            <w:tcW w:w="1540" w:type="dxa"/>
            <w:vAlign w:val="bottom"/>
          </w:tcPr>
          <w:p>
            <w:pPr>
              <w:jc w:val="right"/>
              <w:ind w:right="420"/>
              <w:spacing w:after="0"/>
              <w:rPr>
                <w:sz w:val="20"/>
                <w:szCs w:val="20"/>
                <w:color w:val="auto"/>
              </w:rPr>
            </w:pPr>
            <w:r>
              <w:rPr>
                <w:rFonts w:ascii="Arial" w:cs="Arial" w:eastAsia="Arial" w:hAnsi="Arial"/>
                <w:sz w:val="16"/>
                <w:szCs w:val="16"/>
                <w:color w:val="4C4C4C"/>
              </w:rPr>
              <w:t>46,164</w:t>
            </w:r>
          </w:p>
        </w:tc>
        <w:tc>
          <w:tcPr>
            <w:tcW w:w="1560" w:type="dxa"/>
            <w:vAlign w:val="bottom"/>
          </w:tcPr>
          <w:p>
            <w:pPr>
              <w:jc w:val="right"/>
              <w:ind w:right="561"/>
              <w:spacing w:after="0"/>
              <w:rPr>
                <w:sz w:val="20"/>
                <w:szCs w:val="20"/>
                <w:color w:val="auto"/>
              </w:rPr>
            </w:pPr>
            <w:r>
              <w:rPr>
                <w:rFonts w:ascii="Arial" w:cs="Arial" w:eastAsia="Arial" w:hAnsi="Arial"/>
                <w:sz w:val="16"/>
                <w:szCs w:val="16"/>
                <w:color w:val="4C4C4C"/>
              </w:rPr>
              <w:t>—</w:t>
            </w:r>
          </w:p>
        </w:tc>
        <w:tc>
          <w:tcPr>
            <w:tcW w:w="1320" w:type="dxa"/>
            <w:vAlign w:val="bottom"/>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tcPr>
          <w:p>
            <w:pPr>
              <w:jc w:val="right"/>
              <w:ind w:right="400"/>
              <w:spacing w:after="0"/>
              <w:rPr>
                <w:sz w:val="20"/>
                <w:szCs w:val="20"/>
                <w:color w:val="auto"/>
              </w:rPr>
            </w:pPr>
            <w:r>
              <w:rPr>
                <w:rFonts w:ascii="Arial" w:cs="Arial" w:eastAsia="Arial" w:hAnsi="Arial"/>
                <w:sz w:val="16"/>
                <w:szCs w:val="16"/>
                <w:color w:val="4C4C4C"/>
              </w:rPr>
              <w:t>1.00</w:t>
            </w:r>
          </w:p>
        </w:tc>
        <w:tc>
          <w:tcPr>
            <w:tcW w:w="1320" w:type="dxa"/>
            <w:vAlign w:val="bottom"/>
          </w:tcPr>
          <w:p>
            <w:pPr>
              <w:jc w:val="right"/>
              <w:ind w:right="240"/>
              <w:spacing w:after="0"/>
              <w:rPr>
                <w:sz w:val="20"/>
                <w:szCs w:val="20"/>
                <w:color w:val="auto"/>
              </w:rPr>
            </w:pPr>
            <w:r>
              <w:rPr>
                <w:rFonts w:ascii="Arial" w:cs="Arial" w:eastAsia="Arial" w:hAnsi="Arial"/>
                <w:sz w:val="16"/>
                <w:szCs w:val="16"/>
                <w:color w:val="4C4C4C"/>
              </w:rPr>
              <w:t>12/27/2026</w:t>
            </w:r>
          </w:p>
        </w:tc>
        <w:tc>
          <w:tcPr>
            <w:tcW w:w="0" w:type="dxa"/>
            <w:vAlign w:val="bottom"/>
          </w:tcPr>
          <w:p>
            <w:pPr>
              <w:spacing w:after="0"/>
              <w:rPr>
                <w:sz w:val="1"/>
                <w:szCs w:val="1"/>
                <w:color w:val="auto"/>
              </w:rPr>
            </w:pPr>
          </w:p>
        </w:tc>
      </w:tr>
      <w:tr>
        <w:trPr>
          <w:trHeight w:val="215"/>
        </w:trPr>
        <w:tc>
          <w:tcPr>
            <w:tcW w:w="960" w:type="dxa"/>
            <w:vAlign w:val="bottom"/>
          </w:tcPr>
          <w:p>
            <w:pPr>
              <w:ind w:left="20"/>
              <w:spacing w:after="0"/>
              <w:rPr>
                <w:sz w:val="20"/>
                <w:szCs w:val="20"/>
                <w:color w:val="auto"/>
              </w:rPr>
            </w:pPr>
            <w:r>
              <w:rPr>
                <w:rFonts w:ascii="Arial" w:cs="Arial" w:eastAsia="Arial" w:hAnsi="Arial"/>
                <w:sz w:val="16"/>
                <w:szCs w:val="16"/>
                <w:color w:val="4C4C4C"/>
              </w:rPr>
              <w:t>Chen</w:t>
            </w:r>
          </w:p>
        </w:tc>
        <w:tc>
          <w:tcPr>
            <w:tcW w:w="540" w:type="dxa"/>
            <w:vAlign w:val="bottom"/>
            <w:gridSpan w:val="2"/>
            <w:vMerge w:val="restart"/>
          </w:tcPr>
          <w:p>
            <w:pPr>
              <w:jc w:val="center"/>
              <w:spacing w:after="0"/>
              <w:rPr>
                <w:sz w:val="20"/>
                <w:szCs w:val="20"/>
                <w:color w:val="auto"/>
              </w:rPr>
            </w:pPr>
            <w:r>
              <w:rPr>
                <w:rFonts w:ascii="Arial" w:cs="Arial" w:eastAsia="Arial" w:hAnsi="Arial"/>
                <w:sz w:val="16"/>
                <w:szCs w:val="16"/>
                <w:color w:val="4C4C4C"/>
              </w:rPr>
              <w:t>(1)(4)</w:t>
            </w:r>
          </w:p>
        </w:tc>
        <w:tc>
          <w:tcPr>
            <w:tcW w:w="1540" w:type="dxa"/>
            <w:vAlign w:val="bottom"/>
            <w:vMerge w:val="restart"/>
          </w:tcPr>
          <w:p>
            <w:pPr>
              <w:jc w:val="right"/>
              <w:ind w:right="420"/>
              <w:spacing w:after="0"/>
              <w:rPr>
                <w:sz w:val="20"/>
                <w:szCs w:val="20"/>
                <w:color w:val="auto"/>
              </w:rPr>
            </w:pPr>
            <w:r>
              <w:rPr>
                <w:rFonts w:ascii="Arial" w:cs="Arial" w:eastAsia="Arial" w:hAnsi="Arial"/>
                <w:sz w:val="16"/>
                <w:szCs w:val="16"/>
                <w:color w:val="4C4C4C"/>
              </w:rPr>
              <w:t>50,001</w:t>
            </w:r>
          </w:p>
        </w:tc>
        <w:tc>
          <w:tcPr>
            <w:tcW w:w="1560" w:type="dxa"/>
            <w:vAlign w:val="bottom"/>
            <w:vMerge w:val="restart"/>
          </w:tcPr>
          <w:p>
            <w:pPr>
              <w:jc w:val="right"/>
              <w:ind w:right="561"/>
              <w:spacing w:after="0"/>
              <w:rPr>
                <w:sz w:val="20"/>
                <w:szCs w:val="20"/>
                <w:color w:val="auto"/>
              </w:rPr>
            </w:pPr>
            <w:r>
              <w:rPr>
                <w:rFonts w:ascii="Arial" w:cs="Arial" w:eastAsia="Arial" w:hAnsi="Arial"/>
                <w:sz w:val="16"/>
                <w:szCs w:val="16"/>
                <w:color w:val="4C4C4C"/>
              </w:rPr>
              <w:t>—</w:t>
            </w:r>
          </w:p>
        </w:tc>
        <w:tc>
          <w:tcPr>
            <w:tcW w:w="1320" w:type="dxa"/>
            <w:vAlign w:val="bottom"/>
            <w:vMerge w:val="restart"/>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vMerge w:val="restart"/>
          </w:tcPr>
          <w:p>
            <w:pPr>
              <w:jc w:val="right"/>
              <w:ind w:right="400"/>
              <w:spacing w:after="0"/>
              <w:rPr>
                <w:sz w:val="20"/>
                <w:szCs w:val="20"/>
                <w:color w:val="auto"/>
              </w:rPr>
            </w:pPr>
            <w:r>
              <w:rPr>
                <w:rFonts w:ascii="Arial" w:cs="Arial" w:eastAsia="Arial" w:hAnsi="Arial"/>
                <w:sz w:val="16"/>
                <w:szCs w:val="16"/>
                <w:color w:val="4C4C4C"/>
              </w:rPr>
              <w:t>1.00</w:t>
            </w:r>
          </w:p>
        </w:tc>
        <w:tc>
          <w:tcPr>
            <w:tcW w:w="1320" w:type="dxa"/>
            <w:vAlign w:val="bottom"/>
            <w:vMerge w:val="restart"/>
          </w:tcPr>
          <w:p>
            <w:pPr>
              <w:jc w:val="right"/>
              <w:ind w:right="240"/>
              <w:spacing w:after="0"/>
              <w:rPr>
                <w:sz w:val="20"/>
                <w:szCs w:val="20"/>
                <w:color w:val="auto"/>
              </w:rPr>
            </w:pPr>
            <w:r>
              <w:rPr>
                <w:rFonts w:ascii="Arial" w:cs="Arial" w:eastAsia="Arial" w:hAnsi="Arial"/>
                <w:sz w:val="16"/>
                <w:szCs w:val="16"/>
                <w:color w:val="4C4C4C"/>
              </w:rPr>
              <w:t>12/27/2026</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96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4C4C4C"/>
                <w:w w:val="99"/>
              </w:rPr>
              <w:t>(1)(10)</w:t>
            </w:r>
          </w:p>
        </w:tc>
        <w:tc>
          <w:tcPr>
            <w:tcW w:w="1540" w:type="dxa"/>
            <w:vAlign w:val="bottom"/>
          </w:tcPr>
          <w:p>
            <w:pPr>
              <w:jc w:val="right"/>
              <w:ind w:right="400"/>
              <w:spacing w:after="0"/>
              <w:rPr>
                <w:sz w:val="20"/>
                <w:szCs w:val="20"/>
                <w:color w:val="auto"/>
              </w:rPr>
            </w:pPr>
            <w:r>
              <w:rPr>
                <w:rFonts w:ascii="Arial" w:cs="Arial" w:eastAsia="Arial" w:hAnsi="Arial"/>
                <w:sz w:val="16"/>
                <w:szCs w:val="16"/>
                <w:color w:val="4C4C4C"/>
              </w:rPr>
              <w:t>146,874</w:t>
            </w:r>
          </w:p>
        </w:tc>
        <w:tc>
          <w:tcPr>
            <w:tcW w:w="1560" w:type="dxa"/>
            <w:vAlign w:val="bottom"/>
          </w:tcPr>
          <w:p>
            <w:pPr>
              <w:jc w:val="right"/>
              <w:ind w:right="541"/>
              <w:spacing w:after="0"/>
              <w:rPr>
                <w:sz w:val="20"/>
                <w:szCs w:val="20"/>
                <w:color w:val="auto"/>
              </w:rPr>
            </w:pPr>
            <w:r>
              <w:rPr>
                <w:rFonts w:ascii="Arial" w:cs="Arial" w:eastAsia="Arial" w:hAnsi="Arial"/>
                <w:sz w:val="16"/>
                <w:szCs w:val="16"/>
                <w:color w:val="4C4C4C"/>
              </w:rPr>
              <w:t>3,126</w:t>
            </w:r>
          </w:p>
        </w:tc>
        <w:tc>
          <w:tcPr>
            <w:tcW w:w="1320" w:type="dxa"/>
            <w:vAlign w:val="bottom"/>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tcPr>
          <w:p>
            <w:pPr>
              <w:jc w:val="right"/>
              <w:ind w:right="400"/>
              <w:spacing w:after="0"/>
              <w:rPr>
                <w:sz w:val="20"/>
                <w:szCs w:val="20"/>
                <w:color w:val="auto"/>
              </w:rPr>
            </w:pPr>
            <w:r>
              <w:rPr>
                <w:rFonts w:ascii="Arial" w:cs="Arial" w:eastAsia="Arial" w:hAnsi="Arial"/>
                <w:sz w:val="16"/>
                <w:szCs w:val="16"/>
                <w:color w:val="4C4C4C"/>
              </w:rPr>
              <w:t>1.77</w:t>
            </w:r>
          </w:p>
        </w:tc>
        <w:tc>
          <w:tcPr>
            <w:tcW w:w="1320" w:type="dxa"/>
            <w:vAlign w:val="bottom"/>
          </w:tcPr>
          <w:p>
            <w:pPr>
              <w:jc w:val="right"/>
              <w:ind w:right="240"/>
              <w:spacing w:after="0"/>
              <w:rPr>
                <w:sz w:val="20"/>
                <w:szCs w:val="20"/>
                <w:color w:val="auto"/>
              </w:rPr>
            </w:pPr>
            <w:r>
              <w:rPr>
                <w:rFonts w:ascii="Arial" w:cs="Arial" w:eastAsia="Arial" w:hAnsi="Arial"/>
                <w:sz w:val="16"/>
                <w:szCs w:val="16"/>
                <w:color w:val="4C4C4C"/>
              </w:rPr>
              <w:t>1/24/2028</w:t>
            </w:r>
          </w:p>
        </w:tc>
        <w:tc>
          <w:tcPr>
            <w:tcW w:w="0" w:type="dxa"/>
            <w:vAlign w:val="bottom"/>
          </w:tcPr>
          <w:p>
            <w:pPr>
              <w:spacing w:after="0"/>
              <w:rPr>
                <w:sz w:val="1"/>
                <w:szCs w:val="1"/>
                <w:color w:val="auto"/>
              </w:rPr>
            </w:pPr>
          </w:p>
        </w:tc>
      </w:tr>
      <w:tr>
        <w:trPr>
          <w:trHeight w:val="297"/>
        </w:trPr>
        <w:tc>
          <w:tcPr>
            <w:tcW w:w="96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4C4C4C"/>
                <w:w w:val="99"/>
              </w:rPr>
              <w:t>(1)(12)</w:t>
            </w:r>
          </w:p>
        </w:tc>
        <w:tc>
          <w:tcPr>
            <w:tcW w:w="1540" w:type="dxa"/>
            <w:vAlign w:val="bottom"/>
          </w:tcPr>
          <w:p>
            <w:pPr>
              <w:jc w:val="right"/>
              <w:ind w:right="420"/>
              <w:spacing w:after="0"/>
              <w:rPr>
                <w:sz w:val="20"/>
                <w:szCs w:val="20"/>
                <w:color w:val="auto"/>
              </w:rPr>
            </w:pPr>
            <w:r>
              <w:rPr>
                <w:rFonts w:ascii="Arial" w:cs="Arial" w:eastAsia="Arial" w:hAnsi="Arial"/>
                <w:sz w:val="16"/>
                <w:szCs w:val="16"/>
                <w:color w:val="4C4C4C"/>
              </w:rPr>
              <w:t>17,493</w:t>
            </w:r>
          </w:p>
        </w:tc>
        <w:tc>
          <w:tcPr>
            <w:tcW w:w="1560" w:type="dxa"/>
            <w:vAlign w:val="bottom"/>
          </w:tcPr>
          <w:p>
            <w:pPr>
              <w:jc w:val="right"/>
              <w:ind w:right="521"/>
              <w:spacing w:after="0"/>
              <w:rPr>
                <w:sz w:val="20"/>
                <w:szCs w:val="20"/>
                <w:color w:val="auto"/>
              </w:rPr>
            </w:pPr>
            <w:r>
              <w:rPr>
                <w:rFonts w:ascii="Arial" w:cs="Arial" w:eastAsia="Arial" w:hAnsi="Arial"/>
                <w:sz w:val="16"/>
                <w:szCs w:val="16"/>
                <w:color w:val="4C4C4C"/>
              </w:rPr>
              <w:t>12,507</w:t>
            </w:r>
          </w:p>
        </w:tc>
        <w:tc>
          <w:tcPr>
            <w:tcW w:w="1320" w:type="dxa"/>
            <w:vAlign w:val="bottom"/>
          </w:tcPr>
          <w:p>
            <w:pPr>
              <w:jc w:val="right"/>
              <w:ind w:right="321"/>
              <w:spacing w:after="0"/>
              <w:rPr>
                <w:sz w:val="20"/>
                <w:szCs w:val="20"/>
                <w:color w:val="auto"/>
              </w:rPr>
            </w:pPr>
            <w:r>
              <w:rPr>
                <w:rFonts w:ascii="Arial" w:cs="Arial" w:eastAsia="Arial" w:hAnsi="Arial"/>
                <w:sz w:val="16"/>
                <w:szCs w:val="16"/>
                <w:color w:val="4C4C4C"/>
              </w:rPr>
              <w:t>—</w:t>
            </w:r>
          </w:p>
        </w:tc>
        <w:tc>
          <w:tcPr>
            <w:tcW w:w="1180" w:type="dxa"/>
            <w:vAlign w:val="bottom"/>
          </w:tcPr>
          <w:p>
            <w:pPr>
              <w:jc w:val="right"/>
              <w:ind w:right="400"/>
              <w:spacing w:after="0"/>
              <w:rPr>
                <w:sz w:val="20"/>
                <w:szCs w:val="20"/>
                <w:color w:val="auto"/>
              </w:rPr>
            </w:pPr>
            <w:r>
              <w:rPr>
                <w:rFonts w:ascii="Arial" w:cs="Arial" w:eastAsia="Arial" w:hAnsi="Arial"/>
                <w:sz w:val="16"/>
                <w:szCs w:val="16"/>
                <w:color w:val="4C4C4C"/>
              </w:rPr>
              <w:t>5.33</w:t>
            </w:r>
          </w:p>
        </w:tc>
        <w:tc>
          <w:tcPr>
            <w:tcW w:w="1320" w:type="dxa"/>
            <w:vAlign w:val="bottom"/>
          </w:tcPr>
          <w:p>
            <w:pPr>
              <w:jc w:val="right"/>
              <w:ind w:right="260"/>
              <w:spacing w:after="0"/>
              <w:rPr>
                <w:sz w:val="20"/>
                <w:szCs w:val="20"/>
                <w:color w:val="auto"/>
              </w:rPr>
            </w:pPr>
            <w:r>
              <w:rPr>
                <w:rFonts w:ascii="Arial" w:cs="Arial" w:eastAsia="Arial" w:hAnsi="Arial"/>
                <w:sz w:val="16"/>
                <w:szCs w:val="16"/>
                <w:color w:val="4C4C4C"/>
              </w:rPr>
              <w:t>8/3/2029</w:t>
            </w:r>
          </w:p>
        </w:tc>
        <w:tc>
          <w:tcPr>
            <w:tcW w:w="0" w:type="dxa"/>
            <w:vAlign w:val="bottom"/>
          </w:tcPr>
          <w:p>
            <w:pPr>
              <w:spacing w:after="0"/>
              <w:rPr>
                <w:sz w:val="1"/>
                <w:szCs w:val="1"/>
                <w:color w:val="auto"/>
              </w:rPr>
            </w:pPr>
          </w:p>
        </w:tc>
      </w:tr>
      <w:tr>
        <w:trPr>
          <w:trHeight w:val="297"/>
        </w:trPr>
        <w:tc>
          <w:tcPr>
            <w:tcW w:w="96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4C4C4C"/>
                <w:w w:val="99"/>
              </w:rPr>
              <w:t>(1)(13)</w:t>
            </w:r>
          </w:p>
        </w:tc>
        <w:tc>
          <w:tcPr>
            <w:tcW w:w="1540" w:type="dxa"/>
            <w:vAlign w:val="bottom"/>
          </w:tcPr>
          <w:p>
            <w:pPr>
              <w:jc w:val="right"/>
              <w:ind w:right="420"/>
              <w:spacing w:after="0"/>
              <w:rPr>
                <w:sz w:val="20"/>
                <w:szCs w:val="20"/>
                <w:color w:val="auto"/>
              </w:rPr>
            </w:pPr>
            <w:r>
              <w:rPr>
                <w:rFonts w:ascii="Arial" w:cs="Arial" w:eastAsia="Arial" w:hAnsi="Arial"/>
                <w:sz w:val="16"/>
                <w:szCs w:val="16"/>
                <w:color w:val="4C4C4C"/>
              </w:rPr>
              <w:t>30,000</w:t>
            </w:r>
          </w:p>
        </w:tc>
        <w:tc>
          <w:tcPr>
            <w:tcW w:w="1560" w:type="dxa"/>
            <w:vAlign w:val="bottom"/>
          </w:tcPr>
          <w:p>
            <w:pPr>
              <w:jc w:val="right"/>
              <w:ind w:right="561"/>
              <w:spacing w:after="0"/>
              <w:rPr>
                <w:sz w:val="20"/>
                <w:szCs w:val="20"/>
                <w:color w:val="auto"/>
              </w:rPr>
            </w:pPr>
            <w:r>
              <w:rPr>
                <w:rFonts w:ascii="Arial" w:cs="Arial" w:eastAsia="Arial" w:hAnsi="Arial"/>
                <w:sz w:val="16"/>
                <w:szCs w:val="16"/>
                <w:color w:val="4C4C4C"/>
              </w:rPr>
              <w:t>—</w:t>
            </w:r>
          </w:p>
        </w:tc>
        <w:tc>
          <w:tcPr>
            <w:tcW w:w="1320" w:type="dxa"/>
            <w:vAlign w:val="bottom"/>
          </w:tcPr>
          <w:p>
            <w:pPr>
              <w:jc w:val="right"/>
              <w:ind w:right="281"/>
              <w:spacing w:after="0"/>
              <w:rPr>
                <w:sz w:val="20"/>
                <w:szCs w:val="20"/>
                <w:color w:val="auto"/>
              </w:rPr>
            </w:pPr>
            <w:r>
              <w:rPr>
                <w:rFonts w:ascii="Arial" w:cs="Arial" w:eastAsia="Arial" w:hAnsi="Arial"/>
                <w:sz w:val="16"/>
                <w:szCs w:val="16"/>
                <w:color w:val="4C4C4C"/>
              </w:rPr>
              <w:t>30,000</w:t>
            </w:r>
          </w:p>
        </w:tc>
        <w:tc>
          <w:tcPr>
            <w:tcW w:w="1180" w:type="dxa"/>
            <w:vAlign w:val="bottom"/>
          </w:tcPr>
          <w:p>
            <w:pPr>
              <w:jc w:val="right"/>
              <w:ind w:right="380"/>
              <w:spacing w:after="0"/>
              <w:rPr>
                <w:sz w:val="20"/>
                <w:szCs w:val="20"/>
                <w:color w:val="auto"/>
              </w:rPr>
            </w:pPr>
            <w:r>
              <w:rPr>
                <w:rFonts w:ascii="Arial" w:cs="Arial" w:eastAsia="Arial" w:hAnsi="Arial"/>
                <w:sz w:val="16"/>
                <w:szCs w:val="16"/>
                <w:color w:val="4C4C4C"/>
              </w:rPr>
              <w:t>28.42</w:t>
            </w:r>
          </w:p>
        </w:tc>
        <w:tc>
          <w:tcPr>
            <w:tcW w:w="1320" w:type="dxa"/>
            <w:vAlign w:val="bottom"/>
          </w:tcPr>
          <w:p>
            <w:pPr>
              <w:jc w:val="right"/>
              <w:ind w:right="240"/>
              <w:spacing w:after="0"/>
              <w:rPr>
                <w:sz w:val="20"/>
                <w:szCs w:val="20"/>
                <w:color w:val="auto"/>
              </w:rPr>
            </w:pPr>
            <w:r>
              <w:rPr>
                <w:rFonts w:ascii="Arial" w:cs="Arial" w:eastAsia="Arial" w:hAnsi="Arial"/>
                <w:sz w:val="16"/>
                <w:szCs w:val="16"/>
                <w:color w:val="4C4C4C"/>
              </w:rPr>
              <w:t>7/27/2030</w:t>
            </w:r>
          </w:p>
        </w:tc>
        <w:tc>
          <w:tcPr>
            <w:tcW w:w="0" w:type="dxa"/>
            <w:vAlign w:val="bottom"/>
          </w:tcPr>
          <w:p>
            <w:pPr>
              <w:spacing w:after="0"/>
              <w:rPr>
                <w:sz w:val="1"/>
                <w:szCs w:val="1"/>
                <w:color w:val="auto"/>
              </w:rPr>
            </w:pPr>
          </w:p>
        </w:tc>
      </w:tr>
      <w:tr>
        <w:trPr>
          <w:trHeight w:val="297"/>
        </w:trPr>
        <w:tc>
          <w:tcPr>
            <w:tcW w:w="96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4C4C4C"/>
              </w:rPr>
              <w:t>(2)(7)</w:t>
            </w:r>
          </w:p>
        </w:tc>
        <w:tc>
          <w:tcPr>
            <w:tcW w:w="1540" w:type="dxa"/>
            <w:vAlign w:val="bottom"/>
          </w:tcPr>
          <w:p>
            <w:pPr>
              <w:jc w:val="right"/>
              <w:ind w:right="460"/>
              <w:spacing w:after="0"/>
              <w:rPr>
                <w:sz w:val="20"/>
                <w:szCs w:val="20"/>
                <w:color w:val="auto"/>
              </w:rPr>
            </w:pPr>
            <w:r>
              <w:rPr>
                <w:rFonts w:ascii="Arial" w:cs="Arial" w:eastAsia="Arial" w:hAnsi="Arial"/>
                <w:sz w:val="16"/>
                <w:szCs w:val="16"/>
                <w:color w:val="4C4C4C"/>
              </w:rPr>
              <w:t>—</w:t>
            </w:r>
          </w:p>
        </w:tc>
        <w:tc>
          <w:tcPr>
            <w:tcW w:w="1560" w:type="dxa"/>
            <w:vAlign w:val="bottom"/>
          </w:tcPr>
          <w:p>
            <w:pPr>
              <w:jc w:val="right"/>
              <w:ind w:right="561"/>
              <w:spacing w:after="0"/>
              <w:rPr>
                <w:sz w:val="20"/>
                <w:szCs w:val="20"/>
                <w:color w:val="auto"/>
              </w:rPr>
            </w:pPr>
            <w:r>
              <w:rPr>
                <w:rFonts w:ascii="Arial" w:cs="Arial" w:eastAsia="Arial" w:hAnsi="Arial"/>
                <w:sz w:val="16"/>
                <w:szCs w:val="16"/>
                <w:color w:val="4C4C4C"/>
              </w:rPr>
              <w:t>—</w:t>
            </w:r>
          </w:p>
        </w:tc>
        <w:tc>
          <w:tcPr>
            <w:tcW w:w="1320" w:type="dxa"/>
            <w:vAlign w:val="bottom"/>
          </w:tcPr>
          <w:p>
            <w:pPr>
              <w:jc w:val="right"/>
              <w:ind w:right="281"/>
              <w:spacing w:after="0"/>
              <w:rPr>
                <w:sz w:val="20"/>
                <w:szCs w:val="20"/>
                <w:color w:val="auto"/>
              </w:rPr>
            </w:pPr>
            <w:r>
              <w:rPr>
                <w:rFonts w:ascii="Arial" w:cs="Arial" w:eastAsia="Arial" w:hAnsi="Arial"/>
                <w:sz w:val="16"/>
                <w:szCs w:val="16"/>
                <w:color w:val="4C4C4C"/>
              </w:rPr>
              <w:t>260,000</w:t>
            </w:r>
          </w:p>
        </w:tc>
        <w:tc>
          <w:tcPr>
            <w:tcW w:w="1180" w:type="dxa"/>
            <w:vAlign w:val="bottom"/>
          </w:tcPr>
          <w:p>
            <w:pPr>
              <w:jc w:val="right"/>
              <w:ind w:right="400"/>
              <w:spacing w:after="0"/>
              <w:rPr>
                <w:sz w:val="20"/>
                <w:szCs w:val="20"/>
                <w:color w:val="auto"/>
              </w:rPr>
            </w:pPr>
            <w:r>
              <w:rPr>
                <w:rFonts w:ascii="Arial" w:cs="Arial" w:eastAsia="Arial" w:hAnsi="Arial"/>
                <w:sz w:val="16"/>
                <w:szCs w:val="16"/>
                <w:color w:val="4C4C4C"/>
              </w:rPr>
              <w:t>1.89</w:t>
            </w:r>
          </w:p>
        </w:tc>
        <w:tc>
          <w:tcPr>
            <w:tcW w:w="1320" w:type="dxa"/>
            <w:vAlign w:val="bottom"/>
          </w:tcPr>
          <w:p>
            <w:pPr>
              <w:jc w:val="right"/>
              <w:ind w:right="240"/>
              <w:spacing w:after="0"/>
              <w:rPr>
                <w:sz w:val="20"/>
                <w:szCs w:val="20"/>
                <w:color w:val="auto"/>
              </w:rPr>
            </w:pPr>
            <w:r>
              <w:rPr>
                <w:rFonts w:ascii="Arial" w:cs="Arial" w:eastAsia="Arial" w:hAnsi="Arial"/>
                <w:sz w:val="16"/>
                <w:szCs w:val="16"/>
                <w:color w:val="4C4C4C"/>
              </w:rPr>
              <w:t>12/31/2024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-4926965</wp:posOffset>
            </wp:positionV>
            <wp:extent cx="43802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67" w:lineRule="exact"/>
        <w:rPr>
          <w:sz w:val="20"/>
          <w:szCs w:val="20"/>
          <w:color w:val="auto"/>
        </w:rPr>
      </w:pPr>
    </w:p>
    <w:p>
      <w:pPr>
        <w:ind w:left="640" w:hanging="348"/>
        <w:spacing w:after="0"/>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Option exercisable, subject to vesting, to acquire Class A common stock.</w:t>
      </w:r>
    </w:p>
    <w:p>
      <w:pPr>
        <w:spacing w:after="0" w:line="55" w:lineRule="exact"/>
        <w:rPr>
          <w:rFonts w:ascii="Arial" w:cs="Arial" w:eastAsia="Arial" w:hAnsi="Arial"/>
          <w:sz w:val="14"/>
          <w:szCs w:val="14"/>
          <w:color w:val="auto"/>
        </w:rPr>
      </w:pPr>
    </w:p>
    <w:p>
      <w:pPr>
        <w:jc w:val="both"/>
        <w:ind w:left="640" w:right="299" w:hanging="348"/>
        <w:spacing w:after="0" w:line="247"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Option exercisable, subject to vesting, to acquire shares of ACM Shanghai. Assumes threshold achievement. One-half of the option vests on January 1, 2023, generally subject to continued service and key financial metrics. The remaining half of the option vests on January 1, 2024, generally subject to continued service and key financial metrics. In each case, vesting is also contingent on the applicable NEO’s performance rating for the year prior to the applicable time-based vesting date, such that 100% of the option that would otherwise vest pursuant to the foregoing two sentences will vest if such performance rating is “excellent” or “good,” 80% if such performance rating is “medium,” 60% if such performance rating is “pass,” and 0% if such performance rating is below “pass.” All such options accelerate vesting upon a defined change in control of ACM Research, Inc.</w:t>
      </w:r>
    </w:p>
    <w:p>
      <w:pPr>
        <w:spacing w:after="0" w:line="190" w:lineRule="exact"/>
        <w:rPr>
          <w:rFonts w:ascii="Arial" w:cs="Arial" w:eastAsia="Arial" w:hAnsi="Arial"/>
          <w:sz w:val="14"/>
          <w:szCs w:val="14"/>
          <w:color w:val="auto"/>
        </w:rPr>
      </w:pPr>
    </w:p>
    <w:p>
      <w:pPr>
        <w:jc w:val="both"/>
        <w:ind w:left="640" w:right="319" w:hanging="348"/>
        <w:spacing w:after="0" w:line="256"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Option was granted on May 1, 2015.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 Inc.</w:t>
      </w:r>
    </w:p>
    <w:p>
      <w:pPr>
        <w:spacing w:after="0" w:line="15" w:lineRule="exact"/>
        <w:rPr>
          <w:rFonts w:ascii="Arial" w:cs="Arial" w:eastAsia="Arial" w:hAnsi="Arial"/>
          <w:sz w:val="14"/>
          <w:szCs w:val="14"/>
          <w:color w:val="auto"/>
        </w:rPr>
      </w:pPr>
    </w:p>
    <w:p>
      <w:pPr>
        <w:jc w:val="both"/>
        <w:ind w:left="640" w:right="299" w:hanging="348"/>
        <w:spacing w:after="0" w:line="256"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Option was granted on December 28, 2016.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 Inc.</w:t>
      </w:r>
    </w:p>
    <w:p>
      <w:pPr>
        <w:spacing w:after="0" w:line="15" w:lineRule="exact"/>
        <w:rPr>
          <w:rFonts w:ascii="Arial" w:cs="Arial" w:eastAsia="Arial" w:hAnsi="Arial"/>
          <w:sz w:val="14"/>
          <w:szCs w:val="14"/>
          <w:color w:val="auto"/>
        </w:rPr>
      </w:pPr>
    </w:p>
    <w:p>
      <w:pPr>
        <w:jc w:val="both"/>
        <w:ind w:left="640" w:right="299" w:hanging="348"/>
        <w:spacing w:after="0" w:line="256"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Option was granted on April 23,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 Inc.</w:t>
      </w:r>
    </w:p>
    <w:p>
      <w:pPr>
        <w:spacing w:after="0" w:line="44" w:lineRule="exact"/>
        <w:rPr>
          <w:sz w:val="20"/>
          <w:szCs w:val="20"/>
          <w:color w:val="auto"/>
        </w:rPr>
      </w:pPr>
    </w:p>
    <w:p>
      <w:pPr>
        <w:ind w:left="6460"/>
        <w:spacing w:after="0"/>
        <w:rPr>
          <w:sz w:val="20"/>
          <w:szCs w:val="20"/>
          <w:color w:val="auto"/>
        </w:rPr>
      </w:pPr>
      <w:r>
        <w:rPr>
          <w:rFonts w:ascii="Arial" w:cs="Arial" w:eastAsia="Arial" w:hAnsi="Arial"/>
          <w:sz w:val="14"/>
          <w:szCs w:val="14"/>
          <w:i w:val="1"/>
          <w:iCs w:val="1"/>
          <w:color w:val="auto"/>
        </w:rPr>
        <w:t>[Footnotes continued on next page]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both"/>
        <w:ind w:left="640" w:right="319" w:hanging="348"/>
        <w:spacing w:after="0" w:line="256"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Option was granted on March 20, 2020. An initial 181,799 shares vested and became exercisable on August 5, 2020, which was the first trading day as of which our market capitalization equaled or exceeded $1,553,383,586. The remaining shares will vest and become exercise in two equal installments upon the first trading days, if any, on which our market capitalization equals or exceeds $2,553,383,586 and $3,553,383,586, respectively.</w:t>
      </w:r>
    </w:p>
    <w:p>
      <w:pPr>
        <w:spacing w:after="0" w:line="15" w:lineRule="exact"/>
        <w:rPr>
          <w:rFonts w:ascii="Arial" w:cs="Arial" w:eastAsia="Arial" w:hAnsi="Arial"/>
          <w:sz w:val="14"/>
          <w:szCs w:val="14"/>
          <w:color w:val="auto"/>
        </w:rPr>
      </w:pPr>
    </w:p>
    <w:p>
      <w:pPr>
        <w:jc w:val="both"/>
        <w:ind w:left="640" w:right="299" w:hanging="348"/>
        <w:spacing w:after="0" w:line="252"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Option was granted on January 1, 2020. Performance-based option award pursuant to which one-half of the shares subject to the award vests and becomes exercisable on the third anniversary of the grant date if ACM Shanghai’s operating income is not less than RMB1 billion for the year ending December 31, 2021, and the second half of the shares subject to the award vests and becomes exercisable on the fourth anniversary of the grant date if ACM Shanghai’s operating income is not less than RMB1.2 billion for the year ending December 31, 2022.</w:t>
      </w:r>
    </w:p>
    <w:p>
      <w:pPr>
        <w:spacing w:after="0" w:line="18" w:lineRule="exact"/>
        <w:rPr>
          <w:rFonts w:ascii="Arial" w:cs="Arial" w:eastAsia="Arial" w:hAnsi="Arial"/>
          <w:sz w:val="14"/>
          <w:szCs w:val="14"/>
          <w:color w:val="auto"/>
        </w:rPr>
      </w:pPr>
    </w:p>
    <w:p>
      <w:pPr>
        <w:jc w:val="both"/>
        <w:ind w:left="640" w:right="299" w:hanging="348"/>
        <w:spacing w:after="0" w:line="256"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Option was granted on August 1, 2018.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 Inc.</w:t>
      </w:r>
    </w:p>
    <w:p>
      <w:pPr>
        <w:spacing w:after="0" w:line="15" w:lineRule="exact"/>
        <w:rPr>
          <w:rFonts w:ascii="Arial" w:cs="Arial" w:eastAsia="Arial" w:hAnsi="Arial"/>
          <w:sz w:val="14"/>
          <w:szCs w:val="14"/>
          <w:color w:val="auto"/>
        </w:rPr>
      </w:pPr>
    </w:p>
    <w:p>
      <w:pPr>
        <w:jc w:val="both"/>
        <w:ind w:left="640" w:right="299" w:hanging="348"/>
        <w:spacing w:after="0" w:line="256"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Option was granted on November 4,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 Inc.</w:t>
      </w:r>
    </w:p>
    <w:p>
      <w:pPr>
        <w:spacing w:after="0" w:line="15" w:lineRule="exact"/>
        <w:rPr>
          <w:rFonts w:ascii="Arial" w:cs="Arial" w:eastAsia="Arial" w:hAnsi="Arial"/>
          <w:sz w:val="14"/>
          <w:szCs w:val="14"/>
          <w:color w:val="auto"/>
        </w:rPr>
      </w:pPr>
    </w:p>
    <w:p>
      <w:pPr>
        <w:jc w:val="both"/>
        <w:ind w:left="640" w:right="299" w:hanging="348"/>
        <w:spacing w:after="0" w:line="256"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Option was granted on January 25, 2018.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 Inc.</w:t>
      </w:r>
    </w:p>
    <w:p>
      <w:pPr>
        <w:spacing w:after="0" w:line="15" w:lineRule="exact"/>
        <w:rPr>
          <w:rFonts w:ascii="Arial" w:cs="Arial" w:eastAsia="Arial" w:hAnsi="Arial"/>
          <w:sz w:val="14"/>
          <w:szCs w:val="14"/>
          <w:color w:val="auto"/>
        </w:rPr>
      </w:pPr>
    </w:p>
    <w:p>
      <w:pPr>
        <w:jc w:val="both"/>
        <w:ind w:left="640" w:right="299" w:hanging="348"/>
        <w:spacing w:after="0" w:line="256"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Option was granted on April 28, 2020.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 Inc.</w:t>
      </w:r>
    </w:p>
    <w:p>
      <w:pPr>
        <w:spacing w:after="0" w:line="15" w:lineRule="exact"/>
        <w:rPr>
          <w:rFonts w:ascii="Arial" w:cs="Arial" w:eastAsia="Arial" w:hAnsi="Arial"/>
          <w:sz w:val="14"/>
          <w:szCs w:val="14"/>
          <w:color w:val="auto"/>
        </w:rPr>
      </w:pPr>
    </w:p>
    <w:p>
      <w:pPr>
        <w:jc w:val="both"/>
        <w:ind w:left="640" w:right="299" w:hanging="348"/>
        <w:spacing w:after="0" w:line="256"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Option was granted on August 4,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 Inc.</w:t>
      </w:r>
    </w:p>
    <w:p>
      <w:pPr>
        <w:spacing w:after="0" w:line="15" w:lineRule="exact"/>
        <w:rPr>
          <w:rFonts w:ascii="Arial" w:cs="Arial" w:eastAsia="Arial" w:hAnsi="Arial"/>
          <w:sz w:val="14"/>
          <w:szCs w:val="14"/>
          <w:color w:val="auto"/>
        </w:rPr>
      </w:pPr>
    </w:p>
    <w:p>
      <w:pPr>
        <w:jc w:val="both"/>
        <w:ind w:left="640" w:right="299" w:hanging="348"/>
        <w:spacing w:after="0" w:line="258"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Option was granted on July 28, 2020. Performance-based option award pursuant to which one-half of the shares subject to the award vests and becomes exercisable upon our receipt of our first demo tool order from a specified semiconductor company and the other half vests and becomes exercisable upon the qualification of our first demo tool for such semiconductor company.</w:t>
      </w:r>
    </w:p>
    <w:p>
      <w:pPr>
        <w:spacing w:after="0" w:line="308" w:lineRule="exact"/>
        <w:rPr>
          <w:sz w:val="20"/>
          <w:szCs w:val="20"/>
          <w:color w:val="auto"/>
        </w:rPr>
      </w:pPr>
    </w:p>
    <w:p>
      <w:pPr>
        <w:ind w:left="300" w:right="319"/>
        <w:spacing w:after="0" w:line="271" w:lineRule="auto"/>
        <w:rPr>
          <w:sz w:val="20"/>
          <w:szCs w:val="20"/>
          <w:color w:val="auto"/>
        </w:rPr>
      </w:pPr>
      <w:r>
        <w:rPr>
          <w:rFonts w:ascii="Arial" w:cs="Arial" w:eastAsia="Arial" w:hAnsi="Arial"/>
          <w:sz w:val="18"/>
          <w:szCs w:val="18"/>
          <w:color w:val="4C4C4C"/>
        </w:rPr>
        <w:t>For information regarding the vesting acceleration provisions applicable to the options held by our NEOs, please see “Compensation Discussion and Analysis—Potential Change in Control Benefits” below.</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2021 Equity Award Exercises and Stock Vested</w:t>
      </w:r>
    </w:p>
    <w:p>
      <w:pPr>
        <w:spacing w:after="0" w:line="189" w:lineRule="exact"/>
        <w:rPr>
          <w:sz w:val="20"/>
          <w:szCs w:val="20"/>
          <w:color w:val="auto"/>
        </w:rPr>
      </w:pPr>
    </w:p>
    <w:p>
      <w:pPr>
        <w:ind w:left="300" w:right="319"/>
        <w:spacing w:after="0" w:line="271" w:lineRule="auto"/>
        <w:rPr>
          <w:sz w:val="20"/>
          <w:szCs w:val="20"/>
          <w:color w:val="auto"/>
        </w:rPr>
      </w:pPr>
      <w:r>
        <w:rPr>
          <w:rFonts w:ascii="Arial" w:cs="Arial" w:eastAsia="Arial" w:hAnsi="Arial"/>
          <w:sz w:val="18"/>
          <w:szCs w:val="18"/>
          <w:color w:val="4C4C4C"/>
        </w:rPr>
        <w:t>The following table provides information regarding the exercise by the NEOs of vested options during the year ended December 31, 2021. All options were exercised for Class A common stock.</w:t>
      </w:r>
    </w:p>
    <w:p>
      <w:pPr>
        <w:spacing w:after="0" w:line="24" w:lineRule="exact"/>
        <w:rPr>
          <w:sz w:val="20"/>
          <w:szCs w:val="20"/>
          <w:color w:val="auto"/>
        </w:rPr>
      </w:pPr>
    </w:p>
    <w:tbl>
      <w:tblPr>
        <w:tblLayout w:type="fixed"/>
        <w:tblInd w:w="1380" w:type="dxa"/>
        <w:tblCellMar>
          <w:top w:w="0" w:type="dxa"/>
          <w:left w:w="0" w:type="dxa"/>
          <w:bottom w:w="0" w:type="dxa"/>
          <w:right w:w="0" w:type="dxa"/>
        </w:tblCellMar>
      </w:tblPr>
      <w:tr>
        <w:trPr>
          <w:trHeight w:val="309"/>
        </w:trPr>
        <w:tc>
          <w:tcPr>
            <w:tcW w:w="2540" w:type="dxa"/>
            <w:vAlign w:val="bottom"/>
            <w:shd w:val="clear" w:color="auto" w:fill="0D3F64"/>
          </w:tcPr>
          <w:p>
            <w:pPr>
              <w:spacing w:after="0"/>
              <w:rPr>
                <w:sz w:val="24"/>
                <w:szCs w:val="24"/>
                <w:color w:val="auto"/>
              </w:rPr>
            </w:pPr>
          </w:p>
        </w:tc>
        <w:tc>
          <w:tcPr>
            <w:tcW w:w="3720" w:type="dxa"/>
            <w:vAlign w:val="bottom"/>
            <w:gridSpan w:val="2"/>
            <w:shd w:val="clear" w:color="auto" w:fill="0D3F64"/>
          </w:tcPr>
          <w:p>
            <w:pPr>
              <w:jc w:val="right"/>
              <w:ind w:right="775"/>
              <w:spacing w:after="0"/>
              <w:rPr>
                <w:sz w:val="20"/>
                <w:szCs w:val="20"/>
                <w:color w:val="auto"/>
              </w:rPr>
            </w:pPr>
            <w:r>
              <w:rPr>
                <w:rFonts w:ascii="Arial" w:cs="Arial" w:eastAsia="Arial" w:hAnsi="Arial"/>
                <w:sz w:val="14"/>
                <w:szCs w:val="14"/>
                <w:b w:val="1"/>
                <w:bCs w:val="1"/>
                <w:color w:val="FFFFFF"/>
              </w:rPr>
              <w:t>Option Awards</w:t>
            </w:r>
          </w:p>
        </w:tc>
      </w:tr>
      <w:tr>
        <w:trPr>
          <w:trHeight w:val="263"/>
        </w:trPr>
        <w:tc>
          <w:tcPr>
            <w:tcW w:w="2540" w:type="dxa"/>
            <w:vAlign w:val="bottom"/>
            <w:shd w:val="clear" w:color="auto" w:fill="0D3F64"/>
          </w:tcPr>
          <w:p>
            <w:pPr>
              <w:spacing w:after="0"/>
              <w:rPr>
                <w:sz w:val="22"/>
                <w:szCs w:val="22"/>
                <w:color w:val="auto"/>
              </w:rPr>
            </w:pPr>
          </w:p>
        </w:tc>
        <w:tc>
          <w:tcPr>
            <w:tcW w:w="2380" w:type="dxa"/>
            <w:vAlign w:val="bottom"/>
            <w:shd w:val="clear" w:color="auto" w:fill="0D3F64"/>
          </w:tcPr>
          <w:p>
            <w:pPr>
              <w:jc w:val="center"/>
              <w:ind w:left="858"/>
              <w:spacing w:after="0"/>
              <w:rPr>
                <w:sz w:val="20"/>
                <w:szCs w:val="20"/>
                <w:color w:val="auto"/>
              </w:rPr>
            </w:pPr>
            <w:r>
              <w:rPr>
                <w:rFonts w:ascii="Arial" w:cs="Arial" w:eastAsia="Arial" w:hAnsi="Arial"/>
                <w:sz w:val="14"/>
                <w:szCs w:val="14"/>
                <w:b w:val="1"/>
                <w:bCs w:val="1"/>
                <w:color w:val="FFFFFF"/>
              </w:rPr>
              <w:t>Number of</w:t>
            </w:r>
          </w:p>
        </w:tc>
        <w:tc>
          <w:tcPr>
            <w:tcW w:w="1340" w:type="dxa"/>
            <w:vAlign w:val="bottom"/>
            <w:shd w:val="clear" w:color="auto" w:fill="0D3F64"/>
          </w:tcPr>
          <w:p>
            <w:pPr>
              <w:spacing w:after="0"/>
              <w:rPr>
                <w:sz w:val="22"/>
                <w:szCs w:val="22"/>
                <w:color w:val="auto"/>
              </w:rPr>
            </w:pPr>
          </w:p>
        </w:tc>
      </w:tr>
      <w:tr>
        <w:trPr>
          <w:trHeight w:val="162"/>
        </w:trPr>
        <w:tc>
          <w:tcPr>
            <w:tcW w:w="2540" w:type="dxa"/>
            <w:vAlign w:val="bottom"/>
            <w:shd w:val="clear" w:color="auto" w:fill="0D3F64"/>
          </w:tcPr>
          <w:p>
            <w:pPr>
              <w:spacing w:after="0"/>
              <w:rPr>
                <w:sz w:val="14"/>
                <w:szCs w:val="14"/>
                <w:color w:val="auto"/>
              </w:rPr>
            </w:pPr>
          </w:p>
        </w:tc>
        <w:tc>
          <w:tcPr>
            <w:tcW w:w="2380" w:type="dxa"/>
            <w:vAlign w:val="bottom"/>
            <w:shd w:val="clear" w:color="auto" w:fill="0D3F64"/>
          </w:tcPr>
          <w:p>
            <w:pPr>
              <w:jc w:val="center"/>
              <w:ind w:left="838"/>
              <w:spacing w:after="0"/>
              <w:rPr>
                <w:sz w:val="20"/>
                <w:szCs w:val="20"/>
                <w:color w:val="auto"/>
              </w:rPr>
            </w:pPr>
            <w:r>
              <w:rPr>
                <w:rFonts w:ascii="Arial" w:cs="Arial" w:eastAsia="Arial" w:hAnsi="Arial"/>
                <w:sz w:val="14"/>
                <w:szCs w:val="14"/>
                <w:b w:val="1"/>
                <w:bCs w:val="1"/>
                <w:color w:val="FFFFFF"/>
              </w:rPr>
              <w:t>Shares Acquired</w:t>
            </w:r>
          </w:p>
        </w:tc>
        <w:tc>
          <w:tcPr>
            <w:tcW w:w="1340" w:type="dxa"/>
            <w:vAlign w:val="bottom"/>
            <w:shd w:val="clear" w:color="auto" w:fill="0D3F64"/>
          </w:tcPr>
          <w:p>
            <w:pPr>
              <w:jc w:val="right"/>
              <w:ind w:right="115"/>
              <w:spacing w:after="0"/>
              <w:rPr>
                <w:sz w:val="20"/>
                <w:szCs w:val="20"/>
                <w:color w:val="auto"/>
              </w:rPr>
            </w:pPr>
            <w:r>
              <w:rPr>
                <w:rFonts w:ascii="Arial" w:cs="Arial" w:eastAsia="Arial" w:hAnsi="Arial"/>
                <w:sz w:val="14"/>
                <w:szCs w:val="14"/>
                <w:b w:val="1"/>
                <w:bCs w:val="1"/>
                <w:color w:val="FFFFFF"/>
              </w:rPr>
              <w:t>Value Realized</w:t>
            </w:r>
          </w:p>
        </w:tc>
      </w:tr>
      <w:tr>
        <w:trPr>
          <w:trHeight w:val="205"/>
        </w:trPr>
        <w:tc>
          <w:tcPr>
            <w:tcW w:w="2540" w:type="dxa"/>
            <w:vAlign w:val="bottom"/>
            <w:tcBorders>
              <w:bottom w:val="single" w:sz="8" w:color="0D3F64"/>
            </w:tcBorders>
            <w:shd w:val="clear" w:color="auto" w:fill="0D3F64"/>
          </w:tcPr>
          <w:p>
            <w:pPr>
              <w:ind w:left="40"/>
              <w:spacing w:after="0"/>
              <w:rPr>
                <w:sz w:val="20"/>
                <w:szCs w:val="20"/>
                <w:color w:val="auto"/>
              </w:rPr>
            </w:pPr>
            <w:r>
              <w:rPr>
                <w:rFonts w:ascii="Arial" w:cs="Arial" w:eastAsia="Arial" w:hAnsi="Arial"/>
                <w:sz w:val="14"/>
                <w:szCs w:val="14"/>
                <w:b w:val="1"/>
                <w:bCs w:val="1"/>
                <w:color w:val="FFFFFF"/>
              </w:rPr>
              <w:t>Name</w:t>
            </w:r>
          </w:p>
        </w:tc>
        <w:tc>
          <w:tcPr>
            <w:tcW w:w="2380" w:type="dxa"/>
            <w:vAlign w:val="bottom"/>
            <w:tcBorders>
              <w:bottom w:val="single" w:sz="8" w:color="0D3F64"/>
            </w:tcBorders>
            <w:shd w:val="clear" w:color="auto" w:fill="0D3F64"/>
          </w:tcPr>
          <w:p>
            <w:pPr>
              <w:jc w:val="center"/>
              <w:ind w:left="878"/>
              <w:spacing w:after="0"/>
              <w:rPr>
                <w:sz w:val="20"/>
                <w:szCs w:val="20"/>
                <w:color w:val="auto"/>
              </w:rPr>
            </w:pPr>
            <w:r>
              <w:rPr>
                <w:rFonts w:ascii="Arial" w:cs="Arial" w:eastAsia="Arial" w:hAnsi="Arial"/>
                <w:sz w:val="14"/>
                <w:szCs w:val="14"/>
                <w:b w:val="1"/>
                <w:bCs w:val="1"/>
                <w:color w:val="FFFFFF"/>
              </w:rPr>
              <w:t>on Exercise (#)</w:t>
            </w:r>
          </w:p>
        </w:tc>
        <w:tc>
          <w:tcPr>
            <w:tcW w:w="1340" w:type="dxa"/>
            <w:vAlign w:val="bottom"/>
            <w:tcBorders>
              <w:bottom w:val="single" w:sz="8" w:color="0D3F64"/>
            </w:tcBorders>
            <w:shd w:val="clear" w:color="auto" w:fill="0D3F64"/>
          </w:tcPr>
          <w:p>
            <w:pPr>
              <w:jc w:val="right"/>
              <w:ind w:right="95"/>
              <w:spacing w:after="0"/>
              <w:rPr>
                <w:sz w:val="20"/>
                <w:szCs w:val="20"/>
                <w:color w:val="auto"/>
              </w:rPr>
            </w:pPr>
            <w:r>
              <w:rPr>
                <w:rFonts w:ascii="Arial" w:cs="Arial" w:eastAsia="Arial" w:hAnsi="Arial"/>
                <w:sz w:val="14"/>
                <w:szCs w:val="14"/>
                <w:b w:val="1"/>
                <w:bCs w:val="1"/>
                <w:color w:val="FFFFFF"/>
              </w:rPr>
              <w:t>on Exercise ($)</w:t>
            </w:r>
          </w:p>
        </w:tc>
      </w:tr>
      <w:tr>
        <w:trPr>
          <w:trHeight w:val="274"/>
        </w:trPr>
        <w:tc>
          <w:tcPr>
            <w:tcW w:w="2540" w:type="dxa"/>
            <w:vAlign w:val="bottom"/>
          </w:tcPr>
          <w:p>
            <w:pPr>
              <w:ind w:left="40"/>
              <w:spacing w:after="0"/>
              <w:rPr>
                <w:sz w:val="20"/>
                <w:szCs w:val="20"/>
                <w:color w:val="auto"/>
              </w:rPr>
            </w:pPr>
            <w:r>
              <w:rPr>
                <w:rFonts w:ascii="Arial" w:cs="Arial" w:eastAsia="Arial" w:hAnsi="Arial"/>
                <w:sz w:val="18"/>
                <w:szCs w:val="18"/>
                <w:color w:val="4C4C4C"/>
              </w:rPr>
              <w:t>David H. Wang(1)</w:t>
            </w:r>
          </w:p>
        </w:tc>
        <w:tc>
          <w:tcPr>
            <w:tcW w:w="2380" w:type="dxa"/>
            <w:vAlign w:val="bottom"/>
          </w:tcPr>
          <w:p>
            <w:pPr>
              <w:jc w:val="right"/>
              <w:ind w:right="278"/>
              <w:spacing w:after="0"/>
              <w:rPr>
                <w:sz w:val="20"/>
                <w:szCs w:val="20"/>
                <w:color w:val="auto"/>
              </w:rPr>
            </w:pPr>
            <w:r>
              <w:rPr>
                <w:rFonts w:ascii="Arial" w:cs="Arial" w:eastAsia="Arial" w:hAnsi="Arial"/>
                <w:sz w:val="18"/>
                <w:szCs w:val="18"/>
                <w:color w:val="4C4C4C"/>
              </w:rPr>
              <w:t>297,684</w:t>
            </w:r>
          </w:p>
        </w:tc>
        <w:tc>
          <w:tcPr>
            <w:tcW w:w="1340" w:type="dxa"/>
            <w:vAlign w:val="bottom"/>
          </w:tcPr>
          <w:p>
            <w:pPr>
              <w:jc w:val="right"/>
              <w:ind w:right="175"/>
              <w:spacing w:after="0"/>
              <w:rPr>
                <w:sz w:val="20"/>
                <w:szCs w:val="20"/>
                <w:color w:val="auto"/>
              </w:rPr>
            </w:pPr>
            <w:r>
              <w:rPr>
                <w:rFonts w:ascii="Arial" w:cs="Arial" w:eastAsia="Arial" w:hAnsi="Arial"/>
                <w:sz w:val="18"/>
                <w:szCs w:val="18"/>
                <w:color w:val="4C4C4C"/>
              </w:rPr>
              <w:t>9,630,096</w:t>
            </w:r>
          </w:p>
        </w:tc>
      </w:tr>
      <w:tr>
        <w:trPr>
          <w:trHeight w:val="36"/>
        </w:trPr>
        <w:tc>
          <w:tcPr>
            <w:tcW w:w="25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1"/>
        </w:trPr>
        <w:tc>
          <w:tcPr>
            <w:tcW w:w="2540" w:type="dxa"/>
            <w:vAlign w:val="bottom"/>
            <w:tcBorders>
              <w:bottom w:val="single" w:sz="8" w:color="BAE2F8"/>
            </w:tcBorders>
            <w:shd w:val="clear" w:color="auto" w:fill="BAE2F8"/>
          </w:tcPr>
          <w:p>
            <w:pPr>
              <w:ind w:left="40"/>
              <w:spacing w:after="0"/>
              <w:rPr>
                <w:sz w:val="20"/>
                <w:szCs w:val="20"/>
                <w:color w:val="auto"/>
              </w:rPr>
            </w:pPr>
            <w:r>
              <w:rPr>
                <w:rFonts w:ascii="Arial" w:cs="Arial" w:eastAsia="Arial" w:hAnsi="Arial"/>
                <w:sz w:val="18"/>
                <w:szCs w:val="18"/>
                <w:color w:val="4C4C4C"/>
              </w:rPr>
              <w:t>Mark McKechnie</w:t>
            </w:r>
          </w:p>
        </w:tc>
        <w:tc>
          <w:tcPr>
            <w:tcW w:w="2380" w:type="dxa"/>
            <w:vAlign w:val="bottom"/>
            <w:tcBorders>
              <w:bottom w:val="single" w:sz="8" w:color="BAE2F8"/>
            </w:tcBorders>
            <w:shd w:val="clear" w:color="auto" w:fill="BAE2F8"/>
          </w:tcPr>
          <w:p>
            <w:pPr>
              <w:jc w:val="right"/>
              <w:ind w:right="298"/>
              <w:spacing w:after="0"/>
              <w:rPr>
                <w:sz w:val="20"/>
                <w:szCs w:val="20"/>
                <w:color w:val="auto"/>
              </w:rPr>
            </w:pPr>
            <w:r>
              <w:rPr>
                <w:rFonts w:ascii="Arial" w:cs="Arial" w:eastAsia="Arial" w:hAnsi="Arial"/>
                <w:sz w:val="18"/>
                <w:szCs w:val="18"/>
                <w:color w:val="4C4C4C"/>
              </w:rPr>
              <w:t>60,084</w:t>
            </w:r>
          </w:p>
        </w:tc>
        <w:tc>
          <w:tcPr>
            <w:tcW w:w="1340" w:type="dxa"/>
            <w:vAlign w:val="bottom"/>
            <w:tcBorders>
              <w:bottom w:val="single" w:sz="8" w:color="BAE2F8"/>
            </w:tcBorders>
            <w:shd w:val="clear" w:color="auto" w:fill="BAE2F8"/>
          </w:tcPr>
          <w:p>
            <w:pPr>
              <w:jc w:val="right"/>
              <w:ind w:right="175"/>
              <w:spacing w:after="0"/>
              <w:rPr>
                <w:sz w:val="20"/>
                <w:szCs w:val="20"/>
                <w:color w:val="auto"/>
              </w:rPr>
            </w:pPr>
            <w:r>
              <w:rPr>
                <w:rFonts w:ascii="Arial" w:cs="Arial" w:eastAsia="Arial" w:hAnsi="Arial"/>
                <w:sz w:val="18"/>
                <w:szCs w:val="18"/>
                <w:color w:val="4C4C4C"/>
              </w:rPr>
              <w:t>1,517,630</w:t>
            </w:r>
          </w:p>
        </w:tc>
      </w:tr>
      <w:tr>
        <w:trPr>
          <w:trHeight w:val="274"/>
        </w:trPr>
        <w:tc>
          <w:tcPr>
            <w:tcW w:w="2540" w:type="dxa"/>
            <w:vAlign w:val="bottom"/>
          </w:tcPr>
          <w:p>
            <w:pPr>
              <w:ind w:left="40"/>
              <w:spacing w:after="0"/>
              <w:rPr>
                <w:sz w:val="20"/>
                <w:szCs w:val="20"/>
                <w:color w:val="auto"/>
              </w:rPr>
            </w:pPr>
            <w:r>
              <w:rPr>
                <w:rFonts w:ascii="Arial" w:cs="Arial" w:eastAsia="Arial" w:hAnsi="Arial"/>
                <w:sz w:val="18"/>
                <w:szCs w:val="18"/>
                <w:color w:val="4C4C4C"/>
              </w:rPr>
              <w:t>Jian Wang</w:t>
            </w:r>
          </w:p>
        </w:tc>
        <w:tc>
          <w:tcPr>
            <w:tcW w:w="2380" w:type="dxa"/>
            <w:vAlign w:val="bottom"/>
          </w:tcPr>
          <w:p>
            <w:pPr>
              <w:jc w:val="right"/>
              <w:ind w:right="318"/>
              <w:spacing w:after="0"/>
              <w:rPr>
                <w:sz w:val="20"/>
                <w:szCs w:val="20"/>
                <w:color w:val="auto"/>
              </w:rPr>
            </w:pPr>
            <w:r>
              <w:rPr>
                <w:rFonts w:ascii="Arial" w:cs="Arial" w:eastAsia="Arial" w:hAnsi="Arial"/>
                <w:sz w:val="18"/>
                <w:szCs w:val="18"/>
                <w:color w:val="4C4C4C"/>
              </w:rPr>
              <w:t>—</w:t>
            </w:r>
          </w:p>
        </w:tc>
        <w:tc>
          <w:tcPr>
            <w:tcW w:w="1340" w:type="dxa"/>
            <w:vAlign w:val="bottom"/>
          </w:tcPr>
          <w:p>
            <w:pPr>
              <w:jc w:val="right"/>
              <w:ind w:right="235"/>
              <w:spacing w:after="0"/>
              <w:rPr>
                <w:sz w:val="20"/>
                <w:szCs w:val="20"/>
                <w:color w:val="auto"/>
              </w:rPr>
            </w:pPr>
            <w:r>
              <w:rPr>
                <w:rFonts w:ascii="Arial" w:cs="Arial" w:eastAsia="Arial" w:hAnsi="Arial"/>
                <w:sz w:val="18"/>
                <w:szCs w:val="18"/>
                <w:color w:val="4C4C4C"/>
              </w:rPr>
              <w:t>—</w:t>
            </w:r>
          </w:p>
        </w:tc>
      </w:tr>
      <w:tr>
        <w:trPr>
          <w:trHeight w:val="37"/>
        </w:trPr>
        <w:tc>
          <w:tcPr>
            <w:tcW w:w="25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0"/>
        </w:trPr>
        <w:tc>
          <w:tcPr>
            <w:tcW w:w="2540" w:type="dxa"/>
            <w:vAlign w:val="bottom"/>
            <w:tcBorders>
              <w:bottom w:val="single" w:sz="8" w:color="BAE2F8"/>
            </w:tcBorders>
            <w:shd w:val="clear" w:color="auto" w:fill="BAE2F8"/>
          </w:tcPr>
          <w:p>
            <w:pPr>
              <w:ind w:left="40"/>
              <w:spacing w:after="0"/>
              <w:rPr>
                <w:sz w:val="20"/>
                <w:szCs w:val="20"/>
                <w:color w:val="auto"/>
              </w:rPr>
            </w:pPr>
            <w:r>
              <w:rPr>
                <w:rFonts w:ascii="Arial" w:cs="Arial" w:eastAsia="Arial" w:hAnsi="Arial"/>
                <w:sz w:val="18"/>
                <w:szCs w:val="18"/>
                <w:color w:val="4C4C4C"/>
              </w:rPr>
              <w:t>Lisa Feng</w:t>
            </w:r>
          </w:p>
        </w:tc>
        <w:tc>
          <w:tcPr>
            <w:tcW w:w="2380" w:type="dxa"/>
            <w:vAlign w:val="bottom"/>
            <w:tcBorders>
              <w:bottom w:val="single" w:sz="8" w:color="BAE2F8"/>
            </w:tcBorders>
            <w:shd w:val="clear" w:color="auto" w:fill="BAE2F8"/>
          </w:tcPr>
          <w:p>
            <w:pPr>
              <w:jc w:val="right"/>
              <w:ind w:right="298"/>
              <w:spacing w:after="0"/>
              <w:rPr>
                <w:sz w:val="20"/>
                <w:szCs w:val="20"/>
                <w:color w:val="auto"/>
              </w:rPr>
            </w:pPr>
            <w:r>
              <w:rPr>
                <w:rFonts w:ascii="Arial" w:cs="Arial" w:eastAsia="Arial" w:hAnsi="Arial"/>
                <w:sz w:val="18"/>
                <w:szCs w:val="18"/>
                <w:color w:val="4C4C4C"/>
              </w:rPr>
              <w:t>17,721</w:t>
            </w:r>
          </w:p>
        </w:tc>
        <w:tc>
          <w:tcPr>
            <w:tcW w:w="1340" w:type="dxa"/>
            <w:vAlign w:val="bottom"/>
            <w:tcBorders>
              <w:bottom w:val="single" w:sz="8" w:color="BAE2F8"/>
            </w:tcBorders>
            <w:shd w:val="clear" w:color="auto" w:fill="BAE2F8"/>
          </w:tcPr>
          <w:p>
            <w:pPr>
              <w:jc w:val="right"/>
              <w:ind w:right="195"/>
              <w:spacing w:after="0"/>
              <w:rPr>
                <w:sz w:val="20"/>
                <w:szCs w:val="20"/>
                <w:color w:val="auto"/>
              </w:rPr>
            </w:pPr>
            <w:r>
              <w:rPr>
                <w:rFonts w:ascii="Arial" w:cs="Arial" w:eastAsia="Arial" w:hAnsi="Arial"/>
                <w:sz w:val="18"/>
                <w:szCs w:val="18"/>
                <w:color w:val="4C4C4C"/>
              </w:rPr>
              <w:t>566,823</w:t>
            </w:r>
          </w:p>
        </w:tc>
      </w:tr>
      <w:tr>
        <w:trPr>
          <w:trHeight w:val="274"/>
        </w:trPr>
        <w:tc>
          <w:tcPr>
            <w:tcW w:w="2540" w:type="dxa"/>
            <w:vAlign w:val="bottom"/>
          </w:tcPr>
          <w:p>
            <w:pPr>
              <w:ind w:left="40"/>
              <w:spacing w:after="0"/>
              <w:rPr>
                <w:sz w:val="20"/>
                <w:szCs w:val="20"/>
                <w:color w:val="auto"/>
              </w:rPr>
            </w:pPr>
            <w:r>
              <w:rPr>
                <w:rFonts w:ascii="Arial" w:cs="Arial" w:eastAsia="Arial" w:hAnsi="Arial"/>
                <w:sz w:val="18"/>
                <w:szCs w:val="18"/>
                <w:color w:val="4C4C4C"/>
              </w:rPr>
              <w:t>Fuping Chen</w:t>
            </w:r>
          </w:p>
        </w:tc>
        <w:tc>
          <w:tcPr>
            <w:tcW w:w="2380" w:type="dxa"/>
            <w:vAlign w:val="bottom"/>
          </w:tcPr>
          <w:p>
            <w:pPr>
              <w:jc w:val="right"/>
              <w:ind w:right="298"/>
              <w:spacing w:after="0"/>
              <w:rPr>
                <w:sz w:val="20"/>
                <w:szCs w:val="20"/>
                <w:color w:val="auto"/>
              </w:rPr>
            </w:pPr>
            <w:r>
              <w:rPr>
                <w:rFonts w:ascii="Arial" w:cs="Arial" w:eastAsia="Arial" w:hAnsi="Arial"/>
                <w:sz w:val="18"/>
                <w:szCs w:val="18"/>
                <w:color w:val="4C4C4C"/>
              </w:rPr>
              <w:t>90,000</w:t>
            </w:r>
          </w:p>
        </w:tc>
        <w:tc>
          <w:tcPr>
            <w:tcW w:w="1340" w:type="dxa"/>
            <w:vAlign w:val="bottom"/>
          </w:tcPr>
          <w:p>
            <w:pPr>
              <w:jc w:val="right"/>
              <w:ind w:right="175"/>
              <w:spacing w:after="0"/>
              <w:rPr>
                <w:sz w:val="20"/>
                <w:szCs w:val="20"/>
                <w:color w:val="auto"/>
              </w:rPr>
            </w:pPr>
            <w:r>
              <w:rPr>
                <w:rFonts w:ascii="Arial" w:cs="Arial" w:eastAsia="Arial" w:hAnsi="Arial"/>
                <w:sz w:val="18"/>
                <w:szCs w:val="18"/>
                <w:color w:val="4C4C4C"/>
              </w:rPr>
              <w:t>3,966,900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-1356360</wp:posOffset>
            </wp:positionV>
            <wp:extent cx="17227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61" w:lineRule="exact"/>
        <w:rPr>
          <w:sz w:val="20"/>
          <w:szCs w:val="20"/>
          <w:color w:val="auto"/>
        </w:rPr>
      </w:pPr>
    </w:p>
    <w:p>
      <w:pPr>
        <w:ind w:left="640" w:hanging="348"/>
        <w:spacing w:after="0"/>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 shown is net of the 2,319 shares surrendered in payment of the exercise price.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Potential Payments Upon Termination or Change in Control</w:t>
      </w:r>
    </w:p>
    <w:p>
      <w:pPr>
        <w:spacing w:after="0" w:line="189"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Our option awards granted under our 2016 Omnibus Incentive Plan to employees, including NEOs, provide for acceleration upon a change in 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w:t>
      </w:r>
    </w:p>
    <w:p>
      <w:pPr>
        <w:spacing w:after="0" w:line="14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4C4C4C"/>
        </w:rPr>
        <w:t>NEOs based in the PRC, who include all NEOs other than U.S.-based Mark McKechnie, may be entitled to statutory severance as required by applicable law. The amounts below assume a triggering event occurred on December 31, 2021.</w:t>
      </w:r>
    </w:p>
    <w:p>
      <w:pPr>
        <w:spacing w:after="0" w:line="39" w:lineRule="exact"/>
        <w:rPr>
          <w:sz w:val="20"/>
          <w:szCs w:val="20"/>
          <w:color w:val="auto"/>
        </w:rPr>
      </w:pPr>
    </w:p>
    <w:tbl>
      <w:tblPr>
        <w:tblLayout w:type="fixed"/>
        <w:tblInd w:w="300" w:type="dxa"/>
        <w:tblCellMar>
          <w:top w:w="0" w:type="dxa"/>
          <w:left w:w="0" w:type="dxa"/>
          <w:bottom w:w="0" w:type="dxa"/>
          <w:right w:w="0" w:type="dxa"/>
        </w:tblCellMar>
      </w:tblPr>
      <w:tr>
        <w:trPr>
          <w:trHeight w:val="288"/>
        </w:trPr>
        <w:tc>
          <w:tcPr>
            <w:tcW w:w="2000" w:type="dxa"/>
            <w:vAlign w:val="bottom"/>
            <w:shd w:val="clear" w:color="auto" w:fill="0D3F64"/>
          </w:tcPr>
          <w:p>
            <w:pPr>
              <w:spacing w:after="0"/>
              <w:rPr>
                <w:sz w:val="24"/>
                <w:szCs w:val="24"/>
                <w:color w:val="auto"/>
              </w:rPr>
            </w:pPr>
          </w:p>
        </w:tc>
        <w:tc>
          <w:tcPr>
            <w:tcW w:w="1660" w:type="dxa"/>
            <w:vAlign w:val="bottom"/>
            <w:shd w:val="clear" w:color="auto" w:fill="0D3F64"/>
          </w:tcPr>
          <w:p>
            <w:pPr>
              <w:spacing w:after="0"/>
              <w:rPr>
                <w:sz w:val="24"/>
                <w:szCs w:val="24"/>
                <w:color w:val="auto"/>
              </w:rPr>
            </w:pPr>
          </w:p>
        </w:tc>
        <w:tc>
          <w:tcPr>
            <w:tcW w:w="1640" w:type="dxa"/>
            <w:vAlign w:val="bottom"/>
            <w:shd w:val="clear" w:color="auto" w:fill="0D3F64"/>
          </w:tcPr>
          <w:p>
            <w:pPr>
              <w:spacing w:after="0"/>
              <w:rPr>
                <w:sz w:val="24"/>
                <w:szCs w:val="24"/>
                <w:color w:val="auto"/>
              </w:rPr>
            </w:pPr>
          </w:p>
        </w:tc>
        <w:tc>
          <w:tcPr>
            <w:tcW w:w="162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Change in Control</w:t>
            </w:r>
          </w:p>
        </w:tc>
        <w:tc>
          <w:tcPr>
            <w:tcW w:w="1500" w:type="dxa"/>
            <w:vAlign w:val="bottom"/>
            <w:shd w:val="clear" w:color="auto" w:fill="0D3F64"/>
          </w:tcPr>
          <w:p>
            <w:pPr>
              <w:spacing w:after="0"/>
              <w:rPr>
                <w:sz w:val="24"/>
                <w:szCs w:val="24"/>
                <w:color w:val="auto"/>
              </w:rPr>
            </w:pPr>
          </w:p>
        </w:tc>
      </w:tr>
      <w:tr>
        <w:trPr>
          <w:trHeight w:val="162"/>
        </w:trPr>
        <w:tc>
          <w:tcPr>
            <w:tcW w:w="2000" w:type="dxa"/>
            <w:vAlign w:val="bottom"/>
            <w:shd w:val="clear" w:color="auto" w:fill="0D3F64"/>
          </w:tcPr>
          <w:p>
            <w:pPr>
              <w:spacing w:after="0"/>
              <w:rPr>
                <w:sz w:val="14"/>
                <w:szCs w:val="14"/>
                <w:color w:val="auto"/>
              </w:rPr>
            </w:pPr>
          </w:p>
        </w:tc>
        <w:tc>
          <w:tcPr>
            <w:tcW w:w="1660" w:type="dxa"/>
            <w:vAlign w:val="bottom"/>
            <w:shd w:val="clear" w:color="auto" w:fill="0D3F64"/>
          </w:tcPr>
          <w:p>
            <w:pPr>
              <w:jc w:val="center"/>
              <w:ind w:left="278"/>
              <w:spacing w:after="0"/>
              <w:rPr>
                <w:sz w:val="20"/>
                <w:szCs w:val="20"/>
                <w:color w:val="auto"/>
              </w:rPr>
            </w:pPr>
            <w:r>
              <w:rPr>
                <w:rFonts w:ascii="Arial" w:cs="Arial" w:eastAsia="Arial" w:hAnsi="Arial"/>
                <w:sz w:val="14"/>
                <w:szCs w:val="14"/>
                <w:b w:val="1"/>
                <w:bCs w:val="1"/>
                <w:color w:val="FFFFFF"/>
              </w:rPr>
              <w:t>Termination</w:t>
            </w:r>
          </w:p>
        </w:tc>
        <w:tc>
          <w:tcPr>
            <w:tcW w:w="1640" w:type="dxa"/>
            <w:vAlign w:val="bottom"/>
            <w:shd w:val="clear" w:color="auto" w:fill="0D3F64"/>
          </w:tcPr>
          <w:p>
            <w:pPr>
              <w:spacing w:after="0"/>
              <w:rPr>
                <w:sz w:val="14"/>
                <w:szCs w:val="14"/>
                <w:color w:val="auto"/>
              </w:rPr>
            </w:pPr>
          </w:p>
        </w:tc>
        <w:tc>
          <w:tcPr>
            <w:tcW w:w="1620" w:type="dxa"/>
            <w:vAlign w:val="bottom"/>
            <w:shd w:val="clear" w:color="auto" w:fill="0D3F64"/>
          </w:tcPr>
          <w:p>
            <w:pPr>
              <w:ind w:left="520"/>
              <w:spacing w:after="0"/>
              <w:rPr>
                <w:sz w:val="20"/>
                <w:szCs w:val="20"/>
                <w:color w:val="auto"/>
              </w:rPr>
            </w:pPr>
            <w:r>
              <w:rPr>
                <w:rFonts w:ascii="Arial" w:cs="Arial" w:eastAsia="Arial" w:hAnsi="Arial"/>
                <w:sz w:val="14"/>
                <w:szCs w:val="14"/>
                <w:b w:val="1"/>
                <w:bCs w:val="1"/>
                <w:color w:val="FFFFFF"/>
              </w:rPr>
              <w:t>Without</w:t>
            </w:r>
          </w:p>
        </w:tc>
        <w:tc>
          <w:tcPr>
            <w:tcW w:w="150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Value of Equity</w:t>
            </w:r>
          </w:p>
        </w:tc>
      </w:tr>
      <w:tr>
        <w:trPr>
          <w:trHeight w:val="162"/>
        </w:trPr>
        <w:tc>
          <w:tcPr>
            <w:tcW w:w="2000" w:type="dxa"/>
            <w:vAlign w:val="bottom"/>
            <w:shd w:val="clear" w:color="auto" w:fill="0D3F64"/>
          </w:tcPr>
          <w:p>
            <w:pPr>
              <w:spacing w:after="0"/>
              <w:rPr>
                <w:sz w:val="14"/>
                <w:szCs w:val="14"/>
                <w:color w:val="auto"/>
              </w:rPr>
            </w:pPr>
          </w:p>
        </w:tc>
        <w:tc>
          <w:tcPr>
            <w:tcW w:w="1660" w:type="dxa"/>
            <w:vAlign w:val="bottom"/>
            <w:shd w:val="clear" w:color="auto" w:fill="0D3F64"/>
          </w:tcPr>
          <w:p>
            <w:pPr>
              <w:jc w:val="center"/>
              <w:ind w:left="238"/>
              <w:spacing w:after="0"/>
              <w:rPr>
                <w:sz w:val="20"/>
                <w:szCs w:val="20"/>
                <w:color w:val="auto"/>
              </w:rPr>
            </w:pPr>
            <w:r>
              <w:rPr>
                <w:rFonts w:ascii="Arial" w:cs="Arial" w:eastAsia="Arial" w:hAnsi="Arial"/>
                <w:sz w:val="14"/>
                <w:szCs w:val="14"/>
                <w:b w:val="1"/>
                <w:bCs w:val="1"/>
                <w:color w:val="FFFFFF"/>
              </w:rPr>
              <w:t>Without</w:t>
            </w:r>
          </w:p>
        </w:tc>
        <w:tc>
          <w:tcPr>
            <w:tcW w:w="1640" w:type="dxa"/>
            <w:vAlign w:val="bottom"/>
            <w:shd w:val="clear" w:color="auto" w:fill="0D3F64"/>
          </w:tcPr>
          <w:p>
            <w:pPr>
              <w:jc w:val="center"/>
              <w:ind w:left="17"/>
              <w:spacing w:after="0"/>
              <w:rPr>
                <w:sz w:val="20"/>
                <w:szCs w:val="20"/>
                <w:color w:val="auto"/>
              </w:rPr>
            </w:pPr>
            <w:r>
              <w:rPr>
                <w:rFonts w:ascii="Arial" w:cs="Arial" w:eastAsia="Arial" w:hAnsi="Arial"/>
                <w:sz w:val="14"/>
                <w:szCs w:val="14"/>
                <w:b w:val="1"/>
                <w:bCs w:val="1"/>
                <w:color w:val="FFFFFF"/>
              </w:rPr>
              <w:t>Termination Upon</w:t>
            </w:r>
          </w:p>
        </w:tc>
        <w:tc>
          <w:tcPr>
            <w:tcW w:w="162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Termination or</w:t>
            </w:r>
          </w:p>
        </w:tc>
        <w:tc>
          <w:tcPr>
            <w:tcW w:w="150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Award</w:t>
            </w:r>
          </w:p>
        </w:tc>
      </w:tr>
      <w:tr>
        <w:trPr>
          <w:trHeight w:val="162"/>
        </w:trPr>
        <w:tc>
          <w:tcPr>
            <w:tcW w:w="2000" w:type="dxa"/>
            <w:vAlign w:val="bottom"/>
            <w:shd w:val="clear" w:color="auto" w:fill="0D3F64"/>
          </w:tcPr>
          <w:p>
            <w:pPr>
              <w:spacing w:after="0"/>
              <w:rPr>
                <w:sz w:val="14"/>
                <w:szCs w:val="14"/>
                <w:color w:val="auto"/>
              </w:rPr>
            </w:pPr>
          </w:p>
        </w:tc>
        <w:tc>
          <w:tcPr>
            <w:tcW w:w="1660" w:type="dxa"/>
            <w:vAlign w:val="bottom"/>
            <w:shd w:val="clear" w:color="auto" w:fill="0D3F64"/>
          </w:tcPr>
          <w:p>
            <w:pPr>
              <w:jc w:val="center"/>
              <w:ind w:left="258"/>
              <w:spacing w:after="0"/>
              <w:rPr>
                <w:sz w:val="20"/>
                <w:szCs w:val="20"/>
                <w:color w:val="auto"/>
              </w:rPr>
            </w:pPr>
            <w:r>
              <w:rPr>
                <w:rFonts w:ascii="Arial" w:cs="Arial" w:eastAsia="Arial" w:hAnsi="Arial"/>
                <w:sz w:val="14"/>
                <w:szCs w:val="14"/>
                <w:b w:val="1"/>
                <w:bCs w:val="1"/>
                <w:color w:val="FFFFFF"/>
              </w:rPr>
              <w:t>Cause</w:t>
            </w:r>
          </w:p>
        </w:tc>
        <w:tc>
          <w:tcPr>
            <w:tcW w:w="1640" w:type="dxa"/>
            <w:vAlign w:val="bottom"/>
            <w:shd w:val="clear" w:color="auto" w:fill="0D3F64"/>
          </w:tcPr>
          <w:p>
            <w:pPr>
              <w:jc w:val="center"/>
              <w:ind w:left="37"/>
              <w:spacing w:after="0"/>
              <w:rPr>
                <w:sz w:val="20"/>
                <w:szCs w:val="20"/>
                <w:color w:val="auto"/>
              </w:rPr>
            </w:pPr>
            <w:r>
              <w:rPr>
                <w:rFonts w:ascii="Arial" w:cs="Arial" w:eastAsia="Arial" w:hAnsi="Arial"/>
                <w:sz w:val="14"/>
                <w:szCs w:val="14"/>
                <w:b w:val="1"/>
                <w:bCs w:val="1"/>
                <w:color w:val="FFFFFF"/>
              </w:rPr>
              <w:t>Change in Control</w:t>
            </w:r>
          </w:p>
        </w:tc>
        <w:tc>
          <w:tcPr>
            <w:tcW w:w="162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Death or Disability</w:t>
            </w:r>
          </w:p>
        </w:tc>
        <w:tc>
          <w:tcPr>
            <w:tcW w:w="1500" w:type="dxa"/>
            <w:vAlign w:val="bottom"/>
            <w:shd w:val="clear" w:color="auto" w:fill="0D3F64"/>
          </w:tcPr>
          <w:p>
            <w:pPr>
              <w:jc w:val="center"/>
              <w:ind w:right="18"/>
              <w:spacing w:after="0"/>
              <w:rPr>
                <w:sz w:val="20"/>
                <w:szCs w:val="20"/>
                <w:color w:val="auto"/>
              </w:rPr>
            </w:pPr>
            <w:r>
              <w:rPr>
                <w:rFonts w:ascii="Arial" w:cs="Arial" w:eastAsia="Arial" w:hAnsi="Arial"/>
                <w:sz w:val="14"/>
                <w:szCs w:val="14"/>
                <w:b w:val="1"/>
                <w:bCs w:val="1"/>
                <w:color w:val="FFFFFF"/>
              </w:rPr>
              <w:t>Accelerations</w:t>
            </w:r>
          </w:p>
        </w:tc>
      </w:tr>
      <w:tr>
        <w:trPr>
          <w:trHeight w:val="212"/>
        </w:trPr>
        <w:tc>
          <w:tcPr>
            <w:tcW w:w="2000" w:type="dxa"/>
            <w:vAlign w:val="bottom"/>
            <w:shd w:val="clear" w:color="auto" w:fill="0D3F64"/>
          </w:tcPr>
          <w:p>
            <w:pPr>
              <w:ind w:left="40"/>
              <w:spacing w:after="0"/>
              <w:rPr>
                <w:sz w:val="20"/>
                <w:szCs w:val="20"/>
                <w:color w:val="auto"/>
              </w:rPr>
            </w:pPr>
            <w:r>
              <w:rPr>
                <w:rFonts w:ascii="Arial" w:cs="Arial" w:eastAsia="Arial" w:hAnsi="Arial"/>
                <w:sz w:val="14"/>
                <w:szCs w:val="14"/>
                <w:b w:val="1"/>
                <w:bCs w:val="1"/>
                <w:color w:val="FFFFFF"/>
              </w:rPr>
              <w:t>Name</w:t>
            </w:r>
          </w:p>
        </w:tc>
        <w:tc>
          <w:tcPr>
            <w:tcW w:w="1660" w:type="dxa"/>
            <w:vAlign w:val="bottom"/>
            <w:shd w:val="clear" w:color="auto" w:fill="0D3F64"/>
          </w:tcPr>
          <w:p>
            <w:pPr>
              <w:jc w:val="center"/>
              <w:ind w:left="298"/>
              <w:spacing w:after="0"/>
              <w:rPr>
                <w:sz w:val="20"/>
                <w:szCs w:val="20"/>
                <w:color w:val="auto"/>
              </w:rPr>
            </w:pPr>
            <w:r>
              <w:rPr>
                <w:rFonts w:ascii="Arial" w:cs="Arial" w:eastAsia="Arial" w:hAnsi="Arial"/>
                <w:sz w:val="14"/>
                <w:szCs w:val="14"/>
                <w:b w:val="1"/>
                <w:bCs w:val="1"/>
                <w:color w:val="FFFFFF"/>
              </w:rPr>
              <w:t>($)(1)</w:t>
            </w:r>
          </w:p>
        </w:tc>
        <w:tc>
          <w:tcPr>
            <w:tcW w:w="1640" w:type="dxa"/>
            <w:vAlign w:val="bottom"/>
            <w:shd w:val="clear" w:color="auto" w:fill="0D3F64"/>
          </w:tcPr>
          <w:p>
            <w:pPr>
              <w:jc w:val="center"/>
              <w:ind w:left="57"/>
              <w:spacing w:after="0"/>
              <w:rPr>
                <w:sz w:val="20"/>
                <w:szCs w:val="20"/>
                <w:color w:val="auto"/>
              </w:rPr>
            </w:pPr>
            <w:r>
              <w:rPr>
                <w:rFonts w:ascii="Arial" w:cs="Arial" w:eastAsia="Arial" w:hAnsi="Arial"/>
                <w:sz w:val="14"/>
                <w:szCs w:val="14"/>
                <w:b w:val="1"/>
                <w:bCs w:val="1"/>
                <w:color w:val="FFFFFF"/>
              </w:rPr>
              <w:t>($)</w:t>
            </w:r>
          </w:p>
        </w:tc>
        <w:tc>
          <w:tcPr>
            <w:tcW w:w="162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274"/>
        </w:trPr>
        <w:tc>
          <w:tcPr>
            <w:tcW w:w="2000" w:type="dxa"/>
            <w:vAlign w:val="bottom"/>
          </w:tcPr>
          <w:p>
            <w:pPr>
              <w:ind w:left="40"/>
              <w:spacing w:after="0"/>
              <w:rPr>
                <w:sz w:val="20"/>
                <w:szCs w:val="20"/>
                <w:color w:val="auto"/>
              </w:rPr>
            </w:pPr>
            <w:r>
              <w:rPr>
                <w:rFonts w:ascii="Arial" w:cs="Arial" w:eastAsia="Arial" w:hAnsi="Arial"/>
                <w:sz w:val="18"/>
                <w:szCs w:val="18"/>
                <w:color w:val="4C4C4C"/>
              </w:rPr>
              <w:t>David H. Wang</w:t>
            </w:r>
          </w:p>
        </w:tc>
        <w:tc>
          <w:tcPr>
            <w:tcW w:w="1660" w:type="dxa"/>
            <w:vAlign w:val="bottom"/>
          </w:tcPr>
          <w:p>
            <w:pPr>
              <w:jc w:val="center"/>
              <w:ind w:left="338"/>
              <w:spacing w:after="0"/>
              <w:rPr>
                <w:sz w:val="20"/>
                <w:szCs w:val="20"/>
                <w:color w:val="auto"/>
              </w:rPr>
            </w:pPr>
            <w:r>
              <w:rPr>
                <w:rFonts w:ascii="Arial" w:cs="Arial" w:eastAsia="Arial" w:hAnsi="Arial"/>
                <w:sz w:val="18"/>
                <w:szCs w:val="18"/>
                <w:color w:val="4C4C4C"/>
                <w:w w:val="98"/>
              </w:rPr>
              <w:t>$57,686</w:t>
            </w:r>
          </w:p>
        </w:tc>
        <w:tc>
          <w:tcPr>
            <w:tcW w:w="1640" w:type="dxa"/>
            <w:vAlign w:val="bottom"/>
          </w:tcPr>
          <w:p>
            <w:pPr>
              <w:jc w:val="right"/>
              <w:ind w:right="117"/>
              <w:spacing w:after="0"/>
              <w:rPr>
                <w:sz w:val="20"/>
                <w:szCs w:val="20"/>
                <w:color w:val="auto"/>
              </w:rPr>
            </w:pPr>
            <w:r>
              <w:rPr>
                <w:rFonts w:ascii="Arial" w:cs="Arial" w:eastAsia="Arial" w:hAnsi="Arial"/>
                <w:sz w:val="18"/>
                <w:szCs w:val="18"/>
                <w:color w:val="4C4C4C"/>
              </w:rPr>
              <w:t>$42,336,085</w:t>
            </w:r>
          </w:p>
        </w:tc>
        <w:tc>
          <w:tcPr>
            <w:tcW w:w="1620" w:type="dxa"/>
            <w:vAlign w:val="bottom"/>
          </w:tcPr>
          <w:p>
            <w:pPr>
              <w:ind w:left="340"/>
              <w:spacing w:after="0"/>
              <w:rPr>
                <w:sz w:val="20"/>
                <w:szCs w:val="20"/>
                <w:color w:val="auto"/>
              </w:rPr>
            </w:pPr>
            <w:r>
              <w:rPr>
                <w:rFonts w:ascii="Arial" w:cs="Arial" w:eastAsia="Arial" w:hAnsi="Arial"/>
                <w:sz w:val="18"/>
                <w:szCs w:val="18"/>
                <w:color w:val="4C4C4C"/>
              </w:rPr>
              <w:t>$42,393,771</w:t>
            </w:r>
          </w:p>
        </w:tc>
        <w:tc>
          <w:tcPr>
            <w:tcW w:w="1500" w:type="dxa"/>
            <w:vAlign w:val="bottom"/>
          </w:tcPr>
          <w:p>
            <w:pPr>
              <w:jc w:val="center"/>
              <w:spacing w:after="0"/>
              <w:rPr>
                <w:sz w:val="20"/>
                <w:szCs w:val="20"/>
                <w:color w:val="auto"/>
              </w:rPr>
            </w:pPr>
            <w:r>
              <w:rPr>
                <w:rFonts w:ascii="Arial" w:cs="Arial" w:eastAsia="Arial" w:hAnsi="Arial"/>
                <w:sz w:val="18"/>
                <w:szCs w:val="18"/>
                <w:color w:val="4C4C4C"/>
                <w:w w:val="99"/>
              </w:rPr>
              <w:t>1,141,023</w:t>
            </w:r>
          </w:p>
        </w:tc>
      </w:tr>
      <w:tr>
        <w:trPr>
          <w:trHeight w:val="36"/>
        </w:trPr>
        <w:tc>
          <w:tcPr>
            <w:tcW w:w="20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91"/>
        </w:trPr>
        <w:tc>
          <w:tcPr>
            <w:tcW w:w="2000" w:type="dxa"/>
            <w:vAlign w:val="bottom"/>
            <w:tcBorders>
              <w:bottom w:val="single" w:sz="8" w:color="BAE2F8"/>
            </w:tcBorders>
            <w:shd w:val="clear" w:color="auto" w:fill="BAE2F8"/>
          </w:tcPr>
          <w:p>
            <w:pPr>
              <w:ind w:left="40"/>
              <w:spacing w:after="0"/>
              <w:rPr>
                <w:sz w:val="20"/>
                <w:szCs w:val="20"/>
                <w:color w:val="auto"/>
              </w:rPr>
            </w:pPr>
            <w:r>
              <w:rPr>
                <w:rFonts w:ascii="Arial" w:cs="Arial" w:eastAsia="Arial" w:hAnsi="Arial"/>
                <w:sz w:val="18"/>
                <w:szCs w:val="18"/>
                <w:color w:val="4C4C4C"/>
              </w:rPr>
              <w:t>Mark McKechnie</w:t>
            </w:r>
          </w:p>
        </w:tc>
        <w:tc>
          <w:tcPr>
            <w:tcW w:w="1660" w:type="dxa"/>
            <w:vAlign w:val="bottom"/>
            <w:tcBorders>
              <w:bottom w:val="single" w:sz="8" w:color="BAE2F8"/>
            </w:tcBorders>
            <w:shd w:val="clear" w:color="auto" w:fill="BAE2F8"/>
          </w:tcPr>
          <w:p>
            <w:pPr>
              <w:jc w:val="right"/>
              <w:ind w:right="258"/>
              <w:spacing w:after="0"/>
              <w:rPr>
                <w:sz w:val="20"/>
                <w:szCs w:val="20"/>
                <w:color w:val="auto"/>
              </w:rPr>
            </w:pPr>
            <w:r>
              <w:rPr>
                <w:rFonts w:ascii="Arial" w:cs="Arial" w:eastAsia="Arial" w:hAnsi="Arial"/>
                <w:sz w:val="18"/>
                <w:szCs w:val="18"/>
                <w:color w:val="4C4C4C"/>
              </w:rPr>
              <w:t>—</w:t>
            </w:r>
          </w:p>
        </w:tc>
        <w:tc>
          <w:tcPr>
            <w:tcW w:w="1640" w:type="dxa"/>
            <w:vAlign w:val="bottom"/>
            <w:tcBorders>
              <w:bottom w:val="single" w:sz="8" w:color="BAE2F8"/>
            </w:tcBorders>
            <w:shd w:val="clear" w:color="auto" w:fill="BAE2F8"/>
          </w:tcPr>
          <w:p>
            <w:pPr>
              <w:jc w:val="right"/>
              <w:ind w:right="157"/>
              <w:spacing w:after="0"/>
              <w:rPr>
                <w:sz w:val="20"/>
                <w:szCs w:val="20"/>
                <w:color w:val="auto"/>
              </w:rPr>
            </w:pPr>
            <w:r>
              <w:rPr>
                <w:rFonts w:ascii="Arial" w:cs="Arial" w:eastAsia="Arial" w:hAnsi="Arial"/>
                <w:sz w:val="18"/>
                <w:szCs w:val="18"/>
                <w:color w:val="4C4C4C"/>
              </w:rPr>
              <w:t>3,685,150</w:t>
            </w:r>
          </w:p>
        </w:tc>
        <w:tc>
          <w:tcPr>
            <w:tcW w:w="1620" w:type="dxa"/>
            <w:vAlign w:val="bottom"/>
            <w:tcBorders>
              <w:bottom w:val="single" w:sz="8" w:color="BAE2F8"/>
            </w:tcBorders>
            <w:shd w:val="clear" w:color="auto" w:fill="BAE2F8"/>
          </w:tcPr>
          <w:p>
            <w:pPr>
              <w:ind w:left="500"/>
              <w:spacing w:after="0"/>
              <w:rPr>
                <w:sz w:val="20"/>
                <w:szCs w:val="20"/>
                <w:color w:val="auto"/>
              </w:rPr>
            </w:pPr>
            <w:r>
              <w:rPr>
                <w:rFonts w:ascii="Arial" w:cs="Arial" w:eastAsia="Arial" w:hAnsi="Arial"/>
                <w:sz w:val="18"/>
                <w:szCs w:val="18"/>
                <w:color w:val="4C4C4C"/>
              </w:rPr>
              <w:t>3,685,150</w:t>
            </w:r>
          </w:p>
        </w:tc>
        <w:tc>
          <w:tcPr>
            <w:tcW w:w="1500" w:type="dxa"/>
            <w:vAlign w:val="bottom"/>
            <w:tcBorders>
              <w:bottom w:val="single" w:sz="8" w:color="BAE2F8"/>
            </w:tcBorders>
            <w:shd w:val="clear" w:color="auto" w:fill="BAE2F8"/>
          </w:tcPr>
          <w:p>
            <w:pPr>
              <w:jc w:val="center"/>
              <w:spacing w:after="0"/>
              <w:rPr>
                <w:sz w:val="20"/>
                <w:szCs w:val="20"/>
                <w:color w:val="auto"/>
              </w:rPr>
            </w:pPr>
            <w:r>
              <w:rPr>
                <w:rFonts w:ascii="Arial" w:cs="Arial" w:eastAsia="Arial" w:hAnsi="Arial"/>
                <w:sz w:val="18"/>
                <w:szCs w:val="18"/>
                <w:color w:val="4C4C4C"/>
                <w:w w:val="99"/>
              </w:rPr>
              <w:t>1,847,259</w:t>
            </w:r>
          </w:p>
        </w:tc>
      </w:tr>
      <w:tr>
        <w:trPr>
          <w:trHeight w:val="274"/>
        </w:trPr>
        <w:tc>
          <w:tcPr>
            <w:tcW w:w="2000" w:type="dxa"/>
            <w:vAlign w:val="bottom"/>
          </w:tcPr>
          <w:p>
            <w:pPr>
              <w:ind w:left="40"/>
              <w:spacing w:after="0"/>
              <w:rPr>
                <w:sz w:val="20"/>
                <w:szCs w:val="20"/>
                <w:color w:val="auto"/>
              </w:rPr>
            </w:pPr>
            <w:r>
              <w:rPr>
                <w:rFonts w:ascii="Arial" w:cs="Arial" w:eastAsia="Arial" w:hAnsi="Arial"/>
                <w:sz w:val="18"/>
                <w:szCs w:val="18"/>
                <w:color w:val="4C4C4C"/>
              </w:rPr>
              <w:t>Jian Wang</w:t>
            </w:r>
          </w:p>
        </w:tc>
        <w:tc>
          <w:tcPr>
            <w:tcW w:w="1660" w:type="dxa"/>
            <w:vAlign w:val="bottom"/>
          </w:tcPr>
          <w:p>
            <w:pPr>
              <w:jc w:val="right"/>
              <w:ind w:right="238"/>
              <w:spacing w:after="0"/>
              <w:rPr>
                <w:sz w:val="20"/>
                <w:szCs w:val="20"/>
                <w:color w:val="auto"/>
              </w:rPr>
            </w:pPr>
            <w:r>
              <w:rPr>
                <w:rFonts w:ascii="Arial" w:cs="Arial" w:eastAsia="Arial" w:hAnsi="Arial"/>
                <w:sz w:val="18"/>
                <w:szCs w:val="18"/>
                <w:color w:val="4C4C4C"/>
              </w:rPr>
              <w:t>57,686</w:t>
            </w:r>
          </w:p>
        </w:tc>
        <w:tc>
          <w:tcPr>
            <w:tcW w:w="1640" w:type="dxa"/>
            <w:vAlign w:val="bottom"/>
          </w:tcPr>
          <w:p>
            <w:pPr>
              <w:jc w:val="right"/>
              <w:ind w:right="157"/>
              <w:spacing w:after="0"/>
              <w:rPr>
                <w:sz w:val="20"/>
                <w:szCs w:val="20"/>
                <w:color w:val="auto"/>
              </w:rPr>
            </w:pPr>
            <w:r>
              <w:rPr>
                <w:rFonts w:ascii="Arial" w:cs="Arial" w:eastAsia="Arial" w:hAnsi="Arial"/>
                <w:sz w:val="18"/>
                <w:szCs w:val="18"/>
                <w:color w:val="4C4C4C"/>
              </w:rPr>
              <w:t>4,910,600</w:t>
            </w:r>
          </w:p>
        </w:tc>
        <w:tc>
          <w:tcPr>
            <w:tcW w:w="1620" w:type="dxa"/>
            <w:vAlign w:val="bottom"/>
          </w:tcPr>
          <w:p>
            <w:pPr>
              <w:ind w:left="500"/>
              <w:spacing w:after="0"/>
              <w:rPr>
                <w:sz w:val="20"/>
                <w:szCs w:val="20"/>
                <w:color w:val="auto"/>
              </w:rPr>
            </w:pPr>
            <w:r>
              <w:rPr>
                <w:rFonts w:ascii="Arial" w:cs="Arial" w:eastAsia="Arial" w:hAnsi="Arial"/>
                <w:sz w:val="18"/>
                <w:szCs w:val="18"/>
                <w:color w:val="4C4C4C"/>
              </w:rPr>
              <w:t>4,968,286</w:t>
            </w:r>
          </w:p>
        </w:tc>
        <w:tc>
          <w:tcPr>
            <w:tcW w:w="1500" w:type="dxa"/>
            <w:vAlign w:val="bottom"/>
          </w:tcPr>
          <w:p>
            <w:pPr>
              <w:jc w:val="center"/>
              <w:spacing w:after="0"/>
              <w:rPr>
                <w:sz w:val="20"/>
                <w:szCs w:val="20"/>
                <w:color w:val="auto"/>
              </w:rPr>
            </w:pPr>
            <w:r>
              <w:rPr>
                <w:rFonts w:ascii="Arial" w:cs="Arial" w:eastAsia="Arial" w:hAnsi="Arial"/>
                <w:sz w:val="18"/>
                <w:szCs w:val="18"/>
                <w:color w:val="4C4C4C"/>
                <w:w w:val="99"/>
              </w:rPr>
              <w:t>1,160,757</w:t>
            </w:r>
          </w:p>
        </w:tc>
      </w:tr>
      <w:tr>
        <w:trPr>
          <w:trHeight w:val="37"/>
        </w:trPr>
        <w:tc>
          <w:tcPr>
            <w:tcW w:w="20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90"/>
        </w:trPr>
        <w:tc>
          <w:tcPr>
            <w:tcW w:w="2000" w:type="dxa"/>
            <w:vAlign w:val="bottom"/>
            <w:tcBorders>
              <w:bottom w:val="single" w:sz="8" w:color="BAE2F8"/>
            </w:tcBorders>
            <w:shd w:val="clear" w:color="auto" w:fill="BAE2F8"/>
          </w:tcPr>
          <w:p>
            <w:pPr>
              <w:ind w:left="40"/>
              <w:spacing w:after="0"/>
              <w:rPr>
                <w:sz w:val="20"/>
                <w:szCs w:val="20"/>
                <w:color w:val="auto"/>
              </w:rPr>
            </w:pPr>
            <w:r>
              <w:rPr>
                <w:rFonts w:ascii="Arial" w:cs="Arial" w:eastAsia="Arial" w:hAnsi="Arial"/>
                <w:sz w:val="18"/>
                <w:szCs w:val="18"/>
                <w:color w:val="4C4C4C"/>
              </w:rPr>
              <w:t>Lisa Feng</w:t>
            </w:r>
          </w:p>
        </w:tc>
        <w:tc>
          <w:tcPr>
            <w:tcW w:w="1660" w:type="dxa"/>
            <w:vAlign w:val="bottom"/>
            <w:tcBorders>
              <w:bottom w:val="single" w:sz="8" w:color="BAE2F8"/>
            </w:tcBorders>
            <w:shd w:val="clear" w:color="auto" w:fill="BAE2F8"/>
          </w:tcPr>
          <w:p>
            <w:pPr>
              <w:jc w:val="right"/>
              <w:ind w:right="238"/>
              <w:spacing w:after="0"/>
              <w:rPr>
                <w:sz w:val="20"/>
                <w:szCs w:val="20"/>
                <w:color w:val="auto"/>
              </w:rPr>
            </w:pPr>
            <w:r>
              <w:rPr>
                <w:rFonts w:ascii="Arial" w:cs="Arial" w:eastAsia="Arial" w:hAnsi="Arial"/>
                <w:sz w:val="18"/>
                <w:szCs w:val="18"/>
                <w:color w:val="4C4C4C"/>
              </w:rPr>
              <w:t>24,036</w:t>
            </w:r>
          </w:p>
        </w:tc>
        <w:tc>
          <w:tcPr>
            <w:tcW w:w="1640" w:type="dxa"/>
            <w:vAlign w:val="bottom"/>
            <w:tcBorders>
              <w:bottom w:val="single" w:sz="8" w:color="BAE2F8"/>
            </w:tcBorders>
            <w:shd w:val="clear" w:color="auto" w:fill="BAE2F8"/>
          </w:tcPr>
          <w:p>
            <w:pPr>
              <w:jc w:val="right"/>
              <w:ind w:right="157"/>
              <w:spacing w:after="0"/>
              <w:rPr>
                <w:sz w:val="20"/>
                <w:szCs w:val="20"/>
                <w:color w:val="auto"/>
              </w:rPr>
            </w:pPr>
            <w:r>
              <w:rPr>
                <w:rFonts w:ascii="Arial" w:cs="Arial" w:eastAsia="Arial" w:hAnsi="Arial"/>
                <w:sz w:val="18"/>
                <w:szCs w:val="18"/>
                <w:color w:val="4C4C4C"/>
              </w:rPr>
              <w:t>4,097,300</w:t>
            </w:r>
          </w:p>
        </w:tc>
        <w:tc>
          <w:tcPr>
            <w:tcW w:w="1620" w:type="dxa"/>
            <w:vAlign w:val="bottom"/>
            <w:tcBorders>
              <w:bottom w:val="single" w:sz="8" w:color="BAE2F8"/>
            </w:tcBorders>
            <w:shd w:val="clear" w:color="auto" w:fill="BAE2F8"/>
          </w:tcPr>
          <w:p>
            <w:pPr>
              <w:ind w:left="500"/>
              <w:spacing w:after="0"/>
              <w:rPr>
                <w:sz w:val="20"/>
                <w:szCs w:val="20"/>
                <w:color w:val="auto"/>
              </w:rPr>
            </w:pPr>
            <w:r>
              <w:rPr>
                <w:rFonts w:ascii="Arial" w:cs="Arial" w:eastAsia="Arial" w:hAnsi="Arial"/>
                <w:sz w:val="18"/>
                <w:szCs w:val="18"/>
                <w:color w:val="4C4C4C"/>
              </w:rPr>
              <w:t>4,121,336</w:t>
            </w:r>
          </w:p>
        </w:tc>
        <w:tc>
          <w:tcPr>
            <w:tcW w:w="1500" w:type="dxa"/>
            <w:vAlign w:val="bottom"/>
            <w:tcBorders>
              <w:bottom w:val="single" w:sz="8" w:color="BAE2F8"/>
            </w:tcBorders>
            <w:shd w:val="clear" w:color="auto" w:fill="BAE2F8"/>
          </w:tcPr>
          <w:p>
            <w:pPr>
              <w:jc w:val="center"/>
              <w:spacing w:after="0"/>
              <w:rPr>
                <w:sz w:val="20"/>
                <w:szCs w:val="20"/>
                <w:color w:val="auto"/>
              </w:rPr>
            </w:pPr>
            <w:r>
              <w:rPr>
                <w:rFonts w:ascii="Arial" w:cs="Arial" w:eastAsia="Arial" w:hAnsi="Arial"/>
                <w:sz w:val="18"/>
                <w:szCs w:val="18"/>
                <w:color w:val="4C4C4C"/>
                <w:w w:val="99"/>
              </w:rPr>
              <w:t>1,238,028</w:t>
            </w:r>
          </w:p>
        </w:tc>
      </w:tr>
      <w:tr>
        <w:trPr>
          <w:trHeight w:val="274"/>
        </w:trPr>
        <w:tc>
          <w:tcPr>
            <w:tcW w:w="2000" w:type="dxa"/>
            <w:vAlign w:val="bottom"/>
          </w:tcPr>
          <w:p>
            <w:pPr>
              <w:ind w:left="40"/>
              <w:spacing w:after="0"/>
              <w:rPr>
                <w:sz w:val="20"/>
                <w:szCs w:val="20"/>
                <w:color w:val="auto"/>
              </w:rPr>
            </w:pPr>
            <w:r>
              <w:rPr>
                <w:rFonts w:ascii="Arial" w:cs="Arial" w:eastAsia="Arial" w:hAnsi="Arial"/>
                <w:sz w:val="18"/>
                <w:szCs w:val="18"/>
                <w:color w:val="4C4C4C"/>
              </w:rPr>
              <w:t>Fuping Chen</w:t>
            </w:r>
          </w:p>
        </w:tc>
        <w:tc>
          <w:tcPr>
            <w:tcW w:w="1660" w:type="dxa"/>
            <w:vAlign w:val="bottom"/>
          </w:tcPr>
          <w:p>
            <w:pPr>
              <w:jc w:val="right"/>
              <w:ind w:right="238"/>
              <w:spacing w:after="0"/>
              <w:rPr>
                <w:sz w:val="20"/>
                <w:szCs w:val="20"/>
                <w:color w:val="auto"/>
              </w:rPr>
            </w:pPr>
            <w:r>
              <w:rPr>
                <w:rFonts w:ascii="Arial" w:cs="Arial" w:eastAsia="Arial" w:hAnsi="Arial"/>
                <w:sz w:val="18"/>
                <w:szCs w:val="18"/>
                <w:color w:val="4C4C4C"/>
              </w:rPr>
              <w:t>57,686</w:t>
            </w:r>
          </w:p>
        </w:tc>
        <w:tc>
          <w:tcPr>
            <w:tcW w:w="1640" w:type="dxa"/>
            <w:vAlign w:val="bottom"/>
          </w:tcPr>
          <w:p>
            <w:pPr>
              <w:jc w:val="right"/>
              <w:ind w:right="157"/>
              <w:spacing w:after="0"/>
              <w:rPr>
                <w:sz w:val="20"/>
                <w:szCs w:val="20"/>
                <w:color w:val="auto"/>
              </w:rPr>
            </w:pPr>
            <w:r>
              <w:rPr>
                <w:rFonts w:ascii="Arial" w:cs="Arial" w:eastAsia="Arial" w:hAnsi="Arial"/>
                <w:sz w:val="18"/>
                <w:szCs w:val="18"/>
                <w:color w:val="4C4C4C"/>
              </w:rPr>
              <w:t>7,327,865</w:t>
            </w:r>
          </w:p>
        </w:tc>
        <w:tc>
          <w:tcPr>
            <w:tcW w:w="1620" w:type="dxa"/>
            <w:vAlign w:val="bottom"/>
          </w:tcPr>
          <w:p>
            <w:pPr>
              <w:ind w:left="500"/>
              <w:spacing w:after="0"/>
              <w:rPr>
                <w:sz w:val="20"/>
                <w:szCs w:val="20"/>
                <w:color w:val="auto"/>
              </w:rPr>
            </w:pPr>
            <w:r>
              <w:rPr>
                <w:rFonts w:ascii="Arial" w:cs="Arial" w:eastAsia="Arial" w:hAnsi="Arial"/>
                <w:sz w:val="18"/>
                <w:szCs w:val="18"/>
                <w:color w:val="4C4C4C"/>
              </w:rPr>
              <w:t>7,385,551</w:t>
            </w:r>
          </w:p>
        </w:tc>
        <w:tc>
          <w:tcPr>
            <w:tcW w:w="1500" w:type="dxa"/>
            <w:vAlign w:val="bottom"/>
          </w:tcPr>
          <w:p>
            <w:pPr>
              <w:jc w:val="right"/>
              <w:ind w:right="298"/>
              <w:spacing w:after="0"/>
              <w:rPr>
                <w:sz w:val="20"/>
                <w:szCs w:val="20"/>
                <w:color w:val="auto"/>
              </w:rPr>
            </w:pPr>
            <w:r>
              <w:rPr>
                <w:rFonts w:ascii="Arial" w:cs="Arial" w:eastAsia="Arial" w:hAnsi="Arial"/>
                <w:sz w:val="18"/>
                <w:szCs w:val="18"/>
                <w:color w:val="4C4C4C"/>
              </w:rPr>
              <w:t>372,105</w:t>
            </w:r>
          </w:p>
        </w:tc>
      </w:tr>
    </w:tbl>
    <w:p>
      <w:pPr>
        <w:spacing w:after="0" w:line="81" w:lineRule="exact"/>
        <w:rPr>
          <w:sz w:val="20"/>
          <w:szCs w:val="20"/>
          <w:color w:val="auto"/>
        </w:rPr>
      </w:pPr>
    </w:p>
    <w:p>
      <w:pPr>
        <w:ind w:left="640" w:hanging="348"/>
        <w:spacing w:after="0"/>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PRC statutorily required severance.</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Equity Compensation Plan Information</w:t>
      </w:r>
    </w:p>
    <w:p>
      <w:pPr>
        <w:spacing w:after="0" w:line="175" w:lineRule="exact"/>
        <w:rPr>
          <w:sz w:val="20"/>
          <w:szCs w:val="20"/>
          <w:color w:val="auto"/>
        </w:rPr>
      </w:pPr>
    </w:p>
    <w:p>
      <w:pPr>
        <w:ind w:left="300" w:right="319"/>
        <w:spacing w:after="0" w:line="271" w:lineRule="auto"/>
        <w:rPr>
          <w:sz w:val="20"/>
          <w:szCs w:val="20"/>
          <w:color w:val="auto"/>
        </w:rPr>
      </w:pPr>
      <w:r>
        <w:rPr>
          <w:rFonts w:ascii="Arial" w:cs="Arial" w:eastAsia="Arial" w:hAnsi="Arial"/>
          <w:sz w:val="18"/>
          <w:szCs w:val="18"/>
          <w:color w:val="4C4C4C"/>
        </w:rPr>
        <w:t>The following table provides information as of December 31, 2021 with respect to shares of Class A common stock that may be issued under our equity plans and standalone option grants:</w:t>
      </w:r>
    </w:p>
    <w:p>
      <w:pPr>
        <w:spacing w:after="0" w:line="24" w:lineRule="exact"/>
        <w:rPr>
          <w:sz w:val="20"/>
          <w:szCs w:val="20"/>
          <w:color w:val="auto"/>
        </w:rPr>
      </w:pPr>
    </w:p>
    <w:tbl>
      <w:tblPr>
        <w:tblLayout w:type="fixed"/>
        <w:tblInd w:w="300" w:type="dxa"/>
        <w:tblCellMar>
          <w:top w:w="0" w:type="dxa"/>
          <w:left w:w="0" w:type="dxa"/>
          <w:bottom w:w="0" w:type="dxa"/>
          <w:right w:w="0" w:type="dxa"/>
        </w:tblCellMar>
      </w:tblPr>
      <w:tr>
        <w:trPr>
          <w:trHeight w:val="288"/>
        </w:trPr>
        <w:tc>
          <w:tcPr>
            <w:tcW w:w="2440" w:type="dxa"/>
            <w:vAlign w:val="bottom"/>
            <w:shd w:val="clear" w:color="auto" w:fill="0D3F64"/>
          </w:tcPr>
          <w:p>
            <w:pPr>
              <w:spacing w:after="0"/>
              <w:rPr>
                <w:sz w:val="24"/>
                <w:szCs w:val="24"/>
                <w:color w:val="auto"/>
              </w:rPr>
            </w:pPr>
          </w:p>
        </w:tc>
        <w:tc>
          <w:tcPr>
            <w:tcW w:w="198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Number of Securities to</w:t>
            </w:r>
          </w:p>
        </w:tc>
        <w:tc>
          <w:tcPr>
            <w:tcW w:w="176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224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2440" w:type="dxa"/>
            <w:vAlign w:val="bottom"/>
            <w:shd w:val="clear" w:color="auto" w:fill="0D3F64"/>
          </w:tcPr>
          <w:p>
            <w:pPr>
              <w:spacing w:after="0"/>
              <w:rPr>
                <w:sz w:val="14"/>
                <w:szCs w:val="14"/>
                <w:color w:val="auto"/>
              </w:rPr>
            </w:pPr>
          </w:p>
        </w:tc>
        <w:tc>
          <w:tcPr>
            <w:tcW w:w="198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be Issued Upon Exercise</w:t>
            </w:r>
          </w:p>
        </w:tc>
        <w:tc>
          <w:tcPr>
            <w:tcW w:w="176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24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Remaining Available for</w:t>
            </w:r>
          </w:p>
        </w:tc>
      </w:tr>
      <w:tr>
        <w:trPr>
          <w:trHeight w:val="162"/>
        </w:trPr>
        <w:tc>
          <w:tcPr>
            <w:tcW w:w="2440" w:type="dxa"/>
            <w:vAlign w:val="bottom"/>
            <w:shd w:val="clear" w:color="auto" w:fill="0D3F64"/>
          </w:tcPr>
          <w:p>
            <w:pPr>
              <w:spacing w:after="0"/>
              <w:rPr>
                <w:sz w:val="14"/>
                <w:szCs w:val="14"/>
                <w:color w:val="auto"/>
              </w:rPr>
            </w:pPr>
          </w:p>
        </w:tc>
        <w:tc>
          <w:tcPr>
            <w:tcW w:w="198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of Outstanding Options,</w:t>
            </w:r>
          </w:p>
        </w:tc>
        <w:tc>
          <w:tcPr>
            <w:tcW w:w="176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24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Future Issuance Under Equity</w:t>
            </w:r>
          </w:p>
        </w:tc>
      </w:tr>
      <w:tr>
        <w:trPr>
          <w:trHeight w:val="162"/>
        </w:trPr>
        <w:tc>
          <w:tcPr>
            <w:tcW w:w="2440" w:type="dxa"/>
            <w:vAlign w:val="bottom"/>
            <w:shd w:val="clear" w:color="auto" w:fill="0D3F64"/>
          </w:tcPr>
          <w:p>
            <w:pPr>
              <w:spacing w:after="0"/>
              <w:rPr>
                <w:sz w:val="14"/>
                <w:szCs w:val="14"/>
                <w:color w:val="auto"/>
              </w:rPr>
            </w:pPr>
          </w:p>
        </w:tc>
        <w:tc>
          <w:tcPr>
            <w:tcW w:w="198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1760" w:type="dxa"/>
            <w:vAlign w:val="bottom"/>
            <w:shd w:val="clear" w:color="auto" w:fill="0D3F64"/>
          </w:tcPr>
          <w:p>
            <w:pPr>
              <w:jc w:val="center"/>
              <w:ind w:left="1"/>
              <w:spacing w:after="0"/>
              <w:rPr>
                <w:sz w:val="20"/>
                <w:szCs w:val="20"/>
                <w:color w:val="auto"/>
              </w:rPr>
            </w:pPr>
            <w:r>
              <w:rPr>
                <w:rFonts w:ascii="Arial" w:cs="Arial" w:eastAsia="Arial" w:hAnsi="Arial"/>
                <w:sz w:val="14"/>
                <w:szCs w:val="14"/>
                <w:b w:val="1"/>
                <w:bCs w:val="1"/>
                <w:color w:val="FFFFFF"/>
              </w:rPr>
              <w:t>Warrants and Rights</w:t>
            </w:r>
          </w:p>
        </w:tc>
        <w:tc>
          <w:tcPr>
            <w:tcW w:w="2240" w:type="dxa"/>
            <w:vAlign w:val="bottom"/>
            <w:shd w:val="clear" w:color="auto" w:fill="0D3F64"/>
          </w:tcPr>
          <w:p>
            <w:pPr>
              <w:jc w:val="center"/>
              <w:ind w:left="21"/>
              <w:spacing w:after="0"/>
              <w:rPr>
                <w:sz w:val="20"/>
                <w:szCs w:val="20"/>
                <w:color w:val="auto"/>
              </w:rPr>
            </w:pPr>
            <w:r>
              <w:rPr>
                <w:rFonts w:ascii="Arial" w:cs="Arial" w:eastAsia="Arial" w:hAnsi="Arial"/>
                <w:sz w:val="14"/>
                <w:szCs w:val="14"/>
                <w:b w:val="1"/>
                <w:bCs w:val="1"/>
                <w:color w:val="FFFFFF"/>
              </w:rPr>
              <w:t>Compensation Plans(1)</w:t>
            </w:r>
          </w:p>
        </w:tc>
      </w:tr>
      <w:tr>
        <w:trPr>
          <w:trHeight w:val="212"/>
        </w:trPr>
        <w:tc>
          <w:tcPr>
            <w:tcW w:w="2440" w:type="dxa"/>
            <w:vAlign w:val="bottom"/>
            <w:shd w:val="clear" w:color="auto" w:fill="0D3F64"/>
          </w:tcPr>
          <w:p>
            <w:pPr>
              <w:ind w:left="20"/>
              <w:spacing w:after="0"/>
              <w:rPr>
                <w:sz w:val="20"/>
                <w:szCs w:val="20"/>
                <w:color w:val="auto"/>
              </w:rPr>
            </w:pPr>
            <w:r>
              <w:rPr>
                <w:rFonts w:ascii="Arial" w:cs="Arial" w:eastAsia="Arial" w:hAnsi="Arial"/>
                <w:sz w:val="14"/>
                <w:szCs w:val="14"/>
                <w:b w:val="1"/>
                <w:bCs w:val="1"/>
                <w:color w:val="FFFFFF"/>
              </w:rPr>
              <w:t>Plan Category</w:t>
            </w:r>
          </w:p>
        </w:tc>
        <w:tc>
          <w:tcPr>
            <w:tcW w:w="198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(a)</w:t>
            </w:r>
          </w:p>
        </w:tc>
        <w:tc>
          <w:tcPr>
            <w:tcW w:w="1760" w:type="dxa"/>
            <w:vAlign w:val="bottom"/>
            <w:shd w:val="clear" w:color="auto" w:fill="0D3F64"/>
          </w:tcPr>
          <w:p>
            <w:pPr>
              <w:jc w:val="center"/>
              <w:spacing w:after="0"/>
              <w:rPr>
                <w:sz w:val="20"/>
                <w:szCs w:val="20"/>
                <w:color w:val="auto"/>
              </w:rPr>
            </w:pPr>
            <w:r>
              <w:rPr>
                <w:rFonts w:ascii="Arial" w:cs="Arial" w:eastAsia="Arial" w:hAnsi="Arial"/>
                <w:sz w:val="14"/>
                <w:szCs w:val="14"/>
                <w:b w:val="1"/>
                <w:bCs w:val="1"/>
                <w:color w:val="FFFFFF"/>
              </w:rPr>
              <w:t>(b)</w:t>
            </w:r>
          </w:p>
        </w:tc>
        <w:tc>
          <w:tcPr>
            <w:tcW w:w="2240" w:type="dxa"/>
            <w:vAlign w:val="bottom"/>
            <w:shd w:val="clear" w:color="auto" w:fill="0D3F64"/>
          </w:tcPr>
          <w:p>
            <w:pPr>
              <w:jc w:val="center"/>
              <w:ind w:left="21"/>
              <w:spacing w:after="0"/>
              <w:rPr>
                <w:sz w:val="20"/>
                <w:szCs w:val="20"/>
                <w:color w:val="auto"/>
              </w:rPr>
            </w:pPr>
            <w:r>
              <w:rPr>
                <w:rFonts w:ascii="Arial" w:cs="Arial" w:eastAsia="Arial" w:hAnsi="Arial"/>
                <w:sz w:val="14"/>
                <w:szCs w:val="14"/>
                <w:b w:val="1"/>
                <w:bCs w:val="1"/>
                <w:color w:val="FFFFFF"/>
              </w:rPr>
              <w:t>(c)</w:t>
            </w:r>
          </w:p>
        </w:tc>
      </w:tr>
      <w:tr>
        <w:trPr>
          <w:trHeight w:val="238"/>
        </w:trPr>
        <w:tc>
          <w:tcPr>
            <w:tcW w:w="2440" w:type="dxa"/>
            <w:vAlign w:val="bottom"/>
          </w:tcPr>
          <w:p>
            <w:pPr>
              <w:ind w:left="20"/>
              <w:spacing w:after="0"/>
              <w:rPr>
                <w:sz w:val="20"/>
                <w:szCs w:val="20"/>
                <w:color w:val="auto"/>
              </w:rPr>
            </w:pPr>
            <w:r>
              <w:rPr>
                <w:rFonts w:ascii="Arial" w:cs="Arial" w:eastAsia="Arial" w:hAnsi="Arial"/>
                <w:sz w:val="18"/>
                <w:szCs w:val="18"/>
                <w:color w:val="4C4C4C"/>
              </w:rPr>
              <w:t>Equity compensation plans</w:t>
            </w:r>
          </w:p>
        </w:tc>
        <w:tc>
          <w:tcPr>
            <w:tcW w:w="1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39"/>
        </w:trPr>
        <w:tc>
          <w:tcPr>
            <w:tcW w:w="2440" w:type="dxa"/>
            <w:vAlign w:val="bottom"/>
          </w:tcPr>
          <w:p>
            <w:pPr>
              <w:ind w:left="20"/>
              <w:spacing w:after="0"/>
              <w:rPr>
                <w:sz w:val="20"/>
                <w:szCs w:val="20"/>
                <w:color w:val="auto"/>
              </w:rPr>
            </w:pPr>
            <w:r>
              <w:rPr>
                <w:rFonts w:ascii="Arial" w:cs="Arial" w:eastAsia="Arial" w:hAnsi="Arial"/>
                <w:sz w:val="18"/>
                <w:szCs w:val="18"/>
                <w:color w:val="4C4C4C"/>
              </w:rPr>
              <w:t>approved by stockholders(2)</w:t>
            </w:r>
          </w:p>
        </w:tc>
        <w:tc>
          <w:tcPr>
            <w:tcW w:w="1980" w:type="dxa"/>
            <w:vAlign w:val="bottom"/>
          </w:tcPr>
          <w:p>
            <w:pPr>
              <w:jc w:val="right"/>
              <w:ind w:right="421"/>
              <w:spacing w:after="0"/>
              <w:rPr>
                <w:sz w:val="20"/>
                <w:szCs w:val="20"/>
                <w:color w:val="auto"/>
              </w:rPr>
            </w:pPr>
            <w:r>
              <w:rPr>
                <w:rFonts w:ascii="Arial" w:cs="Arial" w:eastAsia="Arial" w:hAnsi="Arial"/>
                <w:sz w:val="18"/>
                <w:szCs w:val="18"/>
                <w:color w:val="4C4C4C"/>
              </w:rPr>
              <w:t>7,887,255</w:t>
            </w:r>
          </w:p>
        </w:tc>
        <w:tc>
          <w:tcPr>
            <w:tcW w:w="1760" w:type="dxa"/>
            <w:vAlign w:val="bottom"/>
          </w:tcPr>
          <w:p>
            <w:pPr>
              <w:jc w:val="right"/>
              <w:ind w:right="521"/>
              <w:spacing w:after="0"/>
              <w:rPr>
                <w:sz w:val="20"/>
                <w:szCs w:val="20"/>
                <w:color w:val="auto"/>
              </w:rPr>
            </w:pPr>
            <w:r>
              <w:rPr>
                <w:rFonts w:ascii="Arial" w:cs="Arial" w:eastAsia="Arial" w:hAnsi="Arial"/>
                <w:sz w:val="18"/>
                <w:szCs w:val="18"/>
                <w:color w:val="4C4C4C"/>
              </w:rPr>
              <w:t>$6.36</w:t>
            </w:r>
          </w:p>
        </w:tc>
        <w:tc>
          <w:tcPr>
            <w:tcW w:w="2240" w:type="dxa"/>
            <w:vAlign w:val="bottom"/>
          </w:tcPr>
          <w:p>
            <w:pPr>
              <w:jc w:val="right"/>
              <w:ind w:right="681"/>
              <w:spacing w:after="0"/>
              <w:rPr>
                <w:sz w:val="20"/>
                <w:szCs w:val="20"/>
                <w:color w:val="auto"/>
              </w:rPr>
            </w:pPr>
            <w:r>
              <w:rPr>
                <w:rFonts w:ascii="Arial" w:cs="Arial" w:eastAsia="Arial" w:hAnsi="Arial"/>
                <w:sz w:val="18"/>
                <w:szCs w:val="18"/>
                <w:color w:val="4C4C4C"/>
              </w:rPr>
              <w:t>3,864,144</w:t>
            </w:r>
          </w:p>
        </w:tc>
      </w:tr>
      <w:tr>
        <w:trPr>
          <w:trHeight w:val="37"/>
        </w:trPr>
        <w:tc>
          <w:tcPr>
            <w:tcW w:w="24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38"/>
        </w:trPr>
        <w:tc>
          <w:tcPr>
            <w:tcW w:w="2440" w:type="dxa"/>
            <w:vAlign w:val="bottom"/>
            <w:shd w:val="clear" w:color="auto" w:fill="BAE2F8"/>
          </w:tcPr>
          <w:p>
            <w:pPr>
              <w:ind w:left="20"/>
              <w:spacing w:after="0"/>
              <w:rPr>
                <w:sz w:val="20"/>
                <w:szCs w:val="20"/>
                <w:color w:val="auto"/>
              </w:rPr>
            </w:pPr>
            <w:r>
              <w:rPr>
                <w:rFonts w:ascii="Arial" w:cs="Arial" w:eastAsia="Arial" w:hAnsi="Arial"/>
                <w:sz w:val="18"/>
                <w:szCs w:val="18"/>
                <w:color w:val="4C4C4C"/>
              </w:rPr>
              <w:t>Equity compensation plans</w:t>
            </w:r>
          </w:p>
        </w:tc>
        <w:tc>
          <w:tcPr>
            <w:tcW w:w="1980" w:type="dxa"/>
            <w:vAlign w:val="bottom"/>
            <w:shd w:val="clear" w:color="auto" w:fill="BAE2F8"/>
          </w:tcPr>
          <w:p>
            <w:pPr>
              <w:spacing w:after="0"/>
              <w:rPr>
                <w:sz w:val="20"/>
                <w:szCs w:val="20"/>
                <w:color w:val="auto"/>
              </w:rPr>
            </w:pPr>
          </w:p>
        </w:tc>
        <w:tc>
          <w:tcPr>
            <w:tcW w:w="1760" w:type="dxa"/>
            <w:vAlign w:val="bottom"/>
            <w:shd w:val="clear" w:color="auto" w:fill="BAE2F8"/>
          </w:tcPr>
          <w:p>
            <w:pPr>
              <w:spacing w:after="0"/>
              <w:rPr>
                <w:sz w:val="20"/>
                <w:szCs w:val="20"/>
                <w:color w:val="auto"/>
              </w:rPr>
            </w:pPr>
          </w:p>
        </w:tc>
        <w:tc>
          <w:tcPr>
            <w:tcW w:w="2240" w:type="dxa"/>
            <w:vAlign w:val="bottom"/>
            <w:shd w:val="clear" w:color="auto" w:fill="BAE2F8"/>
          </w:tcPr>
          <w:p>
            <w:pPr>
              <w:spacing w:after="0"/>
              <w:rPr>
                <w:sz w:val="20"/>
                <w:szCs w:val="20"/>
                <w:color w:val="auto"/>
              </w:rPr>
            </w:pPr>
          </w:p>
        </w:tc>
      </w:tr>
      <w:tr>
        <w:trPr>
          <w:trHeight w:val="203"/>
        </w:trPr>
        <w:tc>
          <w:tcPr>
            <w:tcW w:w="2440" w:type="dxa"/>
            <w:vAlign w:val="bottom"/>
            <w:shd w:val="clear" w:color="auto" w:fill="BAE2F8"/>
          </w:tcPr>
          <w:p>
            <w:pPr>
              <w:ind w:left="20"/>
              <w:spacing w:after="0" w:line="202" w:lineRule="exact"/>
              <w:rPr>
                <w:sz w:val="20"/>
                <w:szCs w:val="20"/>
                <w:color w:val="auto"/>
              </w:rPr>
            </w:pPr>
            <w:r>
              <w:rPr>
                <w:rFonts w:ascii="Arial" w:cs="Arial" w:eastAsia="Arial" w:hAnsi="Arial"/>
                <w:sz w:val="18"/>
                <w:szCs w:val="18"/>
                <w:color w:val="4C4C4C"/>
              </w:rPr>
              <w:t>not approved by</w:t>
            </w:r>
          </w:p>
        </w:tc>
        <w:tc>
          <w:tcPr>
            <w:tcW w:w="1980" w:type="dxa"/>
            <w:vAlign w:val="bottom"/>
            <w:shd w:val="clear" w:color="auto" w:fill="BAE2F8"/>
          </w:tcPr>
          <w:p>
            <w:pPr>
              <w:spacing w:after="0"/>
              <w:rPr>
                <w:sz w:val="17"/>
                <w:szCs w:val="17"/>
                <w:color w:val="auto"/>
              </w:rPr>
            </w:pPr>
          </w:p>
        </w:tc>
        <w:tc>
          <w:tcPr>
            <w:tcW w:w="1760" w:type="dxa"/>
            <w:vAlign w:val="bottom"/>
            <w:shd w:val="clear" w:color="auto" w:fill="BAE2F8"/>
          </w:tcPr>
          <w:p>
            <w:pPr>
              <w:spacing w:after="0"/>
              <w:rPr>
                <w:sz w:val="17"/>
                <w:szCs w:val="17"/>
                <w:color w:val="auto"/>
              </w:rPr>
            </w:pPr>
          </w:p>
        </w:tc>
        <w:tc>
          <w:tcPr>
            <w:tcW w:w="2240" w:type="dxa"/>
            <w:vAlign w:val="bottom"/>
            <w:shd w:val="clear" w:color="auto" w:fill="BAE2F8"/>
          </w:tcPr>
          <w:p>
            <w:pPr>
              <w:spacing w:after="0"/>
              <w:rPr>
                <w:sz w:val="17"/>
                <w:szCs w:val="17"/>
                <w:color w:val="auto"/>
              </w:rPr>
            </w:pPr>
          </w:p>
        </w:tc>
      </w:tr>
      <w:tr>
        <w:trPr>
          <w:trHeight w:val="255"/>
        </w:trPr>
        <w:tc>
          <w:tcPr>
            <w:tcW w:w="2440" w:type="dxa"/>
            <w:vAlign w:val="bottom"/>
            <w:tcBorders>
              <w:bottom w:val="single" w:sz="8" w:color="BAE2F8"/>
            </w:tcBorders>
            <w:shd w:val="clear" w:color="auto" w:fill="BAE2F8"/>
          </w:tcPr>
          <w:p>
            <w:pPr>
              <w:ind w:left="20"/>
              <w:spacing w:after="0"/>
              <w:rPr>
                <w:sz w:val="20"/>
                <w:szCs w:val="20"/>
                <w:color w:val="auto"/>
              </w:rPr>
            </w:pPr>
            <w:r>
              <w:rPr>
                <w:rFonts w:ascii="Arial" w:cs="Arial" w:eastAsia="Arial" w:hAnsi="Arial"/>
                <w:sz w:val="18"/>
                <w:szCs w:val="18"/>
                <w:color w:val="4C4C4C"/>
              </w:rPr>
              <w:t>stockholders(3)</w:t>
            </w:r>
          </w:p>
        </w:tc>
        <w:tc>
          <w:tcPr>
            <w:tcW w:w="1980" w:type="dxa"/>
            <w:vAlign w:val="bottom"/>
            <w:tcBorders>
              <w:bottom w:val="single" w:sz="8" w:color="BAE2F8"/>
            </w:tcBorders>
            <w:shd w:val="clear" w:color="auto" w:fill="BAE2F8"/>
          </w:tcPr>
          <w:p>
            <w:pPr>
              <w:jc w:val="right"/>
              <w:ind w:right="421"/>
              <w:spacing w:after="0"/>
              <w:rPr>
                <w:sz w:val="20"/>
                <w:szCs w:val="20"/>
                <w:color w:val="auto"/>
              </w:rPr>
            </w:pPr>
            <w:r>
              <w:rPr>
                <w:rFonts w:ascii="Arial" w:cs="Arial" w:eastAsia="Arial" w:hAnsi="Arial"/>
                <w:sz w:val="18"/>
                <w:szCs w:val="18"/>
                <w:color w:val="4C4C4C"/>
              </w:rPr>
              <w:t>2,582,010</w:t>
            </w:r>
          </w:p>
        </w:tc>
        <w:tc>
          <w:tcPr>
            <w:tcW w:w="1760" w:type="dxa"/>
            <w:vAlign w:val="bottom"/>
            <w:tcBorders>
              <w:bottom w:val="single" w:sz="8" w:color="BAE2F8"/>
            </w:tcBorders>
            <w:shd w:val="clear" w:color="auto" w:fill="BAE2F8"/>
          </w:tcPr>
          <w:p>
            <w:pPr>
              <w:jc w:val="right"/>
              <w:ind w:right="541"/>
              <w:spacing w:after="0"/>
              <w:rPr>
                <w:sz w:val="20"/>
                <w:szCs w:val="20"/>
                <w:color w:val="auto"/>
              </w:rPr>
            </w:pPr>
            <w:r>
              <w:rPr>
                <w:rFonts w:ascii="Arial" w:cs="Arial" w:eastAsia="Arial" w:hAnsi="Arial"/>
                <w:sz w:val="18"/>
                <w:szCs w:val="18"/>
                <w:color w:val="4C4C4C"/>
              </w:rPr>
              <w:t>0.48</w:t>
            </w:r>
          </w:p>
        </w:tc>
        <w:tc>
          <w:tcPr>
            <w:tcW w:w="2240" w:type="dxa"/>
            <w:vAlign w:val="bottom"/>
            <w:tcBorders>
              <w:bottom w:val="single" w:sz="8" w:color="BAE2F8"/>
            </w:tcBorders>
            <w:shd w:val="clear" w:color="auto" w:fill="BAE2F8"/>
          </w:tcPr>
          <w:p>
            <w:pPr>
              <w:jc w:val="right"/>
              <w:ind w:right="761"/>
              <w:spacing w:after="0"/>
              <w:rPr>
                <w:sz w:val="20"/>
                <w:szCs w:val="20"/>
                <w:color w:val="auto"/>
              </w:rPr>
            </w:pPr>
            <w:r>
              <w:rPr>
                <w:rFonts w:ascii="Arial" w:cs="Arial" w:eastAsia="Arial" w:hAnsi="Arial"/>
                <w:sz w:val="18"/>
                <w:szCs w:val="18"/>
                <w:color w:val="4C4C4C"/>
              </w:rPr>
              <w:t>—</w:t>
            </w:r>
          </w:p>
        </w:tc>
      </w:tr>
      <w:tr>
        <w:trPr>
          <w:trHeight w:val="274"/>
        </w:trPr>
        <w:tc>
          <w:tcPr>
            <w:tcW w:w="2440" w:type="dxa"/>
            <w:vAlign w:val="bottom"/>
          </w:tcPr>
          <w:p>
            <w:pPr>
              <w:ind w:left="20"/>
              <w:spacing w:after="0"/>
              <w:rPr>
                <w:sz w:val="20"/>
                <w:szCs w:val="20"/>
                <w:color w:val="auto"/>
              </w:rPr>
            </w:pPr>
            <w:r>
              <w:rPr>
                <w:rFonts w:ascii="Arial" w:cs="Arial" w:eastAsia="Arial" w:hAnsi="Arial"/>
                <w:sz w:val="18"/>
                <w:szCs w:val="18"/>
                <w:color w:val="4C4C4C"/>
              </w:rPr>
              <w:t>Totals</w:t>
            </w:r>
          </w:p>
        </w:tc>
        <w:tc>
          <w:tcPr>
            <w:tcW w:w="1980" w:type="dxa"/>
            <w:vAlign w:val="bottom"/>
          </w:tcPr>
          <w:p>
            <w:pPr>
              <w:jc w:val="right"/>
              <w:ind w:right="401"/>
              <w:spacing w:after="0"/>
              <w:rPr>
                <w:sz w:val="20"/>
                <w:szCs w:val="20"/>
                <w:color w:val="auto"/>
              </w:rPr>
            </w:pPr>
            <w:r>
              <w:rPr>
                <w:rFonts w:ascii="Arial" w:cs="Arial" w:eastAsia="Arial" w:hAnsi="Arial"/>
                <w:sz w:val="18"/>
                <w:szCs w:val="18"/>
                <w:color w:val="4C4C4C"/>
              </w:rPr>
              <w:t>10,469,265</w:t>
            </w:r>
          </w:p>
        </w:tc>
        <w:tc>
          <w:tcPr>
            <w:tcW w:w="1760" w:type="dxa"/>
            <w:vAlign w:val="bottom"/>
          </w:tcPr>
          <w:p>
            <w:pPr>
              <w:jc w:val="right"/>
              <w:ind w:right="521"/>
              <w:spacing w:after="0"/>
              <w:rPr>
                <w:sz w:val="20"/>
                <w:szCs w:val="20"/>
                <w:color w:val="auto"/>
              </w:rPr>
            </w:pPr>
            <w:r>
              <w:rPr>
                <w:rFonts w:ascii="Arial" w:cs="Arial" w:eastAsia="Arial" w:hAnsi="Arial"/>
                <w:sz w:val="18"/>
                <w:szCs w:val="18"/>
                <w:color w:val="4C4C4C"/>
              </w:rPr>
              <w:t>$4.91</w:t>
            </w:r>
          </w:p>
        </w:tc>
        <w:tc>
          <w:tcPr>
            <w:tcW w:w="2240" w:type="dxa"/>
            <w:vAlign w:val="bottom"/>
          </w:tcPr>
          <w:p>
            <w:pPr>
              <w:jc w:val="right"/>
              <w:ind w:right="681"/>
              <w:spacing w:after="0"/>
              <w:rPr>
                <w:sz w:val="20"/>
                <w:szCs w:val="20"/>
                <w:color w:val="auto"/>
              </w:rPr>
            </w:pPr>
            <w:r>
              <w:rPr>
                <w:rFonts w:ascii="Arial" w:cs="Arial" w:eastAsia="Arial" w:hAnsi="Arial"/>
                <w:sz w:val="18"/>
                <w:szCs w:val="18"/>
                <w:color w:val="4C4C4C"/>
              </w:rPr>
              <w:t>3,864,144</w:t>
            </w:r>
          </w:p>
        </w:tc>
      </w:tr>
    </w:tbl>
    <w:p>
      <w:pPr>
        <w:spacing w:after="0" w:line="81" w:lineRule="exact"/>
        <w:rPr>
          <w:sz w:val="20"/>
          <w:szCs w:val="20"/>
          <w:color w:val="auto"/>
        </w:rPr>
      </w:pPr>
    </w:p>
    <w:p>
      <w:pPr>
        <w:jc w:val="both"/>
        <w:ind w:left="640" w:right="299" w:hanging="348"/>
        <w:spacing w:after="0" w:line="263" w:lineRule="auto"/>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Consists of shares of Class A common stock available at December 31, 2021 for awards under our 2016 Omnibus Incentive Plan. Excludes securities reflected in column (a). Under the terms of the 2016 Omnibus Incentive Plan, 2,347,869 shares became available for grant effective as of January 1, 2022.</w:t>
      </w:r>
    </w:p>
    <w:p>
      <w:pPr>
        <w:spacing w:after="0" w:line="10" w:lineRule="exact"/>
        <w:rPr>
          <w:rFonts w:ascii="Arial" w:cs="Arial" w:eastAsia="Arial" w:hAnsi="Arial"/>
          <w:sz w:val="14"/>
          <w:szCs w:val="14"/>
          <w:color w:val="auto"/>
        </w:rPr>
      </w:pPr>
    </w:p>
    <w:p>
      <w:pPr>
        <w:ind w:left="640" w:hanging="348"/>
        <w:spacing w:after="0"/>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Consists of awards issued or issuable under our 2016 Omnibus Incentive Plan and 1998 Stock Option Plan.</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Consists of non-qualified stock option agreements granted between 2007 and 2015 outside of any equity incentive plan.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CEO Pay Ratio</w:t>
      </w:r>
    </w:p>
    <w:p>
      <w:pPr>
        <w:spacing w:after="0" w:line="189"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As required by applicable SEC rules, we are providing the following information about the relationship of the annual total compensation of our median compensated employee and the annual total compensation of David Wang, our chief executive officer as of December 31, 2021, or our CEO. For 2021, our last completed fiscal year:</w:t>
      </w:r>
    </w:p>
    <w:p>
      <w:pPr>
        <w:spacing w:after="0" w:line="66" w:lineRule="exact"/>
        <w:rPr>
          <w:sz w:val="20"/>
          <w:szCs w:val="20"/>
          <w:color w:val="auto"/>
        </w:rPr>
      </w:pPr>
    </w:p>
    <w:p>
      <w:pPr>
        <w:jc w:val="both"/>
        <w:ind w:left="640" w:right="299" w:hanging="348"/>
        <w:spacing w:after="0" w:line="244" w:lineRule="auto"/>
        <w:tabs>
          <w:tab w:leader="none" w:pos="640" w:val="left"/>
        </w:tabs>
        <w:numPr>
          <w:ilvl w:val="0"/>
          <w:numId w:val="49"/>
        </w:numPr>
        <w:rPr>
          <w:rFonts w:ascii="Arial" w:cs="Arial" w:eastAsia="Arial" w:hAnsi="Arial"/>
          <w:sz w:val="18"/>
          <w:szCs w:val="18"/>
          <w:color w:val="4C4C4C"/>
        </w:rPr>
      </w:pPr>
      <w:r>
        <w:rPr>
          <w:rFonts w:ascii="Arial" w:cs="Arial" w:eastAsia="Arial" w:hAnsi="Arial"/>
          <w:sz w:val="18"/>
          <w:szCs w:val="18"/>
          <w:color w:val="4C4C4C"/>
        </w:rPr>
        <w:t>As permitted by Item 402(u) of Regulation S-K of the SEC, we are using the same median employee as we used in 2020 as there was no material change in 2021 to our employee population, our compensation arrangements or our median employee’s circumstances that we believe would have significantly impacted our pay ratio disclosure. The annual total compensation of our median compensated employee (other than our CEO) in 2020 was $24,029.</w:t>
      </w:r>
    </w:p>
    <w:p>
      <w:pPr>
        <w:spacing w:after="0" w:line="68" w:lineRule="exact"/>
        <w:rPr>
          <w:rFonts w:ascii="Arial" w:cs="Arial" w:eastAsia="Arial" w:hAnsi="Arial"/>
          <w:sz w:val="18"/>
          <w:szCs w:val="18"/>
          <w:color w:val="4C4C4C"/>
        </w:rPr>
      </w:pPr>
    </w:p>
    <w:p>
      <w:pPr>
        <w:jc w:val="both"/>
        <w:ind w:left="640" w:right="299" w:hanging="348"/>
        <w:spacing w:after="0" w:line="253" w:lineRule="auto"/>
        <w:tabs>
          <w:tab w:leader="none" w:pos="640" w:val="left"/>
        </w:tabs>
        <w:numPr>
          <w:ilvl w:val="0"/>
          <w:numId w:val="49"/>
        </w:numPr>
        <w:rPr>
          <w:rFonts w:ascii="Arial" w:cs="Arial" w:eastAsia="Arial" w:hAnsi="Arial"/>
          <w:sz w:val="18"/>
          <w:szCs w:val="18"/>
          <w:color w:val="4C4C4C"/>
        </w:rPr>
      </w:pPr>
      <w:r>
        <w:rPr>
          <w:rFonts w:ascii="Arial" w:cs="Arial" w:eastAsia="Arial" w:hAnsi="Arial"/>
          <w:sz w:val="18"/>
          <w:szCs w:val="18"/>
          <w:color w:val="4C4C4C"/>
        </w:rPr>
        <w:t>For our CEO’s annual total compensation, we used the amount reported in the “Total” column of the table included under “—Summary Compensation Table” above. The annual total compensation of our CEO, for the purposes of this disclosure, was $398,876.</w:t>
      </w:r>
    </w:p>
    <w:p>
      <w:pPr>
        <w:spacing w:after="0" w:line="128" w:lineRule="exact"/>
        <w:rPr>
          <w:sz w:val="20"/>
          <w:szCs w:val="20"/>
          <w:color w:val="auto"/>
        </w:rPr>
      </w:pPr>
    </w:p>
    <w:p>
      <w:pPr>
        <w:ind w:left="300" w:right="319"/>
        <w:spacing w:after="0" w:line="271" w:lineRule="auto"/>
        <w:rPr>
          <w:sz w:val="20"/>
          <w:szCs w:val="20"/>
          <w:color w:val="auto"/>
        </w:rPr>
      </w:pPr>
      <w:r>
        <w:rPr>
          <w:rFonts w:ascii="Arial" w:cs="Arial" w:eastAsia="Arial" w:hAnsi="Arial"/>
          <w:sz w:val="18"/>
          <w:szCs w:val="18"/>
          <w:color w:val="4C4C4C"/>
        </w:rPr>
        <w:t>Based on this information, for 2021 the ratio of the annual total compensation of our CEO to the annual total compensation of our median compensated employee was 16.6 to 1.</w:t>
      </w:r>
    </w:p>
    <w:p>
      <w:pPr>
        <w:spacing w:after="0" w:line="113" w:lineRule="exact"/>
        <w:rPr>
          <w:sz w:val="20"/>
          <w:szCs w:val="20"/>
          <w:color w:val="auto"/>
        </w:rPr>
      </w:pPr>
    </w:p>
    <w:p>
      <w:pPr>
        <w:ind w:left="300" w:right="299"/>
        <w:spacing w:after="0" w:line="271" w:lineRule="auto"/>
        <w:rPr>
          <w:sz w:val="20"/>
          <w:szCs w:val="20"/>
          <w:color w:val="auto"/>
        </w:rPr>
      </w:pPr>
      <w:r>
        <w:rPr>
          <w:rFonts w:ascii="Arial" w:cs="Arial" w:eastAsia="Arial" w:hAnsi="Arial"/>
          <w:sz w:val="18"/>
          <w:szCs w:val="18"/>
          <w:color w:val="4C4C4C"/>
        </w:rPr>
        <w:t>We took the following steps to identify, and to determine the annual total compensation of, our median compensated employee for 2020.</w:t>
      </w:r>
    </w:p>
    <w:p>
      <w:pPr>
        <w:spacing w:after="0" w:line="127" w:lineRule="exact"/>
        <w:rPr>
          <w:sz w:val="20"/>
          <w:szCs w:val="20"/>
          <w:color w:val="auto"/>
        </w:rPr>
      </w:pPr>
    </w:p>
    <w:p>
      <w:pPr>
        <w:jc w:val="both"/>
        <w:ind w:left="640" w:right="299" w:hanging="348"/>
        <w:spacing w:after="0" w:line="253" w:lineRule="auto"/>
        <w:tabs>
          <w:tab w:leader="none" w:pos="640" w:val="left"/>
        </w:tabs>
        <w:numPr>
          <w:ilvl w:val="0"/>
          <w:numId w:val="50"/>
        </w:numPr>
        <w:rPr>
          <w:rFonts w:ascii="Arial" w:cs="Arial" w:eastAsia="Arial" w:hAnsi="Arial"/>
          <w:sz w:val="18"/>
          <w:szCs w:val="18"/>
          <w:color w:val="4C4C4C"/>
        </w:rPr>
      </w:pPr>
      <w:r>
        <w:rPr>
          <w:rFonts w:ascii="Arial" w:cs="Arial" w:eastAsia="Arial" w:hAnsi="Arial"/>
          <w:sz w:val="18"/>
          <w:szCs w:val="18"/>
          <w:color w:val="4C4C4C"/>
        </w:rPr>
        <w:t>We determined that, as of December 31, 2020, our employee population consisted of 543 individuals. This population consisted of our full-time, part-time and temporary employees employed with us as of the determination date.</w:t>
      </w:r>
    </w:p>
    <w:p>
      <w:pPr>
        <w:spacing w:after="0" w:line="128" w:lineRule="exact"/>
        <w:rPr>
          <w:rFonts w:ascii="Arial" w:cs="Arial" w:eastAsia="Arial" w:hAnsi="Arial"/>
          <w:sz w:val="18"/>
          <w:szCs w:val="18"/>
          <w:color w:val="4C4C4C"/>
        </w:rPr>
      </w:pPr>
    </w:p>
    <w:p>
      <w:pPr>
        <w:jc w:val="both"/>
        <w:ind w:left="640" w:right="299" w:hanging="348"/>
        <w:spacing w:after="0" w:line="242" w:lineRule="auto"/>
        <w:tabs>
          <w:tab w:leader="none" w:pos="640" w:val="left"/>
        </w:tabs>
        <w:numPr>
          <w:ilvl w:val="0"/>
          <w:numId w:val="50"/>
        </w:numPr>
        <w:rPr>
          <w:rFonts w:ascii="Arial" w:cs="Arial" w:eastAsia="Arial" w:hAnsi="Arial"/>
          <w:sz w:val="18"/>
          <w:szCs w:val="18"/>
          <w:color w:val="4C4C4C"/>
        </w:rPr>
      </w:pPr>
      <w:r>
        <w:rPr>
          <w:rFonts w:ascii="Arial" w:cs="Arial" w:eastAsia="Arial" w:hAnsi="Arial"/>
          <w:sz w:val="18"/>
          <w:szCs w:val="18"/>
          <w:color w:val="4C4C4C"/>
        </w:rPr>
        <w:t>To identify the “median employee” from our employee population, we aggregated for each applicable employee, other than our CEO, (a) annual base salary (or hourly rate multiplied by estimated work schedule, for hourly employees), (b) the bonus amount earned for 2020, which was paid out in early 2021, and (c) the grant date fair value of equity awards granted in 2020. Once aggregated, we ranked this compensation measure for our employees from lowest to highest and selected the median employee.</w:t>
      </w:r>
    </w:p>
    <w:p>
      <w:pPr>
        <w:spacing w:after="0" w:line="138" w:lineRule="exact"/>
        <w:rPr>
          <w:rFonts w:ascii="Arial" w:cs="Arial" w:eastAsia="Arial" w:hAnsi="Arial"/>
          <w:sz w:val="18"/>
          <w:szCs w:val="18"/>
          <w:color w:val="4C4C4C"/>
        </w:rPr>
      </w:pPr>
    </w:p>
    <w:p>
      <w:pPr>
        <w:jc w:val="both"/>
        <w:ind w:left="640" w:right="299" w:hanging="348"/>
        <w:spacing w:after="0" w:line="253" w:lineRule="auto"/>
        <w:tabs>
          <w:tab w:leader="none" w:pos="640" w:val="left"/>
        </w:tabs>
        <w:numPr>
          <w:ilvl w:val="0"/>
          <w:numId w:val="50"/>
        </w:numPr>
        <w:rPr>
          <w:rFonts w:ascii="Arial" w:cs="Arial" w:eastAsia="Arial" w:hAnsi="Arial"/>
          <w:sz w:val="18"/>
          <w:szCs w:val="18"/>
          <w:color w:val="4C4C4C"/>
        </w:rPr>
      </w:pPr>
      <w:r>
        <w:rPr>
          <w:rFonts w:ascii="Arial" w:cs="Arial" w:eastAsia="Arial" w:hAnsi="Arial"/>
          <w:sz w:val="18"/>
          <w:szCs w:val="18"/>
          <w:color w:val="4C4C4C"/>
        </w:rPr>
        <w:t>For the annual total compensation of our median employee, we identified and calculated the elements of that employee’s compensation for 2020 in accordance with the requirements of Item 402(c)(2)(x) of Regulation S-K of the SEC, resulting in annual total compensation of $ 24,029.</w:t>
      </w:r>
    </w:p>
    <w:p>
      <w:pPr>
        <w:spacing w:after="0" w:line="14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The pay ratio reported above is a reasonable estimate calculated in a manner consistent with SEC rules based on our internal records and the methodology described above. SEC rules for identifying the median compensated employee and calculating the pay ratio based on that employee’s annual total compensation allow companies to adopt a variety of methodologies, to apply certain exclusions, and to make reasonable estimates and assumptions reflecting their employee populations and compensation practices. The pay ratios reported by other companies may not be comparable to the pay ratio reported above, as those companies have different employee populations and compensation practices and may utilize different methodologies, exclusions, estimates and assumptions in calculating their pay ratios.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Compensation Discussion and Analysis</w:t>
      </w:r>
    </w:p>
    <w:p>
      <w:pPr>
        <w:spacing w:after="0" w:line="339"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4C4C4C"/>
        </w:rPr>
        <w:t>This Compensation Discussion and Analysis explains our executive compensation program as it relates to our NEOs, whose compensation information is presented in the following tables and discussion in accordance with SEC rules: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Fiscal Year 2021 NEOs</w:t>
      </w:r>
    </w:p>
    <w:p>
      <w:pPr>
        <w:spacing w:after="0" w:line="86" w:lineRule="exact"/>
        <w:rPr>
          <w:sz w:val="20"/>
          <w:szCs w:val="20"/>
          <w:color w:val="auto"/>
        </w:rPr>
      </w:pPr>
    </w:p>
    <w:tbl>
      <w:tblPr>
        <w:tblLayout w:type="fixed"/>
        <w:tblInd w:w="300" w:type="dxa"/>
        <w:tblCellMar>
          <w:top w:w="0" w:type="dxa"/>
          <w:left w:w="0" w:type="dxa"/>
          <w:bottom w:w="0" w:type="dxa"/>
          <w:right w:w="0" w:type="dxa"/>
        </w:tblCellMar>
      </w:tblPr>
      <w:tr>
        <w:trPr>
          <w:trHeight w:val="318"/>
        </w:trPr>
        <w:tc>
          <w:tcPr>
            <w:tcW w:w="2220" w:type="dxa"/>
            <w:vAlign w:val="bottom"/>
            <w:tcBorders>
              <w:bottom w:val="single" w:sz="8" w:color="0D3F64"/>
            </w:tcBorders>
            <w:shd w:val="clear" w:color="auto" w:fill="0D3F64"/>
          </w:tcPr>
          <w:p>
            <w:pPr>
              <w:ind w:left="40"/>
              <w:spacing w:after="0"/>
              <w:rPr>
                <w:sz w:val="20"/>
                <w:szCs w:val="20"/>
                <w:color w:val="auto"/>
              </w:rPr>
            </w:pPr>
            <w:r>
              <w:rPr>
                <w:rFonts w:ascii="Arial" w:cs="Arial" w:eastAsia="Arial" w:hAnsi="Arial"/>
                <w:sz w:val="14"/>
                <w:szCs w:val="14"/>
                <w:b w:val="1"/>
                <w:bCs w:val="1"/>
                <w:color w:val="FFFFFF"/>
              </w:rPr>
              <w:t>Named Executive Officer</w:t>
            </w:r>
          </w:p>
        </w:tc>
        <w:tc>
          <w:tcPr>
            <w:tcW w:w="6200" w:type="dxa"/>
            <w:vAlign w:val="bottom"/>
            <w:tcBorders>
              <w:bottom w:val="single" w:sz="8" w:color="0D3F64"/>
            </w:tcBorders>
            <w:shd w:val="clear" w:color="auto" w:fill="0D3F64"/>
          </w:tcPr>
          <w:p>
            <w:pPr>
              <w:ind w:left="480"/>
              <w:spacing w:after="0"/>
              <w:rPr>
                <w:sz w:val="20"/>
                <w:szCs w:val="20"/>
                <w:color w:val="auto"/>
              </w:rPr>
            </w:pPr>
            <w:r>
              <w:rPr>
                <w:rFonts w:ascii="Arial" w:cs="Arial" w:eastAsia="Arial" w:hAnsi="Arial"/>
                <w:sz w:val="14"/>
                <w:szCs w:val="14"/>
                <w:b w:val="1"/>
                <w:bCs w:val="1"/>
                <w:color w:val="FFFFFF"/>
              </w:rPr>
              <w:t>Position(s)</w:t>
            </w:r>
          </w:p>
        </w:tc>
      </w:tr>
      <w:tr>
        <w:trPr>
          <w:trHeight w:val="274"/>
        </w:trPr>
        <w:tc>
          <w:tcPr>
            <w:tcW w:w="2220" w:type="dxa"/>
            <w:vAlign w:val="bottom"/>
          </w:tcPr>
          <w:p>
            <w:pPr>
              <w:ind w:left="40"/>
              <w:spacing w:after="0"/>
              <w:rPr>
                <w:sz w:val="20"/>
                <w:szCs w:val="20"/>
                <w:color w:val="auto"/>
              </w:rPr>
            </w:pPr>
            <w:r>
              <w:rPr>
                <w:rFonts w:ascii="Arial" w:cs="Arial" w:eastAsia="Arial" w:hAnsi="Arial"/>
                <w:sz w:val="18"/>
                <w:szCs w:val="18"/>
                <w:color w:val="4C4C4C"/>
              </w:rPr>
              <w:t>David H. Wang</w:t>
            </w:r>
          </w:p>
        </w:tc>
        <w:tc>
          <w:tcPr>
            <w:tcW w:w="6200" w:type="dxa"/>
            <w:vAlign w:val="bottom"/>
          </w:tcPr>
          <w:p>
            <w:pPr>
              <w:ind w:left="480"/>
              <w:spacing w:after="0"/>
              <w:rPr>
                <w:sz w:val="20"/>
                <w:szCs w:val="20"/>
                <w:color w:val="auto"/>
              </w:rPr>
            </w:pPr>
            <w:r>
              <w:rPr>
                <w:rFonts w:ascii="Arial" w:cs="Arial" w:eastAsia="Arial" w:hAnsi="Arial"/>
                <w:sz w:val="18"/>
                <w:szCs w:val="18"/>
                <w:color w:val="4C4C4C"/>
              </w:rPr>
              <w:t>Chief Executive Officer and President</w:t>
            </w:r>
          </w:p>
        </w:tc>
      </w:tr>
      <w:tr>
        <w:trPr>
          <w:trHeight w:val="36"/>
        </w:trPr>
        <w:tc>
          <w:tcPr>
            <w:tcW w:w="2220" w:type="dxa"/>
            <w:vAlign w:val="bottom"/>
          </w:tcPr>
          <w:p>
            <w:pPr>
              <w:spacing w:after="0"/>
              <w:rPr>
                <w:sz w:val="3"/>
                <w:szCs w:val="3"/>
                <w:color w:val="auto"/>
              </w:rPr>
            </w:pPr>
          </w:p>
        </w:tc>
        <w:tc>
          <w:tcPr>
            <w:tcW w:w="6200" w:type="dxa"/>
            <w:vAlign w:val="bottom"/>
          </w:tcPr>
          <w:p>
            <w:pPr>
              <w:spacing w:after="0"/>
              <w:rPr>
                <w:sz w:val="3"/>
                <w:szCs w:val="3"/>
                <w:color w:val="auto"/>
              </w:rPr>
            </w:pPr>
          </w:p>
        </w:tc>
      </w:tr>
      <w:tr>
        <w:trPr>
          <w:trHeight w:val="291"/>
        </w:trPr>
        <w:tc>
          <w:tcPr>
            <w:tcW w:w="2220" w:type="dxa"/>
            <w:vAlign w:val="bottom"/>
            <w:tcBorders>
              <w:bottom w:val="single" w:sz="8" w:color="BAE2F8"/>
            </w:tcBorders>
            <w:shd w:val="clear" w:color="auto" w:fill="BAE2F8"/>
          </w:tcPr>
          <w:p>
            <w:pPr>
              <w:ind w:left="40"/>
              <w:spacing w:after="0"/>
              <w:rPr>
                <w:sz w:val="20"/>
                <w:szCs w:val="20"/>
                <w:color w:val="auto"/>
              </w:rPr>
            </w:pPr>
            <w:r>
              <w:rPr>
                <w:rFonts w:ascii="Arial" w:cs="Arial" w:eastAsia="Arial" w:hAnsi="Arial"/>
                <w:sz w:val="18"/>
                <w:szCs w:val="18"/>
                <w:color w:val="4C4C4C"/>
              </w:rPr>
              <w:t>Mark McKechnie</w:t>
            </w:r>
          </w:p>
        </w:tc>
        <w:tc>
          <w:tcPr>
            <w:tcW w:w="6200" w:type="dxa"/>
            <w:vAlign w:val="bottom"/>
            <w:tcBorders>
              <w:bottom w:val="single" w:sz="8" w:color="BAE2F8"/>
            </w:tcBorders>
            <w:shd w:val="clear" w:color="auto" w:fill="BAE2F8"/>
          </w:tcPr>
          <w:p>
            <w:pPr>
              <w:ind w:left="480"/>
              <w:spacing w:after="0"/>
              <w:rPr>
                <w:sz w:val="20"/>
                <w:szCs w:val="20"/>
                <w:color w:val="auto"/>
              </w:rPr>
            </w:pPr>
            <w:r>
              <w:rPr>
                <w:rFonts w:ascii="Arial" w:cs="Arial" w:eastAsia="Arial" w:hAnsi="Arial"/>
                <w:sz w:val="18"/>
                <w:szCs w:val="18"/>
                <w:color w:val="4C4C4C"/>
              </w:rPr>
              <w:t>Chief Financial Officer and Treasurer</w:t>
            </w:r>
          </w:p>
        </w:tc>
      </w:tr>
      <w:tr>
        <w:trPr>
          <w:trHeight w:val="290"/>
        </w:trPr>
        <w:tc>
          <w:tcPr>
            <w:tcW w:w="2220" w:type="dxa"/>
            <w:vAlign w:val="bottom"/>
          </w:tcPr>
          <w:p>
            <w:pPr>
              <w:ind w:left="40"/>
              <w:spacing w:after="0"/>
              <w:rPr>
                <w:sz w:val="20"/>
                <w:szCs w:val="20"/>
                <w:color w:val="auto"/>
              </w:rPr>
            </w:pPr>
            <w:r>
              <w:rPr>
                <w:rFonts w:ascii="Arial" w:cs="Arial" w:eastAsia="Arial" w:hAnsi="Arial"/>
                <w:sz w:val="18"/>
                <w:szCs w:val="18"/>
                <w:color w:val="4C4C4C"/>
              </w:rPr>
              <w:t>Jian Wang</w:t>
            </w:r>
          </w:p>
        </w:tc>
        <w:tc>
          <w:tcPr>
            <w:tcW w:w="6200" w:type="dxa"/>
            <w:vAlign w:val="bottom"/>
          </w:tcPr>
          <w:p>
            <w:pPr>
              <w:ind w:left="480"/>
              <w:spacing w:after="0"/>
              <w:rPr>
                <w:sz w:val="20"/>
                <w:szCs w:val="20"/>
                <w:color w:val="auto"/>
              </w:rPr>
            </w:pPr>
            <w:r>
              <w:rPr>
                <w:rFonts w:ascii="Arial" w:cs="Arial" w:eastAsia="Arial" w:hAnsi="Arial"/>
                <w:sz w:val="18"/>
                <w:szCs w:val="18"/>
                <w:color w:val="4C4C4C"/>
              </w:rPr>
              <w:t>Chief Executive Oﬃcer and President, ACM Research (Shanghai), Inc.</w:t>
            </w:r>
          </w:p>
        </w:tc>
      </w:tr>
      <w:tr>
        <w:trPr>
          <w:trHeight w:val="20"/>
        </w:trPr>
        <w:tc>
          <w:tcPr>
            <w:tcW w:w="22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291"/>
        </w:trPr>
        <w:tc>
          <w:tcPr>
            <w:tcW w:w="2220" w:type="dxa"/>
            <w:vAlign w:val="bottom"/>
            <w:tcBorders>
              <w:bottom w:val="single" w:sz="8" w:color="BAE2F8"/>
            </w:tcBorders>
            <w:shd w:val="clear" w:color="auto" w:fill="BAE2F8"/>
          </w:tcPr>
          <w:p>
            <w:pPr>
              <w:ind w:left="40"/>
              <w:spacing w:after="0"/>
              <w:rPr>
                <w:sz w:val="20"/>
                <w:szCs w:val="20"/>
                <w:color w:val="auto"/>
              </w:rPr>
            </w:pPr>
            <w:r>
              <w:rPr>
                <w:rFonts w:ascii="Arial" w:cs="Arial" w:eastAsia="Arial" w:hAnsi="Arial"/>
                <w:sz w:val="18"/>
                <w:szCs w:val="18"/>
                <w:color w:val="4C4C4C"/>
              </w:rPr>
              <w:t>Lisa Feng</w:t>
            </w:r>
          </w:p>
        </w:tc>
        <w:tc>
          <w:tcPr>
            <w:tcW w:w="6200" w:type="dxa"/>
            <w:vAlign w:val="bottom"/>
            <w:tcBorders>
              <w:bottom w:val="single" w:sz="8" w:color="BAE2F8"/>
            </w:tcBorders>
            <w:shd w:val="clear" w:color="auto" w:fill="BAE2F8"/>
          </w:tcPr>
          <w:p>
            <w:pPr>
              <w:ind w:left="480"/>
              <w:spacing w:after="0"/>
              <w:rPr>
                <w:sz w:val="20"/>
                <w:szCs w:val="20"/>
                <w:color w:val="auto"/>
              </w:rPr>
            </w:pPr>
            <w:r>
              <w:rPr>
                <w:rFonts w:ascii="Arial" w:cs="Arial" w:eastAsia="Arial" w:hAnsi="Arial"/>
                <w:sz w:val="18"/>
                <w:szCs w:val="18"/>
                <w:color w:val="4C4C4C"/>
              </w:rPr>
              <w:t>Chief Financial Officer, ACM Research (Shanghai), Inc.</w:t>
            </w:r>
          </w:p>
        </w:tc>
      </w:tr>
      <w:tr>
        <w:trPr>
          <w:trHeight w:val="274"/>
        </w:trPr>
        <w:tc>
          <w:tcPr>
            <w:tcW w:w="2220" w:type="dxa"/>
            <w:vAlign w:val="bottom"/>
          </w:tcPr>
          <w:p>
            <w:pPr>
              <w:ind w:left="40"/>
              <w:spacing w:after="0"/>
              <w:rPr>
                <w:sz w:val="20"/>
                <w:szCs w:val="20"/>
                <w:color w:val="auto"/>
              </w:rPr>
            </w:pPr>
            <w:r>
              <w:rPr>
                <w:rFonts w:ascii="Arial" w:cs="Arial" w:eastAsia="Arial" w:hAnsi="Arial"/>
                <w:sz w:val="18"/>
                <w:szCs w:val="18"/>
                <w:color w:val="4C4C4C"/>
              </w:rPr>
              <w:t>Fuping Chen</w:t>
            </w:r>
          </w:p>
        </w:tc>
        <w:tc>
          <w:tcPr>
            <w:tcW w:w="6200" w:type="dxa"/>
            <w:vAlign w:val="bottom"/>
          </w:tcPr>
          <w:p>
            <w:pPr>
              <w:ind w:left="480"/>
              <w:spacing w:after="0"/>
              <w:rPr>
                <w:sz w:val="20"/>
                <w:szCs w:val="20"/>
                <w:color w:val="auto"/>
              </w:rPr>
            </w:pPr>
            <w:r>
              <w:rPr>
                <w:rFonts w:ascii="Arial" w:cs="Arial" w:eastAsia="Arial" w:hAnsi="Arial"/>
                <w:sz w:val="18"/>
                <w:szCs w:val="18"/>
                <w:color w:val="4C4C4C"/>
              </w:rPr>
              <w:t>Vice President, Sales—China, ACM Research (Shanghai), Inc.</w:t>
            </w:r>
          </w:p>
        </w:tc>
      </w:tr>
    </w:tbl>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We are committed to sound NEO compensation policies and practices, as follows:</w:t>
      </w:r>
    </w:p>
    <w:p>
      <w:pPr>
        <w:spacing w:after="0" w:line="104" w:lineRule="exact"/>
        <w:rPr>
          <w:sz w:val="20"/>
          <w:szCs w:val="20"/>
          <w:color w:val="auto"/>
        </w:rPr>
      </w:pPr>
    </w:p>
    <w:p>
      <w:pPr>
        <w:ind w:left="640" w:hanging="348"/>
        <w:spacing w:after="0"/>
        <w:tabs>
          <w:tab w:leader="none" w:pos="640" w:val="left"/>
        </w:tabs>
        <w:numPr>
          <w:ilvl w:val="0"/>
          <w:numId w:val="51"/>
        </w:numPr>
        <w:rPr>
          <w:rFonts w:ascii="Arial" w:cs="Arial" w:eastAsia="Arial" w:hAnsi="Arial"/>
          <w:sz w:val="18"/>
          <w:szCs w:val="18"/>
          <w:color w:val="4C4C4C"/>
        </w:rPr>
      </w:pPr>
      <w:r>
        <w:rPr>
          <w:rFonts w:ascii="Arial" w:cs="Arial" w:eastAsia="Arial" w:hAnsi="Arial"/>
          <w:sz w:val="18"/>
          <w:szCs w:val="18"/>
          <w:color w:val="4C4C4C"/>
        </w:rPr>
        <w:t>prohibition on hedging, pledging, and short sales;</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51"/>
        </w:numPr>
        <w:rPr>
          <w:rFonts w:ascii="Arial" w:cs="Arial" w:eastAsia="Arial" w:hAnsi="Arial"/>
          <w:sz w:val="18"/>
          <w:szCs w:val="18"/>
          <w:color w:val="4C4C4C"/>
        </w:rPr>
      </w:pPr>
      <w:r>
        <w:rPr>
          <w:rFonts w:ascii="Arial" w:cs="Arial" w:eastAsia="Arial" w:hAnsi="Arial"/>
          <w:sz w:val="18"/>
          <w:szCs w:val="18"/>
          <w:color w:val="4C4C4C"/>
        </w:rPr>
        <w:t>no retirement vesting of equity awards;</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51"/>
        </w:numPr>
        <w:rPr>
          <w:rFonts w:ascii="Arial" w:cs="Arial" w:eastAsia="Arial" w:hAnsi="Arial"/>
          <w:sz w:val="18"/>
          <w:szCs w:val="18"/>
          <w:color w:val="4C4C4C"/>
        </w:rPr>
      </w:pPr>
      <w:r>
        <w:rPr>
          <w:rFonts w:ascii="Arial" w:cs="Arial" w:eastAsia="Arial" w:hAnsi="Arial"/>
          <w:sz w:val="18"/>
          <w:szCs w:val="18"/>
          <w:color w:val="4C4C4C"/>
        </w:rPr>
        <w:t>no pension or related benefits, except as required by law in jurisdictions outside of the United States;</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51"/>
        </w:numPr>
        <w:rPr>
          <w:rFonts w:ascii="Arial" w:cs="Arial" w:eastAsia="Arial" w:hAnsi="Arial"/>
          <w:sz w:val="18"/>
          <w:szCs w:val="18"/>
          <w:color w:val="4C4C4C"/>
        </w:rPr>
      </w:pPr>
      <w:r>
        <w:rPr>
          <w:rFonts w:ascii="Arial" w:cs="Arial" w:eastAsia="Arial" w:hAnsi="Arial"/>
          <w:sz w:val="18"/>
          <w:szCs w:val="18"/>
          <w:color w:val="4C4C4C"/>
        </w:rPr>
        <w:t>no significant perquisites;</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51"/>
        </w:numPr>
        <w:rPr>
          <w:rFonts w:ascii="Arial" w:cs="Arial" w:eastAsia="Arial" w:hAnsi="Arial"/>
          <w:sz w:val="18"/>
          <w:szCs w:val="18"/>
          <w:color w:val="4C4C4C"/>
        </w:rPr>
      </w:pPr>
      <w:r>
        <w:rPr>
          <w:rFonts w:ascii="Arial" w:cs="Arial" w:eastAsia="Arial" w:hAnsi="Arial"/>
          <w:sz w:val="18"/>
          <w:szCs w:val="18"/>
          <w:color w:val="4C4C4C"/>
        </w:rPr>
        <w:t>independent compensation consultant; and</w:t>
      </w:r>
    </w:p>
    <w:p>
      <w:pPr>
        <w:spacing w:after="0" w:line="103" w:lineRule="exact"/>
        <w:rPr>
          <w:rFonts w:ascii="Arial" w:cs="Arial" w:eastAsia="Arial" w:hAnsi="Arial"/>
          <w:sz w:val="18"/>
          <w:szCs w:val="18"/>
          <w:color w:val="4C4C4C"/>
        </w:rPr>
      </w:pPr>
    </w:p>
    <w:p>
      <w:pPr>
        <w:ind w:left="640" w:hanging="348"/>
        <w:spacing w:after="0"/>
        <w:tabs>
          <w:tab w:leader="none" w:pos="640" w:val="left"/>
        </w:tabs>
        <w:numPr>
          <w:ilvl w:val="0"/>
          <w:numId w:val="51"/>
        </w:numPr>
        <w:rPr>
          <w:rFonts w:ascii="Arial" w:cs="Arial" w:eastAsia="Arial" w:hAnsi="Arial"/>
          <w:sz w:val="18"/>
          <w:szCs w:val="18"/>
          <w:color w:val="4C4C4C"/>
        </w:rPr>
      </w:pPr>
      <w:r>
        <w:rPr>
          <w:rFonts w:ascii="Arial" w:cs="Arial" w:eastAsia="Arial" w:hAnsi="Arial"/>
          <w:sz w:val="18"/>
          <w:szCs w:val="18"/>
          <w:color w:val="4C4C4C"/>
        </w:rPr>
        <w:t>no tax gross ups for golden parachute taxes.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Executive Summary</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Company Description</w:t>
      </w:r>
    </w:p>
    <w:p>
      <w:pPr>
        <w:spacing w:after="0" w:line="183"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We supply advanced, innovative capital equipment developed for the global semiconductor industry. Our corporate office is located in Fremont, California, and we conduct our business operations principally through our subsidiary ACM Shanghai. We have more than 875 employees globally, most of whom — including most of our NEOs — are based in the PRC. As a result of our significant PRC operations, many of our compensation practices reflect market practices in the PRC, although we expect those practices to evolve as we continue to broaden our operations into additional countries.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Executive Compensation Philosophy and Design</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Compensation Philosophy</w:t>
      </w:r>
    </w:p>
    <w:p>
      <w:pPr>
        <w:spacing w:after="0" w:line="169"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We have designed, and intend to modify as necessary, our NEO compensation program and philosophy to attract, retain and incentivize talented, qualified and committed NEOs by offering compensation, as described below, that reflects competitive market practices in the jurisdictions in which we operate and as adjusted for individual NEO factors and circumstances. As our needs evolve and as we continue to broaden our operations outside the PRC, we will continue to evaluate our NEO compensation program and philosophy, as circumstances may require.</w:t>
      </w:r>
    </w:p>
    <w:p>
      <w:pPr>
        <w:spacing w:after="0" w:line="15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4C4C4C"/>
        </w:rPr>
        <w:t>Except as specifically described herein, the compensation committee does not affirmatively set out in any given year, or with respect to any given NEO, to apportion compensation in any specific ratio among the various categories of compensation (that is, between short- and long-term compensation or between non-performance-based and performance-based compensation). Rather, the compensation committee uses the philosophy described above, and the factors described for each category in the discussion that follows, as a guide in assessing the proper allocation among those categories. In addition, except as specifically described herein, the compensation committee does not affirmatively set out in any given year, or with respect to any given NEO, to apportion cash and equity compensation in any specific ratio. Rather, the compensation committee uses the philosophy described above, and the factors described below, as a guide in assessing the proper allocation between cash and equity awards. The compensation committee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also does not “benchmark” compensation. Rather, the compensation committee makes adjustments based on the philosophy described above and considers competitive market practices in the jurisdictions in which we operate as one factor in its deliberations. The compensation committee does not target the elements of our compensation program at any specific level or percentile within a “peer group.” Rather than rely on a specific formula-based model, the compensation committee believes that retaining discretion to assess the overall performance of NEOs gives the compensation committee the ability to more accurately reflect individual contributions that cannot be absolutely quantified. As noted above, as our needs evolve and as we continue to broaden our operations outside the PRC, we will continue to evaluate our NEO compensation program and philosophy as circumstances require.</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Role of Compensation Committee</w:t>
      </w:r>
    </w:p>
    <w:p>
      <w:pPr>
        <w:spacing w:after="0" w:line="169"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4C4C4C"/>
        </w:rPr>
        <w:t>The compensation committee periodically reviews, reassesses, and if the compensation committee deems necessary, updates our NEO compensation and compensation philosophy. The compensation committee’s responsibilities include:</w:t>
      </w:r>
    </w:p>
    <w:p>
      <w:pPr>
        <w:spacing w:after="0" w:line="61" w:lineRule="exact"/>
        <w:rPr>
          <w:sz w:val="20"/>
          <w:szCs w:val="20"/>
          <w:color w:val="auto"/>
        </w:rPr>
      </w:pPr>
    </w:p>
    <w:p>
      <w:pPr>
        <w:ind w:left="640" w:right="319" w:hanging="348"/>
        <w:spacing w:after="0" w:line="271" w:lineRule="auto"/>
        <w:tabs>
          <w:tab w:leader="none" w:pos="64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periodically reviewing NEO compensation to assess its efficacy and to determine whether the nature and terms such compensation is proper in furthering ACM’s strategic plans and objectives;</w:t>
      </w:r>
    </w:p>
    <w:p>
      <w:pPr>
        <w:spacing w:after="0" w:line="45" w:lineRule="exact"/>
        <w:rPr>
          <w:rFonts w:ascii="Arial" w:cs="Arial" w:eastAsia="Arial" w:hAnsi="Arial"/>
          <w:sz w:val="18"/>
          <w:szCs w:val="18"/>
          <w:color w:val="4C4C4C"/>
        </w:rPr>
      </w:pPr>
    </w:p>
    <w:p>
      <w:pPr>
        <w:jc w:val="both"/>
        <w:ind w:left="640" w:right="299" w:hanging="348"/>
        <w:spacing w:after="0" w:line="253" w:lineRule="auto"/>
        <w:tabs>
          <w:tab w:leader="none" w:pos="64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administering our NEO cash incentive compensation plans and equity-based plans, including the designation of NEOs to whom awards are to be granted, the type and amount of award to be granted, and the terms and conditions applicable to each award;</w:t>
      </w:r>
    </w:p>
    <w:p>
      <w:pPr>
        <w:spacing w:after="0" w:line="60" w:lineRule="exact"/>
        <w:rPr>
          <w:rFonts w:ascii="Arial" w:cs="Arial" w:eastAsia="Arial" w:hAnsi="Arial"/>
          <w:sz w:val="18"/>
          <w:szCs w:val="18"/>
          <w:color w:val="4C4C4C"/>
        </w:rPr>
      </w:pPr>
    </w:p>
    <w:p>
      <w:pPr>
        <w:ind w:left="640" w:right="299" w:hanging="348"/>
        <w:spacing w:after="0" w:line="271" w:lineRule="auto"/>
        <w:tabs>
          <w:tab w:leader="none" w:pos="64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reviewing and approving the policies and procedures for the grant of NEO equity-based awards by our company and ACM Shanghai, including grant-timing practices;</w:t>
      </w:r>
    </w:p>
    <w:p>
      <w:pPr>
        <w:spacing w:after="0" w:line="45" w:lineRule="exact"/>
        <w:rPr>
          <w:rFonts w:ascii="Arial" w:cs="Arial" w:eastAsia="Arial" w:hAnsi="Arial"/>
          <w:sz w:val="18"/>
          <w:szCs w:val="18"/>
          <w:color w:val="4C4C4C"/>
        </w:rPr>
      </w:pPr>
    </w:p>
    <w:p>
      <w:pPr>
        <w:jc w:val="both"/>
        <w:ind w:left="640" w:right="299" w:hanging="348"/>
        <w:spacing w:after="0" w:line="247" w:lineRule="auto"/>
        <w:tabs>
          <w:tab w:leader="none" w:pos="64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annually reviewing with the Lead Director the corporate and individual goals relevant to the chief executive officer’s performance, the performance of the chief executive officer for the prior year, and approving the chief executive officer’s compensation based on the results of the evaluation performed by the compensation committee; and</w:t>
      </w:r>
    </w:p>
    <w:p>
      <w:pPr>
        <w:spacing w:after="0" w:line="65" w:lineRule="exact"/>
        <w:rPr>
          <w:rFonts w:ascii="Arial" w:cs="Arial" w:eastAsia="Arial" w:hAnsi="Arial"/>
          <w:sz w:val="18"/>
          <w:szCs w:val="18"/>
          <w:color w:val="4C4C4C"/>
        </w:rPr>
      </w:pPr>
    </w:p>
    <w:p>
      <w:pPr>
        <w:jc w:val="both"/>
        <w:ind w:left="640" w:right="299" w:hanging="348"/>
        <w:spacing w:after="0" w:line="253" w:lineRule="auto"/>
        <w:tabs>
          <w:tab w:leader="none" w:pos="64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annually reviewing with the Lead Director and recommendations of our chief executive officer, the performance of our other NEOs in light of our NEO compensation goals and objectives and approving the compensation packages and compensation payouts for such individuals.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Role of Management</w:t>
      </w:r>
    </w:p>
    <w:p>
      <w:pPr>
        <w:spacing w:after="0" w:line="18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4C4C4C"/>
        </w:rPr>
        <w:t>From time to time, our chief executive officer may develop recommendations for the compensation of our NEOs (other than himself) related to base salaries, annual cash incentive opportunities, equity award opportunities, and the criteria upon which these award opportunities may be earned.</w:t>
      </w:r>
    </w:p>
    <w:p>
      <w:pPr>
        <w:spacing w:after="0" w:line="128"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4C4C4C"/>
        </w:rPr>
        <w:t>From time to time, our chief executive officer may attend compensation committee meetings at the request of the compensation committee but leaves the meetings for any deliberations related to and decisions regarding his own compensation.</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Role of Independent Compensation Consultant</w:t>
      </w:r>
    </w:p>
    <w:p>
      <w:pPr>
        <w:spacing w:after="0" w:line="169"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4C4C4C"/>
        </w:rPr>
        <w:t>For 2021 the compensation committee retained Radford, which is part of the Rewards Solutions practice at Aon plc, as its independent outside compensation consultant to assist with reviewing selected NEO compensation. The compensation committee has the sole discretion to retain or replace Radford. The compensation committee believes that working with an independent compensation consultant furthers our objectives to recruit and retain qualified executives, align executive interests with those of stockholders, and ensure that executive compensation packages will appropriately motivate and reward ongoing achievement of business goals. The compensation committee has assessed the relationships among Radford, the compensation committee, our company and our executive officers for independence and conflicts of interest. In this assessment, the compensation committee reviewed the criteria set forth in Section 240.10C-1(b)(4)(i)-(vi) of the Code of Federal Regulations and such other criteria as it deemed appropriate. The compensation committee did not identify any conflicts of interest with the engagement of Radford. Additionally, Radford provided documented assurances that their relationship meets the independence standards, and no conflicts of interest were identified.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Advisory Vote on Executive Compensation</w:t>
      </w:r>
    </w:p>
    <w:p>
      <w:pPr>
        <w:spacing w:after="0" w:line="18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We submit to our stockholders on a tri-annual basis a proposal for a (non-binding) advisory vote, known as a “say-on-pay” vote, to approve the compensation of our NEOs. The compensation committee considers the outcome of this vote, among other things, when evaluating our compensation principles, designs and practices. At our 2021 Annual Meeting, our stockholders expressed strong support for our compensation program for named executive officers in 2020, with 93.2% of shares voted cast in favor of approval of the compensation program. The compensation committee will continue to consider stockholder feedback and the results of say-on-pay votes when making future compensation decisions.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Stockholder Outreach</w:t>
      </w:r>
    </w:p>
    <w:p>
      <w:pPr>
        <w:spacing w:after="0" w:line="169"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We are committed to year-round, meaningful engagement with our stockholders. We prioritize the different perspectives and issues raised by our stockholders by incorporating them into the business and strategy decisions of the board of directors. In 2021 we discussed a wide range of topics, including NEO compensation, with stockholders. We did not make any significant changes to NEO compensation in 2021 based on those discussions. Our engagement initiatives will continue in 2022 with outreach to our stockholders.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Assessment of Compensation Risk</w:t>
      </w:r>
    </w:p>
    <w:p>
      <w:pPr>
        <w:spacing w:after="0" w:line="169"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We review our compensation programs for employees generally and have concluded that these programs do not create risks that are reasonably likely to have a material adverse effect on our company. We believe that our compensation program helps ensure performance is focused on long-term stockholder value creation and does not encourage short-term risk taking at the expense of long-term results.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Pay Components</w:t>
      </w:r>
    </w:p>
    <w:p>
      <w:pPr>
        <w:spacing w:after="0" w:line="175"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4C4C4C"/>
        </w:rPr>
        <w:t>Our NEO compensation program involves regular review of compensation elements for NEOs, including whenever there is a change in roles or responsibilities of a NEO or a new NEO joins our company. Our NEO compensation program design uses a mix of annual and long-term components and a mix of cash and equity components. Our NEO compensation program includes base salary, annual cash bonus opportunities, long-term equity awards and promotion awards when necessary.</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Overview of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59055</wp:posOffset>
            </wp:positionV>
            <wp:extent cx="5349240"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196"/>
        </w:trPr>
        <w:tc>
          <w:tcPr>
            <w:tcW w:w="1400" w:type="dxa"/>
            <w:vAlign w:val="bottom"/>
          </w:tcPr>
          <w:p>
            <w:pPr>
              <w:spacing w:after="0"/>
              <w:rPr>
                <w:sz w:val="20"/>
                <w:szCs w:val="20"/>
                <w:color w:val="auto"/>
              </w:rPr>
            </w:pPr>
            <w:r>
              <w:rPr>
                <w:rFonts w:ascii="Arial" w:cs="Arial" w:eastAsia="Arial" w:hAnsi="Arial"/>
                <w:sz w:val="14"/>
                <w:szCs w:val="14"/>
                <w:b w:val="1"/>
                <w:bCs w:val="1"/>
                <w:color w:val="FFFFFF"/>
              </w:rPr>
              <w:t>Pay Element</w:t>
            </w:r>
          </w:p>
        </w:tc>
        <w:tc>
          <w:tcPr>
            <w:tcW w:w="1780" w:type="dxa"/>
            <w:vAlign w:val="bottom"/>
          </w:tcPr>
          <w:p>
            <w:pPr>
              <w:ind w:left="180"/>
              <w:spacing w:after="0"/>
              <w:rPr>
                <w:sz w:val="20"/>
                <w:szCs w:val="20"/>
                <w:color w:val="auto"/>
              </w:rPr>
            </w:pPr>
            <w:r>
              <w:rPr>
                <w:rFonts w:ascii="Arial" w:cs="Arial" w:eastAsia="Arial" w:hAnsi="Arial"/>
                <w:sz w:val="14"/>
                <w:szCs w:val="14"/>
                <w:b w:val="1"/>
                <w:bCs w:val="1"/>
                <w:color w:val="FFFFFF"/>
              </w:rPr>
              <w:t>Payment Vehicle</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Arial" w:cs="Arial" w:eastAsia="Arial" w:hAnsi="Arial"/>
                <w:sz w:val="18"/>
                <w:szCs w:val="18"/>
                <w:b w:val="1"/>
                <w:bCs w:val="1"/>
                <w:color w:val="4C4C4C"/>
              </w:rPr>
              <w:t>Base Salary</w:t>
            </w:r>
          </w:p>
        </w:tc>
        <w:tc>
          <w:tcPr>
            <w:tcW w:w="1780" w:type="dxa"/>
            <w:vAlign w:val="bottom"/>
          </w:tcPr>
          <w:p>
            <w:pPr>
              <w:ind w:left="180"/>
              <w:spacing w:after="0"/>
              <w:rPr>
                <w:sz w:val="20"/>
                <w:szCs w:val="20"/>
                <w:color w:val="auto"/>
              </w:rPr>
            </w:pPr>
            <w:r>
              <w:rPr>
                <w:rFonts w:ascii="Arial" w:cs="Arial" w:eastAsia="Arial" w:hAnsi="Arial"/>
                <w:sz w:val="18"/>
                <w:szCs w:val="18"/>
                <w:i w:val="1"/>
                <w:iCs w:val="1"/>
                <w:color w:val="4C4C4C"/>
                <w:w w:val="98"/>
              </w:rPr>
              <w:t>Fixed cash payment</w:t>
            </w:r>
          </w:p>
        </w:tc>
        <w:tc>
          <w:tcPr>
            <w:tcW w:w="0" w:type="dxa"/>
            <w:vAlign w:val="bottom"/>
          </w:tcPr>
          <w:p>
            <w:pPr>
              <w:spacing w:after="0"/>
              <w:rPr>
                <w:sz w:val="1"/>
                <w:szCs w:val="1"/>
                <w:color w:val="auto"/>
              </w:rPr>
            </w:pPr>
          </w:p>
        </w:tc>
      </w:tr>
      <w:tr>
        <w:trPr>
          <w:trHeight w:val="903"/>
        </w:trPr>
        <w:tc>
          <w:tcPr>
            <w:tcW w:w="1400" w:type="dxa"/>
            <w:vAlign w:val="bottom"/>
            <w:vMerge w:val="restart"/>
          </w:tcPr>
          <w:p>
            <w:pPr>
              <w:spacing w:after="0"/>
              <w:rPr>
                <w:sz w:val="20"/>
                <w:szCs w:val="20"/>
                <w:color w:val="auto"/>
              </w:rPr>
            </w:pPr>
            <w:r>
              <w:rPr>
                <w:rFonts w:ascii="Arial" w:cs="Arial" w:eastAsia="Arial" w:hAnsi="Arial"/>
                <w:sz w:val="18"/>
                <w:szCs w:val="18"/>
                <w:b w:val="1"/>
                <w:bCs w:val="1"/>
                <w:color w:val="4C4C4C"/>
              </w:rPr>
              <w:t>Bonus</w:t>
            </w:r>
          </w:p>
        </w:tc>
        <w:tc>
          <w:tcPr>
            <w:tcW w:w="1780" w:type="dxa"/>
            <w:vAlign w:val="bottom"/>
          </w:tcPr>
          <w:p>
            <w:pPr>
              <w:ind w:left="180"/>
              <w:spacing w:after="0"/>
              <w:rPr>
                <w:sz w:val="20"/>
                <w:szCs w:val="20"/>
                <w:color w:val="auto"/>
              </w:rPr>
            </w:pPr>
            <w:r>
              <w:rPr>
                <w:rFonts w:ascii="Arial" w:cs="Arial" w:eastAsia="Arial" w:hAnsi="Arial"/>
                <w:sz w:val="18"/>
                <w:szCs w:val="18"/>
                <w:i w:val="1"/>
                <w:iCs w:val="1"/>
                <w:color w:val="4C4C4C"/>
              </w:rPr>
              <w:t>Variable cash</w:t>
            </w:r>
          </w:p>
        </w:tc>
        <w:tc>
          <w:tcPr>
            <w:tcW w:w="0" w:type="dxa"/>
            <w:vAlign w:val="bottom"/>
          </w:tcPr>
          <w:p>
            <w:pPr>
              <w:spacing w:after="0"/>
              <w:rPr>
                <w:sz w:val="1"/>
                <w:szCs w:val="1"/>
                <w:color w:val="auto"/>
              </w:rPr>
            </w:pPr>
          </w:p>
        </w:tc>
      </w:tr>
      <w:tr>
        <w:trPr>
          <w:trHeight w:val="137"/>
        </w:trPr>
        <w:tc>
          <w:tcPr>
            <w:tcW w:w="1400" w:type="dxa"/>
            <w:vAlign w:val="bottom"/>
            <w:vMerge w:val="continue"/>
          </w:tcPr>
          <w:p>
            <w:pPr>
              <w:spacing w:after="0"/>
              <w:rPr>
                <w:sz w:val="11"/>
                <w:szCs w:val="11"/>
                <w:color w:val="auto"/>
              </w:rPr>
            </w:pPr>
          </w:p>
        </w:tc>
        <w:tc>
          <w:tcPr>
            <w:tcW w:w="1780" w:type="dxa"/>
            <w:vAlign w:val="bottom"/>
            <w:vMerge w:val="restart"/>
          </w:tcPr>
          <w:p>
            <w:pPr>
              <w:ind w:left="180"/>
              <w:spacing w:after="0"/>
              <w:rPr>
                <w:sz w:val="20"/>
                <w:szCs w:val="20"/>
                <w:color w:val="auto"/>
              </w:rPr>
            </w:pPr>
            <w:r>
              <w:rPr>
                <w:rFonts w:ascii="Arial" w:cs="Arial" w:eastAsia="Arial" w:hAnsi="Arial"/>
                <w:sz w:val="18"/>
                <w:szCs w:val="18"/>
                <w:i w:val="1"/>
                <w:iCs w:val="1"/>
                <w:color w:val="4C4C4C"/>
              </w:rPr>
              <w:t>bonus</w:t>
            </w:r>
          </w:p>
        </w:tc>
        <w:tc>
          <w:tcPr>
            <w:tcW w:w="0" w:type="dxa"/>
            <w:vAlign w:val="bottom"/>
          </w:tcPr>
          <w:p>
            <w:pPr>
              <w:spacing w:after="0"/>
              <w:rPr>
                <w:sz w:val="1"/>
                <w:szCs w:val="1"/>
                <w:color w:val="auto"/>
              </w:rPr>
            </w:pPr>
          </w:p>
        </w:tc>
      </w:tr>
      <w:tr>
        <w:trPr>
          <w:trHeight w:val="100"/>
        </w:trPr>
        <w:tc>
          <w:tcPr>
            <w:tcW w:w="140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9"/>
        </w:trPr>
        <w:tc>
          <w:tcPr>
            <w:tcW w:w="1400" w:type="dxa"/>
            <w:vAlign w:val="bottom"/>
          </w:tcPr>
          <w:p>
            <w:pPr>
              <w:spacing w:after="0"/>
              <w:rPr>
                <w:sz w:val="20"/>
                <w:szCs w:val="20"/>
                <w:color w:val="auto"/>
              </w:rPr>
            </w:pPr>
            <w:r>
              <w:rPr>
                <w:rFonts w:ascii="Arial" w:cs="Arial" w:eastAsia="Arial" w:hAnsi="Arial"/>
                <w:sz w:val="18"/>
                <w:szCs w:val="18"/>
                <w:b w:val="1"/>
                <w:bCs w:val="1"/>
                <w:color w:val="4C4C4C"/>
              </w:rPr>
              <w:t>Long-Term</w:t>
            </w:r>
          </w:p>
        </w:tc>
        <w:tc>
          <w:tcPr>
            <w:tcW w:w="1780" w:type="dxa"/>
            <w:vAlign w:val="bottom"/>
            <w:vMerge w:val="restart"/>
          </w:tcPr>
          <w:p>
            <w:pPr>
              <w:ind w:left="180"/>
              <w:spacing w:after="0"/>
              <w:rPr>
                <w:sz w:val="20"/>
                <w:szCs w:val="20"/>
                <w:color w:val="auto"/>
              </w:rPr>
            </w:pPr>
            <w:r>
              <w:rPr>
                <w:rFonts w:ascii="Arial" w:cs="Arial" w:eastAsia="Arial" w:hAnsi="Arial"/>
                <w:sz w:val="18"/>
                <w:szCs w:val="18"/>
                <w:i w:val="1"/>
                <w:iCs w:val="1"/>
                <w:color w:val="4C4C4C"/>
              </w:rPr>
              <w:t>Stock options</w:t>
            </w:r>
          </w:p>
        </w:tc>
        <w:tc>
          <w:tcPr>
            <w:tcW w:w="0" w:type="dxa"/>
            <w:vAlign w:val="bottom"/>
          </w:tcPr>
          <w:p>
            <w:pPr>
              <w:spacing w:after="0"/>
              <w:rPr>
                <w:sz w:val="1"/>
                <w:szCs w:val="1"/>
                <w:color w:val="auto"/>
              </w:rPr>
            </w:pPr>
          </w:p>
        </w:tc>
      </w:tr>
      <w:tr>
        <w:trPr>
          <w:trHeight w:val="131"/>
        </w:trPr>
        <w:tc>
          <w:tcPr>
            <w:tcW w:w="1400" w:type="dxa"/>
            <w:vAlign w:val="bottom"/>
            <w:vMerge w:val="restart"/>
          </w:tcPr>
          <w:p>
            <w:pPr>
              <w:spacing w:after="0"/>
              <w:rPr>
                <w:sz w:val="20"/>
                <w:szCs w:val="20"/>
                <w:color w:val="auto"/>
              </w:rPr>
            </w:pPr>
            <w:r>
              <w:rPr>
                <w:rFonts w:ascii="Arial" w:cs="Arial" w:eastAsia="Arial" w:hAnsi="Arial"/>
                <w:sz w:val="18"/>
                <w:szCs w:val="18"/>
                <w:b w:val="1"/>
                <w:bCs w:val="1"/>
                <w:color w:val="4C4C4C"/>
              </w:rPr>
              <w:t>Equity Awards</w:t>
            </w: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40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Purpose/Design</w:t>
      </w:r>
    </w:p>
    <w:p>
      <w:pPr>
        <w:spacing w:after="0" w:line="126" w:lineRule="exact"/>
        <w:rPr>
          <w:sz w:val="20"/>
          <w:szCs w:val="20"/>
          <w:color w:val="auto"/>
        </w:rPr>
      </w:pPr>
    </w:p>
    <w:p>
      <w:pPr>
        <w:jc w:val="both"/>
        <w:ind w:right="339"/>
        <w:spacing w:after="0" w:line="253" w:lineRule="auto"/>
        <w:rPr>
          <w:sz w:val="20"/>
          <w:szCs w:val="20"/>
          <w:color w:val="auto"/>
        </w:rPr>
      </w:pPr>
      <w:r>
        <w:rPr>
          <w:rFonts w:ascii="Arial" w:cs="Arial" w:eastAsia="Arial" w:hAnsi="Arial"/>
          <w:sz w:val="18"/>
          <w:szCs w:val="18"/>
          <w:color w:val="4C4C4C"/>
        </w:rPr>
        <w:t>Attracts, retains and rewards NEOs, and provides NEOs with fixed compensation based on their performance and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-2188845</wp:posOffset>
            </wp:positionH>
            <wp:positionV relativeFrom="paragraph">
              <wp:posOffset>24765</wp:posOffset>
            </wp:positionV>
            <wp:extent cx="5349240" cy="8572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49240" cy="857250"/>
                    </a:xfrm>
                    <a:prstGeom prst="rect">
                      <a:avLst/>
                    </a:prstGeom>
                    <a:noFill/>
                  </pic:spPr>
                </pic:pic>
              </a:graphicData>
            </a:graphic>
          </wp:anchor>
        </w:drawing>
      </w:r>
    </w:p>
    <w:p>
      <w:pPr>
        <w:spacing w:after="0" w:line="68" w:lineRule="exact"/>
        <w:rPr>
          <w:sz w:val="20"/>
          <w:szCs w:val="20"/>
          <w:color w:val="auto"/>
        </w:rPr>
      </w:pPr>
    </w:p>
    <w:p>
      <w:pPr>
        <w:jc w:val="both"/>
        <w:ind w:right="339"/>
        <w:spacing w:after="0" w:line="242" w:lineRule="auto"/>
        <w:rPr>
          <w:sz w:val="20"/>
          <w:szCs w:val="20"/>
          <w:color w:val="auto"/>
        </w:rPr>
      </w:pPr>
      <w:r>
        <w:rPr>
          <w:rFonts w:ascii="Arial" w:cs="Arial" w:eastAsia="Arial" w:hAnsi="Arial"/>
          <w:sz w:val="18"/>
          <w:szCs w:val="18"/>
          <w:color w:val="4C4C4C"/>
        </w:rPr>
        <w:t>We do not have an established bonus policy for our NEOs; the compensation committee may decide, in its sole discretion, to reward NEOs with annual cash bonuses based on individual NEO performance, our business performance generally and, in certain circumstances, achievement of specific business objectives</w:t>
      </w:r>
    </w:p>
    <w:p>
      <w:pPr>
        <w:spacing w:after="0" w:line="98" w:lineRule="exact"/>
        <w:rPr>
          <w:sz w:val="20"/>
          <w:szCs w:val="20"/>
          <w:color w:val="auto"/>
        </w:rPr>
      </w:pPr>
    </w:p>
    <w:p>
      <w:pPr>
        <w:jc w:val="both"/>
        <w:ind w:right="339"/>
        <w:spacing w:after="0" w:line="247" w:lineRule="auto"/>
        <w:rPr>
          <w:sz w:val="20"/>
          <w:szCs w:val="20"/>
          <w:color w:val="auto"/>
        </w:rPr>
      </w:pPr>
      <w:r>
        <w:rPr>
          <w:rFonts w:ascii="Arial" w:cs="Arial" w:eastAsia="Arial" w:hAnsi="Arial"/>
          <w:sz w:val="18"/>
          <w:szCs w:val="18"/>
          <w:color w:val="4C4C4C"/>
        </w:rPr>
        <w:t>Directly ties individual performance to long-term appreciation of our common stock price, rewards NEOs for strong company performance, and aligns the interests of NEOs with those of our stockholders</w:t>
      </w:r>
    </w:p>
    <w:p>
      <w:pPr>
        <w:spacing w:after="0" w:line="200" w:lineRule="exact"/>
        <w:rPr>
          <w:sz w:val="20"/>
          <w:szCs w:val="20"/>
          <w:color w:val="auto"/>
        </w:rPr>
      </w:pPr>
    </w:p>
    <w:p>
      <w:pPr>
        <w:sectPr>
          <w:pgSz w:w="11900" w:h="16838" w:orient="portrait"/>
          <w:cols w:equalWidth="0" w:num="2">
            <w:col w:w="3540" w:space="200"/>
            <w:col w:w="5279"/>
          </w:cols>
          <w:pgMar w:left="1440" w:top="263" w:right="1440" w:bottom="1440" w:gutter="0" w:footer="0" w:header="0"/>
          <w:type w:val="continuous"/>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161925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Base Salary</w:t>
      </w:r>
    </w:p>
    <w:p>
      <w:pPr>
        <w:spacing w:after="0" w:line="18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The compensation committee regularly considers the base salaries of the NEOs as part of its overall compensation review process and may make changes to such base salaries to reflect competitive market practices in the jurisdictions in which we operate and to adjust for individual NEO performance. Based on the foregoing, for 2021 the compensation committee approved base salaries as set forth below:</w:t>
      </w:r>
    </w:p>
    <w:p>
      <w:pPr>
        <w:spacing w:after="0" w:line="44" w:lineRule="exact"/>
        <w:rPr>
          <w:sz w:val="20"/>
          <w:szCs w:val="20"/>
          <w:color w:val="auto"/>
        </w:rPr>
      </w:pPr>
    </w:p>
    <w:tbl>
      <w:tblPr>
        <w:tblLayout w:type="fixed"/>
        <w:tblInd w:w="300" w:type="dxa"/>
        <w:tblCellMar>
          <w:top w:w="0" w:type="dxa"/>
          <w:left w:w="0" w:type="dxa"/>
          <w:bottom w:w="0" w:type="dxa"/>
          <w:right w:w="0" w:type="dxa"/>
        </w:tblCellMar>
      </w:tblPr>
      <w:tr>
        <w:trPr>
          <w:trHeight w:val="274"/>
        </w:trPr>
        <w:tc>
          <w:tcPr>
            <w:tcW w:w="2480" w:type="dxa"/>
            <w:vAlign w:val="bottom"/>
            <w:shd w:val="clear" w:color="auto" w:fill="0D3F64"/>
          </w:tcPr>
          <w:p>
            <w:pPr>
              <w:spacing w:after="0"/>
              <w:rPr>
                <w:sz w:val="23"/>
                <w:szCs w:val="23"/>
                <w:color w:val="auto"/>
              </w:rPr>
            </w:pPr>
          </w:p>
        </w:tc>
        <w:tc>
          <w:tcPr>
            <w:tcW w:w="2500" w:type="dxa"/>
            <w:vAlign w:val="bottom"/>
            <w:shd w:val="clear" w:color="auto" w:fill="0D3F64"/>
          </w:tcPr>
          <w:p>
            <w:pPr>
              <w:spacing w:after="0"/>
              <w:rPr>
                <w:sz w:val="23"/>
                <w:szCs w:val="23"/>
                <w:color w:val="auto"/>
              </w:rPr>
            </w:pPr>
          </w:p>
        </w:tc>
        <w:tc>
          <w:tcPr>
            <w:tcW w:w="1940" w:type="dxa"/>
            <w:vAlign w:val="bottom"/>
            <w:shd w:val="clear" w:color="auto" w:fill="0D3F64"/>
          </w:tcPr>
          <w:p>
            <w:pPr>
              <w:spacing w:after="0"/>
              <w:rPr>
                <w:sz w:val="23"/>
                <w:szCs w:val="23"/>
                <w:color w:val="auto"/>
              </w:rPr>
            </w:pPr>
          </w:p>
        </w:tc>
        <w:tc>
          <w:tcPr>
            <w:tcW w:w="1500" w:type="dxa"/>
            <w:vAlign w:val="bottom"/>
            <w:shd w:val="clear" w:color="auto" w:fill="0D3F64"/>
          </w:tcPr>
          <w:p>
            <w:pPr>
              <w:jc w:val="right"/>
              <w:ind w:right="135"/>
              <w:spacing w:after="0"/>
              <w:rPr>
                <w:sz w:val="20"/>
                <w:szCs w:val="20"/>
                <w:color w:val="auto"/>
              </w:rPr>
            </w:pPr>
            <w:r>
              <w:rPr>
                <w:rFonts w:ascii="Arial" w:cs="Arial" w:eastAsia="Arial" w:hAnsi="Arial"/>
                <w:sz w:val="14"/>
                <w:szCs w:val="14"/>
                <w:b w:val="1"/>
                <w:bCs w:val="1"/>
                <w:color w:val="FFFFFF"/>
              </w:rPr>
              <w:t>Percent Increase</w:t>
            </w:r>
          </w:p>
        </w:tc>
      </w:tr>
      <w:tr>
        <w:trPr>
          <w:trHeight w:val="205"/>
        </w:trPr>
        <w:tc>
          <w:tcPr>
            <w:tcW w:w="2480" w:type="dxa"/>
            <w:vAlign w:val="bottom"/>
            <w:tcBorders>
              <w:bottom w:val="single" w:sz="8" w:color="0D3F64"/>
            </w:tcBorders>
            <w:shd w:val="clear" w:color="auto" w:fill="0D3F64"/>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500" w:type="dxa"/>
            <w:vAlign w:val="bottom"/>
            <w:tcBorders>
              <w:bottom w:val="single" w:sz="8" w:color="0D3F64"/>
            </w:tcBorders>
            <w:shd w:val="clear" w:color="auto" w:fill="0D3F64"/>
          </w:tcPr>
          <w:p>
            <w:pPr>
              <w:jc w:val="right"/>
              <w:spacing w:after="0"/>
              <w:rPr>
                <w:sz w:val="20"/>
                <w:szCs w:val="20"/>
                <w:color w:val="auto"/>
              </w:rPr>
            </w:pPr>
            <w:r>
              <w:rPr>
                <w:rFonts w:ascii="Arial" w:cs="Arial" w:eastAsia="Arial" w:hAnsi="Arial"/>
                <w:sz w:val="14"/>
                <w:szCs w:val="14"/>
                <w:b w:val="1"/>
                <w:bCs w:val="1"/>
                <w:color w:val="FFFFFF"/>
              </w:rPr>
              <w:t>Annual Base Salary 2020</w:t>
            </w:r>
          </w:p>
        </w:tc>
        <w:tc>
          <w:tcPr>
            <w:tcW w:w="1940" w:type="dxa"/>
            <w:vAlign w:val="bottom"/>
            <w:tcBorders>
              <w:bottom w:val="single" w:sz="8" w:color="0D3F64"/>
            </w:tcBorders>
            <w:shd w:val="clear" w:color="auto" w:fill="0D3F64"/>
          </w:tcPr>
          <w:p>
            <w:pPr>
              <w:jc w:val="right"/>
              <w:ind w:right="53"/>
              <w:spacing w:after="0"/>
              <w:rPr>
                <w:sz w:val="20"/>
                <w:szCs w:val="20"/>
                <w:color w:val="auto"/>
              </w:rPr>
            </w:pPr>
            <w:r>
              <w:rPr>
                <w:rFonts w:ascii="Arial" w:cs="Arial" w:eastAsia="Arial" w:hAnsi="Arial"/>
                <w:sz w:val="14"/>
                <w:szCs w:val="14"/>
                <w:b w:val="1"/>
                <w:bCs w:val="1"/>
                <w:color w:val="FFFFFF"/>
              </w:rPr>
              <w:t>Annual Base Salary 2021</w:t>
            </w:r>
          </w:p>
        </w:tc>
        <w:tc>
          <w:tcPr>
            <w:tcW w:w="1500" w:type="dxa"/>
            <w:vAlign w:val="bottom"/>
            <w:tcBorders>
              <w:bottom w:val="single" w:sz="8" w:color="0D3F64"/>
            </w:tcBorders>
            <w:shd w:val="clear" w:color="auto" w:fill="0D3F64"/>
          </w:tcPr>
          <w:p>
            <w:pPr>
              <w:jc w:val="right"/>
              <w:ind w:right="335"/>
              <w:spacing w:after="0"/>
              <w:rPr>
                <w:sz w:val="20"/>
                <w:szCs w:val="20"/>
                <w:color w:val="auto"/>
              </w:rPr>
            </w:pPr>
            <w:r>
              <w:rPr>
                <w:rFonts w:ascii="Arial" w:cs="Arial" w:eastAsia="Arial" w:hAnsi="Arial"/>
                <w:sz w:val="14"/>
                <w:szCs w:val="14"/>
                <w:b w:val="1"/>
                <w:bCs w:val="1"/>
                <w:color w:val="FFFFFF"/>
              </w:rPr>
              <w:t>(Decrease)</w:t>
            </w:r>
          </w:p>
        </w:tc>
      </w:tr>
      <w:tr>
        <w:trPr>
          <w:trHeight w:val="274"/>
        </w:trPr>
        <w:tc>
          <w:tcPr>
            <w:tcW w:w="2480" w:type="dxa"/>
            <w:vAlign w:val="bottom"/>
          </w:tcPr>
          <w:p>
            <w:pPr>
              <w:ind w:left="60"/>
              <w:spacing w:after="0"/>
              <w:rPr>
                <w:sz w:val="20"/>
                <w:szCs w:val="20"/>
                <w:color w:val="auto"/>
              </w:rPr>
            </w:pPr>
            <w:r>
              <w:rPr>
                <w:rFonts w:ascii="Arial" w:cs="Arial" w:eastAsia="Arial" w:hAnsi="Arial"/>
                <w:sz w:val="18"/>
                <w:szCs w:val="18"/>
                <w:color w:val="4C4C4C"/>
              </w:rPr>
              <w:t>David H. Wang</w:t>
            </w:r>
          </w:p>
        </w:tc>
        <w:tc>
          <w:tcPr>
            <w:tcW w:w="2500" w:type="dxa"/>
            <w:vAlign w:val="bottom"/>
          </w:tcPr>
          <w:p>
            <w:pPr>
              <w:jc w:val="right"/>
              <w:ind w:right="433"/>
              <w:spacing w:after="0"/>
              <w:rPr>
                <w:sz w:val="20"/>
                <w:szCs w:val="20"/>
                <w:color w:val="auto"/>
              </w:rPr>
            </w:pPr>
            <w:r>
              <w:rPr>
                <w:rFonts w:ascii="Arial" w:cs="Arial" w:eastAsia="Arial" w:hAnsi="Arial"/>
                <w:sz w:val="18"/>
                <w:szCs w:val="18"/>
                <w:color w:val="4C4C4C"/>
              </w:rPr>
              <w:t>$294,054</w:t>
            </w:r>
          </w:p>
        </w:tc>
        <w:tc>
          <w:tcPr>
            <w:tcW w:w="1940" w:type="dxa"/>
            <w:vAlign w:val="bottom"/>
          </w:tcPr>
          <w:p>
            <w:pPr>
              <w:jc w:val="right"/>
              <w:ind w:right="513"/>
              <w:spacing w:after="0"/>
              <w:rPr>
                <w:sz w:val="20"/>
                <w:szCs w:val="20"/>
                <w:color w:val="auto"/>
              </w:rPr>
            </w:pPr>
            <w:r>
              <w:rPr>
                <w:rFonts w:ascii="Arial" w:cs="Arial" w:eastAsia="Arial" w:hAnsi="Arial"/>
                <w:sz w:val="18"/>
                <w:szCs w:val="18"/>
                <w:color w:val="4C4C4C"/>
              </w:rPr>
              <w:t>$183,105</w:t>
            </w:r>
          </w:p>
        </w:tc>
        <w:tc>
          <w:tcPr>
            <w:tcW w:w="1500" w:type="dxa"/>
            <w:vAlign w:val="bottom"/>
          </w:tcPr>
          <w:p>
            <w:pPr>
              <w:ind w:left="600"/>
              <w:spacing w:after="0"/>
              <w:rPr>
                <w:sz w:val="20"/>
                <w:szCs w:val="20"/>
                <w:color w:val="auto"/>
              </w:rPr>
            </w:pPr>
            <w:r>
              <w:rPr>
                <w:rFonts w:ascii="Arial" w:cs="Arial" w:eastAsia="Arial" w:hAnsi="Arial"/>
                <w:sz w:val="18"/>
                <w:szCs w:val="18"/>
                <w:color w:val="4C4C4C"/>
              </w:rPr>
              <w:t>(38)%</w:t>
            </w:r>
          </w:p>
        </w:tc>
      </w:tr>
      <w:tr>
        <w:trPr>
          <w:trHeight w:val="36"/>
        </w:trPr>
        <w:tc>
          <w:tcPr>
            <w:tcW w:w="248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91"/>
        </w:trPr>
        <w:tc>
          <w:tcPr>
            <w:tcW w:w="2480" w:type="dxa"/>
            <w:vAlign w:val="bottom"/>
            <w:tcBorders>
              <w:bottom w:val="single" w:sz="8" w:color="BAE2F8"/>
            </w:tcBorders>
            <w:shd w:val="clear" w:color="auto" w:fill="BAE2F8"/>
          </w:tcPr>
          <w:p>
            <w:pPr>
              <w:ind w:left="60"/>
              <w:spacing w:after="0"/>
              <w:rPr>
                <w:sz w:val="20"/>
                <w:szCs w:val="20"/>
                <w:color w:val="auto"/>
              </w:rPr>
            </w:pPr>
            <w:r>
              <w:rPr>
                <w:rFonts w:ascii="Arial" w:cs="Arial" w:eastAsia="Arial" w:hAnsi="Arial"/>
                <w:sz w:val="18"/>
                <w:szCs w:val="18"/>
                <w:color w:val="4C4C4C"/>
              </w:rPr>
              <w:t>Mark McKechnie</w:t>
            </w:r>
          </w:p>
        </w:tc>
        <w:tc>
          <w:tcPr>
            <w:tcW w:w="2500" w:type="dxa"/>
            <w:vAlign w:val="bottom"/>
            <w:tcBorders>
              <w:bottom w:val="single" w:sz="8" w:color="BAE2F8"/>
            </w:tcBorders>
            <w:shd w:val="clear" w:color="auto" w:fill="BAE2F8"/>
          </w:tcPr>
          <w:p>
            <w:pPr>
              <w:jc w:val="right"/>
              <w:ind w:right="453"/>
              <w:spacing w:after="0"/>
              <w:rPr>
                <w:sz w:val="20"/>
                <w:szCs w:val="20"/>
                <w:color w:val="auto"/>
              </w:rPr>
            </w:pPr>
            <w:r>
              <w:rPr>
                <w:rFonts w:ascii="Arial" w:cs="Arial" w:eastAsia="Arial" w:hAnsi="Arial"/>
                <w:sz w:val="18"/>
                <w:szCs w:val="18"/>
                <w:color w:val="4C4C4C"/>
              </w:rPr>
              <w:t>243,906</w:t>
            </w:r>
          </w:p>
        </w:tc>
        <w:tc>
          <w:tcPr>
            <w:tcW w:w="1940" w:type="dxa"/>
            <w:vAlign w:val="bottom"/>
            <w:tcBorders>
              <w:bottom w:val="single" w:sz="8" w:color="BAE2F8"/>
            </w:tcBorders>
            <w:shd w:val="clear" w:color="auto" w:fill="BAE2F8"/>
          </w:tcPr>
          <w:p>
            <w:pPr>
              <w:jc w:val="right"/>
              <w:ind w:right="533"/>
              <w:spacing w:after="0"/>
              <w:rPr>
                <w:sz w:val="20"/>
                <w:szCs w:val="20"/>
                <w:color w:val="auto"/>
              </w:rPr>
            </w:pPr>
            <w:r>
              <w:rPr>
                <w:rFonts w:ascii="Arial" w:cs="Arial" w:eastAsia="Arial" w:hAnsi="Arial"/>
                <w:sz w:val="18"/>
                <w:szCs w:val="18"/>
                <w:color w:val="4C4C4C"/>
              </w:rPr>
              <w:t>242,703</w:t>
            </w:r>
          </w:p>
        </w:tc>
        <w:tc>
          <w:tcPr>
            <w:tcW w:w="1500" w:type="dxa"/>
            <w:vAlign w:val="bottom"/>
            <w:tcBorders>
              <w:bottom w:val="single" w:sz="8" w:color="BAE2F8"/>
            </w:tcBorders>
            <w:shd w:val="clear" w:color="auto" w:fill="BAE2F8"/>
          </w:tcPr>
          <w:p>
            <w:pPr>
              <w:jc w:val="right"/>
              <w:ind w:right="515"/>
              <w:spacing w:after="0"/>
              <w:rPr>
                <w:sz w:val="20"/>
                <w:szCs w:val="20"/>
                <w:color w:val="auto"/>
              </w:rPr>
            </w:pPr>
            <w:r>
              <w:rPr>
                <w:rFonts w:ascii="Arial" w:cs="Arial" w:eastAsia="Arial" w:hAnsi="Arial"/>
                <w:sz w:val="18"/>
                <w:szCs w:val="18"/>
                <w:color w:val="4C4C4C"/>
              </w:rPr>
              <w:t>(1)</w:t>
            </w:r>
          </w:p>
        </w:tc>
      </w:tr>
      <w:tr>
        <w:trPr>
          <w:trHeight w:val="274"/>
        </w:trPr>
        <w:tc>
          <w:tcPr>
            <w:tcW w:w="2480" w:type="dxa"/>
            <w:vAlign w:val="bottom"/>
          </w:tcPr>
          <w:p>
            <w:pPr>
              <w:ind w:left="60"/>
              <w:spacing w:after="0"/>
              <w:rPr>
                <w:sz w:val="20"/>
                <w:szCs w:val="20"/>
                <w:color w:val="auto"/>
              </w:rPr>
            </w:pPr>
            <w:r>
              <w:rPr>
                <w:rFonts w:ascii="Arial" w:cs="Arial" w:eastAsia="Arial" w:hAnsi="Arial"/>
                <w:sz w:val="18"/>
                <w:szCs w:val="18"/>
                <w:color w:val="4C4C4C"/>
              </w:rPr>
              <w:t>Jian Wang</w:t>
            </w:r>
          </w:p>
        </w:tc>
        <w:tc>
          <w:tcPr>
            <w:tcW w:w="2500" w:type="dxa"/>
            <w:vAlign w:val="bottom"/>
          </w:tcPr>
          <w:p>
            <w:pPr>
              <w:jc w:val="right"/>
              <w:ind w:right="453"/>
              <w:spacing w:after="0"/>
              <w:rPr>
                <w:sz w:val="20"/>
                <w:szCs w:val="20"/>
                <w:color w:val="auto"/>
              </w:rPr>
            </w:pPr>
            <w:r>
              <w:rPr>
                <w:rFonts w:ascii="Arial" w:cs="Arial" w:eastAsia="Arial" w:hAnsi="Arial"/>
                <w:sz w:val="18"/>
                <w:szCs w:val="18"/>
                <w:color w:val="4C4C4C"/>
              </w:rPr>
              <w:t>162,492</w:t>
            </w:r>
          </w:p>
        </w:tc>
        <w:tc>
          <w:tcPr>
            <w:tcW w:w="1940" w:type="dxa"/>
            <w:vAlign w:val="bottom"/>
          </w:tcPr>
          <w:p>
            <w:pPr>
              <w:jc w:val="right"/>
              <w:ind w:right="533"/>
              <w:spacing w:after="0"/>
              <w:rPr>
                <w:sz w:val="20"/>
                <w:szCs w:val="20"/>
                <w:color w:val="auto"/>
              </w:rPr>
            </w:pPr>
            <w:r>
              <w:rPr>
                <w:rFonts w:ascii="Arial" w:cs="Arial" w:eastAsia="Arial" w:hAnsi="Arial"/>
                <w:sz w:val="18"/>
                <w:szCs w:val="18"/>
                <w:color w:val="4C4C4C"/>
              </w:rPr>
              <w:t>120,094</w:t>
            </w:r>
          </w:p>
        </w:tc>
        <w:tc>
          <w:tcPr>
            <w:tcW w:w="1500" w:type="dxa"/>
            <w:vAlign w:val="bottom"/>
          </w:tcPr>
          <w:p>
            <w:pPr>
              <w:ind w:left="600"/>
              <w:spacing w:after="0"/>
              <w:rPr>
                <w:sz w:val="20"/>
                <w:szCs w:val="20"/>
                <w:color w:val="auto"/>
              </w:rPr>
            </w:pPr>
            <w:r>
              <w:rPr>
                <w:rFonts w:ascii="Arial" w:cs="Arial" w:eastAsia="Arial" w:hAnsi="Arial"/>
                <w:sz w:val="18"/>
                <w:szCs w:val="18"/>
                <w:color w:val="4C4C4C"/>
              </w:rPr>
              <w:t>(26)</w:t>
            </w:r>
          </w:p>
        </w:tc>
      </w:tr>
      <w:tr>
        <w:trPr>
          <w:trHeight w:val="37"/>
        </w:trPr>
        <w:tc>
          <w:tcPr>
            <w:tcW w:w="248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90"/>
        </w:trPr>
        <w:tc>
          <w:tcPr>
            <w:tcW w:w="2480" w:type="dxa"/>
            <w:vAlign w:val="bottom"/>
            <w:tcBorders>
              <w:bottom w:val="single" w:sz="8" w:color="BAE2F8"/>
            </w:tcBorders>
            <w:shd w:val="clear" w:color="auto" w:fill="BAE2F8"/>
          </w:tcPr>
          <w:p>
            <w:pPr>
              <w:ind w:left="60"/>
              <w:spacing w:after="0"/>
              <w:rPr>
                <w:sz w:val="20"/>
                <w:szCs w:val="20"/>
                <w:color w:val="auto"/>
              </w:rPr>
            </w:pPr>
            <w:r>
              <w:rPr>
                <w:rFonts w:ascii="Arial" w:cs="Arial" w:eastAsia="Arial" w:hAnsi="Arial"/>
                <w:sz w:val="18"/>
                <w:szCs w:val="18"/>
                <w:color w:val="4C4C4C"/>
              </w:rPr>
              <w:t>Lisa Feng</w:t>
            </w:r>
          </w:p>
        </w:tc>
        <w:tc>
          <w:tcPr>
            <w:tcW w:w="2500" w:type="dxa"/>
            <w:vAlign w:val="bottom"/>
            <w:tcBorders>
              <w:bottom w:val="single" w:sz="8" w:color="BAE2F8"/>
            </w:tcBorders>
            <w:shd w:val="clear" w:color="auto" w:fill="BAE2F8"/>
          </w:tcPr>
          <w:p>
            <w:pPr>
              <w:jc w:val="right"/>
              <w:ind w:right="453"/>
              <w:spacing w:after="0"/>
              <w:rPr>
                <w:sz w:val="20"/>
                <w:szCs w:val="20"/>
                <w:color w:val="auto"/>
              </w:rPr>
            </w:pPr>
            <w:r>
              <w:rPr>
                <w:rFonts w:ascii="Arial" w:cs="Arial" w:eastAsia="Arial" w:hAnsi="Arial"/>
                <w:sz w:val="18"/>
                <w:szCs w:val="18"/>
                <w:color w:val="4C4C4C"/>
              </w:rPr>
              <w:t>169,172</w:t>
            </w:r>
          </w:p>
        </w:tc>
        <w:tc>
          <w:tcPr>
            <w:tcW w:w="1940" w:type="dxa"/>
            <w:vAlign w:val="bottom"/>
            <w:tcBorders>
              <w:bottom w:val="single" w:sz="8" w:color="BAE2F8"/>
            </w:tcBorders>
            <w:shd w:val="clear" w:color="auto" w:fill="BAE2F8"/>
          </w:tcPr>
          <w:p>
            <w:pPr>
              <w:jc w:val="right"/>
              <w:ind w:right="533"/>
              <w:spacing w:after="0"/>
              <w:rPr>
                <w:sz w:val="20"/>
                <w:szCs w:val="20"/>
                <w:color w:val="auto"/>
              </w:rPr>
            </w:pPr>
            <w:r>
              <w:rPr>
                <w:rFonts w:ascii="Arial" w:cs="Arial" w:eastAsia="Arial" w:hAnsi="Arial"/>
                <w:sz w:val="18"/>
                <w:szCs w:val="18"/>
                <w:color w:val="4C4C4C"/>
              </w:rPr>
              <w:t>157,135</w:t>
            </w:r>
          </w:p>
        </w:tc>
        <w:tc>
          <w:tcPr>
            <w:tcW w:w="1500" w:type="dxa"/>
            <w:vAlign w:val="bottom"/>
            <w:tcBorders>
              <w:bottom w:val="single" w:sz="8" w:color="BAE2F8"/>
            </w:tcBorders>
            <w:shd w:val="clear" w:color="auto" w:fill="BAE2F8"/>
          </w:tcPr>
          <w:p>
            <w:pPr>
              <w:jc w:val="right"/>
              <w:ind w:right="515"/>
              <w:spacing w:after="0"/>
              <w:rPr>
                <w:sz w:val="20"/>
                <w:szCs w:val="20"/>
                <w:color w:val="auto"/>
              </w:rPr>
            </w:pPr>
            <w:r>
              <w:rPr>
                <w:rFonts w:ascii="Arial" w:cs="Arial" w:eastAsia="Arial" w:hAnsi="Arial"/>
                <w:sz w:val="18"/>
                <w:szCs w:val="18"/>
                <w:color w:val="4C4C4C"/>
              </w:rPr>
              <w:t>(7)</w:t>
            </w:r>
          </w:p>
        </w:tc>
      </w:tr>
      <w:tr>
        <w:trPr>
          <w:trHeight w:val="274"/>
        </w:trPr>
        <w:tc>
          <w:tcPr>
            <w:tcW w:w="2480" w:type="dxa"/>
            <w:vAlign w:val="bottom"/>
          </w:tcPr>
          <w:p>
            <w:pPr>
              <w:ind w:left="60"/>
              <w:spacing w:after="0"/>
              <w:rPr>
                <w:sz w:val="20"/>
                <w:szCs w:val="20"/>
                <w:color w:val="auto"/>
              </w:rPr>
            </w:pPr>
            <w:r>
              <w:rPr>
                <w:rFonts w:ascii="Arial" w:cs="Arial" w:eastAsia="Arial" w:hAnsi="Arial"/>
                <w:sz w:val="18"/>
                <w:szCs w:val="18"/>
                <w:color w:val="4C4C4C"/>
              </w:rPr>
              <w:t>Fuping Chen</w:t>
            </w:r>
          </w:p>
        </w:tc>
        <w:tc>
          <w:tcPr>
            <w:tcW w:w="2500" w:type="dxa"/>
            <w:vAlign w:val="bottom"/>
          </w:tcPr>
          <w:p>
            <w:pPr>
              <w:jc w:val="right"/>
              <w:ind w:right="453"/>
              <w:spacing w:after="0"/>
              <w:rPr>
                <w:sz w:val="20"/>
                <w:szCs w:val="20"/>
                <w:color w:val="auto"/>
              </w:rPr>
            </w:pPr>
            <w:r>
              <w:rPr>
                <w:rFonts w:ascii="Arial" w:cs="Arial" w:eastAsia="Arial" w:hAnsi="Arial"/>
                <w:sz w:val="18"/>
                <w:szCs w:val="18"/>
                <w:color w:val="4C4C4C"/>
              </w:rPr>
              <w:t>103,871</w:t>
            </w:r>
          </w:p>
        </w:tc>
        <w:tc>
          <w:tcPr>
            <w:tcW w:w="1940" w:type="dxa"/>
            <w:vAlign w:val="bottom"/>
          </w:tcPr>
          <w:p>
            <w:pPr>
              <w:jc w:val="right"/>
              <w:ind w:right="533"/>
              <w:spacing w:after="0"/>
              <w:rPr>
                <w:sz w:val="20"/>
                <w:szCs w:val="20"/>
                <w:color w:val="auto"/>
              </w:rPr>
            </w:pPr>
            <w:r>
              <w:rPr>
                <w:rFonts w:ascii="Arial" w:cs="Arial" w:eastAsia="Arial" w:hAnsi="Arial"/>
                <w:sz w:val="18"/>
                <w:szCs w:val="18"/>
                <w:color w:val="4C4C4C"/>
              </w:rPr>
              <w:t>108,842</w:t>
            </w:r>
          </w:p>
        </w:tc>
        <w:tc>
          <w:tcPr>
            <w:tcW w:w="1500" w:type="dxa"/>
            <w:vAlign w:val="bottom"/>
          </w:tcPr>
          <w:p>
            <w:pPr>
              <w:jc w:val="right"/>
              <w:ind w:right="575"/>
              <w:spacing w:after="0"/>
              <w:rPr>
                <w:sz w:val="20"/>
                <w:szCs w:val="20"/>
                <w:color w:val="auto"/>
              </w:rPr>
            </w:pPr>
            <w:r>
              <w:rPr>
                <w:rFonts w:ascii="Arial" w:cs="Arial" w:eastAsia="Arial" w:hAnsi="Arial"/>
                <w:sz w:val="18"/>
                <w:szCs w:val="18"/>
                <w:color w:val="4C4C4C"/>
              </w:rPr>
              <w:t>5</w:t>
            </w:r>
          </w:p>
        </w:tc>
      </w:tr>
    </w:tbl>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Annual Cash Bonus Program</w:t>
      </w:r>
    </w:p>
    <w:p>
      <w:pPr>
        <w:spacing w:after="0" w:line="169"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4C4C4C"/>
        </w:rPr>
        <w:t>We do not have an established bonus policy for our NEOs. The compensation committee may decide, in its sole discretion, to reward NEOs with annual cash bonuses based on the achievement of individual NEO performance, our business performance (including revenues and profits, without specified targets), and development generally. Based on the foregoing considerations, for 2021 the compensation committee approved the following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38100</wp:posOffset>
            </wp:positionV>
            <wp:extent cx="2828925" cy="2146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28925" cy="21463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172" w:lineRule="exact"/>
        <w:rPr>
          <w:sz w:val="20"/>
          <w:szCs w:val="20"/>
          <w:color w:val="auto"/>
        </w:rPr>
      </w:pPr>
    </w:p>
    <w:tbl>
      <w:tblPr>
        <w:tblLayout w:type="fixed"/>
        <w:tblInd w:w="2280" w:type="dxa"/>
        <w:tblCellMar>
          <w:top w:w="0" w:type="dxa"/>
          <w:left w:w="0" w:type="dxa"/>
          <w:bottom w:w="0" w:type="dxa"/>
          <w:right w:w="0" w:type="dxa"/>
        </w:tblCellMar>
      </w:tblPr>
      <w:tr>
        <w:trPr>
          <w:trHeight w:val="196"/>
        </w:trPr>
        <w:tc>
          <w:tcPr>
            <w:tcW w:w="240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4"/>
                <w:szCs w:val="14"/>
                <w:b w:val="1"/>
                <w:bCs w:val="1"/>
                <w:color w:val="FFFFFF"/>
              </w:rPr>
              <w:t>Named Executive Officer</w:t>
            </w:r>
          </w:p>
        </w:tc>
        <w:tc>
          <w:tcPr>
            <w:tcW w:w="720" w:type="dxa"/>
            <w:vAlign w:val="bottom"/>
          </w:tcPr>
          <w:p>
            <w:pPr>
              <w:ind w:left="660"/>
              <w:spacing w:after="0"/>
              <w:rPr>
                <w:sz w:val="20"/>
                <w:szCs w:val="20"/>
                <w:color w:val="auto"/>
              </w:rPr>
            </w:pPr>
            <w:r>
              <w:rPr>
                <w:rFonts w:ascii="Times New Roman" w:cs="Times New Roman" w:eastAsia="Times New Roman" w:hAnsi="Times New Roman"/>
                <w:sz w:val="4"/>
                <w:szCs w:val="4"/>
                <w:color w:val="auto"/>
              </w:rPr>
              <w:t>​   ​</w:t>
            </w:r>
          </w:p>
        </w:tc>
      </w:t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7"/>
                <w:szCs w:val="17"/>
                <w:color w:val="4C4C4C"/>
              </w:rPr>
              <w:t>David H. Wang</w:t>
            </w:r>
          </w:p>
        </w:tc>
        <w:tc>
          <w:tcPr>
            <w:tcW w:w="720" w:type="dxa"/>
            <w:vAlign w:val="bottom"/>
          </w:tcPr>
          <w:p>
            <w:pPr>
              <w:ind w:left="660"/>
              <w:spacing w:after="0"/>
              <w:rPr>
                <w:sz w:val="20"/>
                <w:szCs w:val="20"/>
                <w:color w:val="auto"/>
              </w:rPr>
            </w:pPr>
            <w:r>
              <w:rPr>
                <w:rFonts w:ascii="Times New Roman" w:cs="Times New Roman" w:eastAsia="Times New Roman" w:hAnsi="Times New Roman"/>
                <w:sz w:val="4"/>
                <w:szCs w:val="4"/>
                <w:color w:val="auto"/>
              </w:rPr>
              <w:t>​   ​</w:t>
            </w:r>
          </w:p>
        </w:tc>
      </w:tr>
      <w:tr>
        <w:trPr>
          <w:trHeight w:val="311"/>
        </w:trPr>
        <w:tc>
          <w:tcPr>
            <w:tcW w:w="240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7"/>
                <w:szCs w:val="17"/>
                <w:color w:val="4C4C4C"/>
              </w:rPr>
              <w:t>Mark McKechnie</w:t>
            </w:r>
          </w:p>
        </w:tc>
        <w:tc>
          <w:tcPr>
            <w:tcW w:w="720" w:type="dxa"/>
            <w:vAlign w:val="bottom"/>
          </w:tcPr>
          <w:p>
            <w:pPr>
              <w:ind w:left="660"/>
              <w:spacing w:after="0"/>
              <w:rPr>
                <w:sz w:val="20"/>
                <w:szCs w:val="20"/>
                <w:color w:val="auto"/>
              </w:rPr>
            </w:pPr>
            <w:r>
              <w:rPr>
                <w:rFonts w:ascii="Times New Roman" w:cs="Times New Roman" w:eastAsia="Times New Roman" w:hAnsi="Times New Roman"/>
                <w:sz w:val="4"/>
                <w:szCs w:val="4"/>
                <w:color w:val="auto"/>
              </w:rPr>
              <w:t>​   ​</w:t>
            </w:r>
          </w:p>
        </w:tc>
      </w:tr>
      <w:tr>
        <w:trPr>
          <w:trHeight w:val="310"/>
        </w:trPr>
        <w:tc>
          <w:tcPr>
            <w:tcW w:w="240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7"/>
                <w:szCs w:val="17"/>
                <w:color w:val="4C4C4C"/>
              </w:rPr>
              <w:t>Jian Wang</w:t>
            </w:r>
          </w:p>
        </w:tc>
        <w:tc>
          <w:tcPr>
            <w:tcW w:w="720" w:type="dxa"/>
            <w:vAlign w:val="bottom"/>
          </w:tcPr>
          <w:p>
            <w:pPr>
              <w:ind w:left="660"/>
              <w:spacing w:after="0"/>
              <w:rPr>
                <w:sz w:val="20"/>
                <w:szCs w:val="20"/>
                <w:color w:val="auto"/>
              </w:rPr>
            </w:pPr>
            <w:r>
              <w:rPr>
                <w:rFonts w:ascii="Times New Roman" w:cs="Times New Roman" w:eastAsia="Times New Roman" w:hAnsi="Times New Roman"/>
                <w:sz w:val="4"/>
                <w:szCs w:val="4"/>
                <w:color w:val="auto"/>
              </w:rPr>
              <w:t>​   ​</w:t>
            </w:r>
          </w:p>
        </w:tc>
      </w:tr>
      <w:tr>
        <w:trPr>
          <w:trHeight w:val="310"/>
        </w:trPr>
        <w:tc>
          <w:tcPr>
            <w:tcW w:w="240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7"/>
                <w:szCs w:val="17"/>
                <w:color w:val="4C4C4C"/>
              </w:rPr>
              <w:t>Lisa Feng</w:t>
            </w:r>
          </w:p>
        </w:tc>
        <w:tc>
          <w:tcPr>
            <w:tcW w:w="720" w:type="dxa"/>
            <w:vAlign w:val="bottom"/>
          </w:tcPr>
          <w:p>
            <w:pPr>
              <w:ind w:left="660"/>
              <w:spacing w:after="0"/>
              <w:rPr>
                <w:sz w:val="20"/>
                <w:szCs w:val="20"/>
                <w:color w:val="auto"/>
              </w:rPr>
            </w:pPr>
            <w:r>
              <w:rPr>
                <w:rFonts w:ascii="Times New Roman" w:cs="Times New Roman" w:eastAsia="Times New Roman" w:hAnsi="Times New Roman"/>
                <w:sz w:val="4"/>
                <w:szCs w:val="4"/>
                <w:color w:val="auto"/>
              </w:rPr>
              <w:t>​   ​</w:t>
            </w:r>
          </w:p>
        </w:tc>
      </w:tr>
      <w:tr>
        <w:trPr>
          <w:trHeight w:val="310"/>
        </w:trPr>
        <w:tc>
          <w:tcPr>
            <w:tcW w:w="240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7"/>
                <w:szCs w:val="17"/>
                <w:color w:val="4C4C4C"/>
              </w:rPr>
              <w:t>Fuping Chen</w:t>
            </w:r>
          </w:p>
        </w:tc>
        <w:tc>
          <w:tcPr>
            <w:tcW w:w="720" w:type="dxa"/>
            <w:vAlign w:val="bottom"/>
          </w:tcPr>
          <w:p>
            <w:pPr>
              <w:ind w:left="660"/>
              <w:spacing w:after="0"/>
              <w:rPr>
                <w:sz w:val="20"/>
                <w:szCs w:val="20"/>
                <w:color w:val="auto"/>
              </w:rPr>
            </w:pPr>
            <w:r>
              <w:rPr>
                <w:rFonts w:ascii="Times New Roman" w:cs="Times New Roman" w:eastAsia="Times New Roman" w:hAnsi="Times New Roman"/>
                <w:sz w:val="4"/>
                <w:szCs w:val="4"/>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-764540</wp:posOffset>
            </wp:positionV>
            <wp:extent cx="2828925"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28925" cy="19685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-370205</wp:posOffset>
            </wp:positionV>
            <wp:extent cx="2828925"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28925" cy="196850"/>
                    </a:xfrm>
                    <a:prstGeom prst="rect">
                      <a:avLst/>
                    </a:prstGeom>
                    <a:noFill/>
                  </pic:spPr>
                </pic:pic>
              </a:graphicData>
            </a:graphic>
          </wp:anchor>
        </w:drawing>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Long-Term Incentive Program</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Bonus</w:t>
      </w:r>
    </w:p>
    <w:p>
      <w:pPr>
        <w:spacing w:after="0" w:line="99" w:lineRule="exact"/>
        <w:rPr>
          <w:sz w:val="20"/>
          <w:szCs w:val="20"/>
          <w:color w:val="auto"/>
        </w:rPr>
      </w:pPr>
    </w:p>
    <w:p>
      <w:pPr>
        <w:jc w:val="right"/>
        <w:ind w:right="2539"/>
        <w:spacing w:after="0" w:line="394" w:lineRule="auto"/>
        <w:rPr>
          <w:sz w:val="20"/>
          <w:szCs w:val="20"/>
          <w:color w:val="auto"/>
        </w:rPr>
      </w:pPr>
      <w:r>
        <w:rPr>
          <w:rFonts w:ascii="Arial" w:cs="Arial" w:eastAsia="Arial" w:hAnsi="Arial"/>
          <w:sz w:val="17"/>
          <w:szCs w:val="17"/>
          <w:color w:val="4C4C4C"/>
        </w:rPr>
        <w:t>$212,188 50,000 108,500 64,170 103,850</w:t>
      </w:r>
    </w:p>
    <w:p>
      <w:pPr>
        <w:spacing w:after="0" w:line="460" w:lineRule="exact"/>
        <w:rPr>
          <w:sz w:val="20"/>
          <w:szCs w:val="20"/>
          <w:color w:val="auto"/>
        </w:rPr>
      </w:pPr>
    </w:p>
    <w:p>
      <w:pPr>
        <w:sectPr>
          <w:pgSz w:w="11900" w:h="16838" w:orient="portrait"/>
          <w:cols w:equalWidth="0" w:num="2">
            <w:col w:w="5400" w:space="340"/>
            <w:col w:w="3279"/>
          </w:cols>
          <w:pgMar w:left="1440" w:top="263" w:right="1440" w:bottom="1440" w:gutter="0" w:footer="0" w:header="0"/>
          <w:type w:val="continuous"/>
        </w:sectPr>
      </w:pPr>
    </w:p>
    <w:p>
      <w:pPr>
        <w:jc w:val="both"/>
        <w:ind w:left="300" w:right="299"/>
        <w:spacing w:after="0" w:line="244" w:lineRule="auto"/>
        <w:rPr>
          <w:sz w:val="20"/>
          <w:szCs w:val="20"/>
          <w:color w:val="auto"/>
        </w:rPr>
      </w:pPr>
      <w:r>
        <w:rPr>
          <w:rFonts w:ascii="Arial" w:cs="Arial" w:eastAsia="Arial" w:hAnsi="Arial"/>
          <w:sz w:val="18"/>
          <w:szCs w:val="18"/>
          <w:color w:val="4C4C4C"/>
        </w:rPr>
        <w:t>Historically we have not typically granted stock options to NEOs on an annual basis. From time to time, however, we grant stock options, when appropriate, as the long-term incentive component of our compensation program. Our stock options allow our employees to purchase covered shares at a price equal to the fair market value on the date of grant. In some cases, we attach performance criterial to the vesting of the stock options. For 2021, we did not grant equity awards to NEOs.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Hedging and Pledging Prohibitions</w:t>
      </w:r>
    </w:p>
    <w:p>
      <w:pPr>
        <w:spacing w:after="0" w:line="169"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4C4C4C"/>
        </w:rPr>
        <w:t>Under our Restated Insider Trading Policy, employees and directors, as well as their family members, including our NEOs, may not hedge or pledge any ACM securities that they hold directly. An exception to this prohibition may be granted where a person wishes to pledge ACM securities as collateral for a loan (not including margin debt) and clearly demonstrates the financial capacity to repay the loan without resort to the pledged securities. Any employee (including each NEO) or director, as well as their family members, who wishes to pledge ACM securities as collateral for a loan must submit a request for approval to the chief financial officer at least two weeks prior to the proposed execution of documents evidencing the proposed pledge, except that any proposed pledge by the chief financial officer must be submitted to and either approved or prohibited by the chief executive officer.</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Clawbacks</w:t>
      </w:r>
    </w:p>
    <w:p>
      <w:pPr>
        <w:spacing w:after="0" w:line="169"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4C4C4C"/>
        </w:rPr>
        <w:t>Under our 2016 Omnibus Incentive Plan, all awards, amounts or benefits received or outstanding under the plan are subject to clawback, cancellation, recoupment, rescission, payback, reduction or other similar action in accordance with the terms of any clawback or similar policy we may adopt, or any applicable law related to such actions, as may be in effect from time to time. We have not adopted any clawback or similar policy to date.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Other Benefits</w:t>
      </w:r>
    </w:p>
    <w:p>
      <w:pPr>
        <w:spacing w:after="0" w:line="18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4C4C4C"/>
        </w:rPr>
        <w:t>Our PRC-based NEOs, which include all NEOs except U.S.-based Mark McKechnie, are generally eligible to participate in our health and welfare programs and retirement plans on the same basis as other PRC employees.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Perquisites</w:t>
      </w:r>
    </w:p>
    <w:p>
      <w:pPr>
        <w:spacing w:after="0" w:line="183"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We provide PRC-based members of senior management, including PRC-based NEOs, with an allowance for housing, which the compensation committee views as an essential tool to recruit and retain talented NEOs and which is an element of compensation commonly provided by international companies operating in China. In 2020 the following NEOs received a housing allowance: David Wang, Fuping Chen, Jian Wang and Lisa Feng. No NEOs received a housing allowance in 2021. For additional information, see “Executive Compensation—Summary Compensation Table” above.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Employment Agreements</w:t>
      </w:r>
    </w:p>
    <w:p>
      <w:pPr>
        <w:spacing w:after="0" w:line="169"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We enter into employment agreements with our employees located principally in the PRC, including all of our NEOs other than U.S.-based NEO Mark McKechnie, that contain an employment term and other statutorily required terms and conditions but do not include compensatory terms. In addition, ACM Shanghai was a party to an employment agreement with Lisa Feng that was entered into as of January 8, 2018 and extended through January 21, 2023. The agreement contained provisions with respect to base salary, annual bonus eligibility and certain severance payments.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79C1"/>
        </w:rPr>
        <w:t>Potential Payments Upon Termination or Change in Control</w:t>
      </w:r>
    </w:p>
    <w:p>
      <w:pPr>
        <w:spacing w:after="0" w:line="169"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Our option awards granted under our 2016 Omnibus Incentive Plan to employees, including NEOs, provide for acceleration upon a change in 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w:t>
      </w:r>
    </w:p>
    <w:p>
      <w:pPr>
        <w:spacing w:after="0" w:line="158"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4C4C4C"/>
        </w:rPr>
        <w:t>NEOs based in the PRC, who include all NEOs other than U.S.-based Mark McKechnie, may be entitled to statutory severance as required by applicable law.</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Internal Revenue Code Section 162(m) Considerations</w:t>
      </w:r>
    </w:p>
    <w:p>
      <w:pPr>
        <w:spacing w:after="0" w:line="189"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4C4C4C"/>
        </w:rPr>
        <w:t>Internal Revenue Code Section 162(m) limits the deductibility of compensation in excess of $1 million paid to any one NEO in any calendar year. Under the tax rules in effect before 2018, compensation that qualified as “performance-based” under Section 162(m) was deductible without regard to this $1 million limit. However, the Tax Cuts and Jobs Act, which was signed into law December 22, 2017, eliminated this performance-based compensation exception effective January 1, 2018, subject to a special rule that “grandfathers” certain awards and arrangements that were in effect on or before November 2, 2017. Moreover, from and after January 1, 2018, compensation awarded in excess of $1 million to our NEOs generally will not be deductible. While Section 162(m) limits the deductibility of compensation paid to the NEOs, the compensation committee will design compensation programs that are intended to be in the best long-term interests of our company and stockholders, with deductibility of compensation being one of a variety of considerations taken into account.</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Internal Revenue Code Sections 280G and 409A</w:t>
      </w:r>
    </w:p>
    <w:p>
      <w:pPr>
        <w:spacing w:after="0" w:line="189"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4C4C4C"/>
        </w:rPr>
        <w:t>We have not provided or committed to provide any NEO with a gross-up or other reimbursement for tax amounts the executive might pay pursuant to Section 280G or Section 409A of the Internal Revenue Code. Section 280G and related sections of the Internal Revenue Code provide that an executive officer and certain persons who hold significant stockholder interests and certain other service providers could be subject to significant additional taxes if they receive payments or benefits in connection with a change in control that exceeds certain limits, and that we or our successor could lose a deduction on the amounts subject to the additional tax. Section 409A also imposes additional significant taxes on the individual in the event that an executive officer, director or service provider of certain types receives “deferred compensation” that does not meet the requirements of Section 409A.</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Accounting for Stock-Based Compensation</w:t>
      </w:r>
    </w:p>
    <w:p>
      <w:pPr>
        <w:spacing w:after="0" w:line="189"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We follow the Financial Accounting Standard Board’s Accounting Standards Codification Topic 718 for our stock-based compensation awards, which requires us to measure the compensation expense for all share-based awards made to our employees and members of our Board, based on the grant date “fair value” of these awards. This calculation is performed for accounting purposes and reported in the executive compensation tables required by the federal securities laws, even though the recipient of the awards may realize no value from their awards.</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Report of the Compensation Committee</w:t>
      </w:r>
    </w:p>
    <w:p>
      <w:pPr>
        <w:spacing w:after="0" w:line="189"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The compensation committee of the board of directors has reviewed and discussed with management the section entitled “Compensation Discussion and Analysis” required by Item 402(b) of Regulation S-K and, based on such review and discussions, the compensation committee has recommended to the board that the section entitled “Compensation Discussion and Analysis” be included in this Proxy Statement and incorporated by reference into the Annual Report on Form 10-K of ACM Research, Inc. for the fiscal year ended December 31, 2021.</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Respectfully submitted by the members of the Compensation Committee:</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Haiping Dun (Chair)</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Tracy Liu</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4" w:lineRule="exact"/>
        <w:rPr>
          <w:sz w:val="20"/>
          <w:szCs w:val="20"/>
          <w:color w:val="auto"/>
        </w:rPr>
      </w:pPr>
    </w:p>
    <w:p>
      <w:pPr>
        <w:jc w:val="center"/>
        <w:ind w:left="300" w:right="319"/>
        <w:spacing w:after="0" w:line="241" w:lineRule="auto"/>
        <w:rPr>
          <w:sz w:val="20"/>
          <w:szCs w:val="20"/>
          <w:color w:val="auto"/>
        </w:rPr>
      </w:pPr>
      <w:r>
        <w:rPr>
          <w:rFonts w:ascii="Arial" w:cs="Arial" w:eastAsia="Arial" w:hAnsi="Arial"/>
          <w:sz w:val="25"/>
          <w:szCs w:val="25"/>
          <w:b w:val="1"/>
          <w:bCs w:val="1"/>
          <w:color w:val="0D3F64"/>
        </w:rPr>
        <w:t xml:space="preserve">Proposal </w:t>
      </w:r>
      <w:r>
        <w:rPr>
          <w:sz w:val="1"/>
          <w:szCs w:val="1"/>
          <w:color w:val="auto"/>
        </w:rPr>
        <w:drawing>
          <wp:inline distT="0" distB="0" distL="0" distR="0">
            <wp:extent cx="248285" cy="2286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8285" cy="228600"/>
                    </a:xfrm>
                    <a:prstGeom prst="rect">
                      <a:avLst/>
                    </a:prstGeom>
                    <a:noFill/>
                    <a:ln>
                      <a:noFill/>
                    </a:ln>
                  </pic:spPr>
                </pic:pic>
              </a:graphicData>
            </a:graphic>
          </wp:inline>
        </w:drawing>
      </w:r>
      <w:r>
        <w:rPr>
          <w:rFonts w:ascii="Arial" w:cs="Arial" w:eastAsia="Arial" w:hAnsi="Arial"/>
          <w:sz w:val="25"/>
          <w:szCs w:val="25"/>
          <w:b w:val="1"/>
          <w:bCs w:val="1"/>
          <w:color w:val="0D3F64"/>
        </w:rPr>
        <w:t>  — Ratification of Appointment of Independent Auditor for 2022</w:t>
      </w:r>
    </w:p>
    <w:p>
      <w:pPr>
        <w:spacing w:after="0" w:line="277"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4C4C4C"/>
        </w:rPr>
        <w:t>At the Annual Meeting, stockholders will be asked to ratify the audit committee’s selection of Armanino LLP, or Armanino, as our independent registered public accounting firm for 2022. Shares of common stock that are voted as recommended by the board will be voted in favor of the ratification of Armanino as our independent auditor for 2022.</w:t>
      </w:r>
    </w:p>
    <w:p>
      <w:pPr>
        <w:spacing w:after="0" w:line="13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On May 12, 2022, the audit committee completed a competitive selection process to determine our independent registered public accounting firm for the fiscal year ending December 31, 2022. The audit committee invited to participate in this process several audit firms that are subject to inspection by the Public Company Accounting Oversight Board, or PCAOB. In considering the appointment of a PCAOB-inspected audit firm for 2022, the audit committee identified firms that the audit committee believed were qualified to serve as an audit firm for a company of our size and in our industry. In each case we considered issues that might impact the independence of the qualified firm.</w:t>
      </w:r>
    </w:p>
    <w:p>
      <w:pPr>
        <w:spacing w:after="0" w:line="14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4C4C4C"/>
        </w:rPr>
        <w:t>BDO China Shu Lun Pan Certified Public Accountants LLP, or BDO China, which audited our consolidated financial statements from 2015 through 2021, is not permitted by PRC law to be inspected by the PCAOB and therefore was not considered by the audit committee in selecting our independent registered public accounting firm for 2022. During the fiscal years ended December 31, 2021 and 2020 and the subsequent interim period through March 31, 2022, there were (a) no “disagreements” (as defined in Item 304(a)(1)(iv) of the SEC’s Regulation S-K and the related instructions) with BDO China on any matter of accounting principles or practices, financial statement disclosure, or auditing scope or procedure that, if not resolved to the satisfaction of BDO China, would have caused BDO China to make reference thereto in its reports on the consolidated financial statements for such fiscal years and (b) no “reportable events” (as defined in Item 304(a)(1)(v) of Regulation S-K).</w:t>
      </w:r>
    </w:p>
    <w:p>
      <w:pPr>
        <w:spacing w:after="0" w:line="153"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As a result of its selection process, the audit committee approved the appointment of Armanino LLP, or Armanino, as our independent auditor to examine and report on our consolidated financial statements and internal controls over financial reporting for the fiscal year ending December 31, 2022. The audit committee considers Armanino to be well qualified. Even if the proposal is approved, the audit committee may, in its discretion, appoint a different independent registered public accounting firm to serve as independent auditor at any time during the year.</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Accordingly, stockholders are being asked to vote on the following resolution:</w:t>
      </w:r>
    </w:p>
    <w:p>
      <w:pPr>
        <w:spacing w:after="0" w:line="171" w:lineRule="exact"/>
        <w:rPr>
          <w:sz w:val="20"/>
          <w:szCs w:val="20"/>
          <w:color w:val="auto"/>
        </w:rPr>
      </w:pPr>
    </w:p>
    <w:p>
      <w:pPr>
        <w:jc w:val="both"/>
        <w:ind w:left="1540" w:right="319" w:hanging="890"/>
        <w:spacing w:after="0" w:line="247" w:lineRule="auto"/>
        <w:rPr>
          <w:sz w:val="20"/>
          <w:szCs w:val="20"/>
          <w:color w:val="auto"/>
        </w:rPr>
      </w:pPr>
      <w:r>
        <w:rPr>
          <w:rFonts w:ascii="Arial" w:cs="Arial" w:eastAsia="Arial" w:hAnsi="Arial"/>
          <w:sz w:val="18"/>
          <w:szCs w:val="18"/>
          <w:b w:val="1"/>
          <w:bCs w:val="1"/>
          <w:color w:val="4C4C4C"/>
        </w:rPr>
        <w:t>R</w:t>
      </w:r>
      <w:r>
        <w:rPr>
          <w:rFonts w:ascii="Arial" w:cs="Arial" w:eastAsia="Arial" w:hAnsi="Arial"/>
          <w:sz w:val="12"/>
          <w:szCs w:val="12"/>
          <w:b w:val="1"/>
          <w:bCs w:val="1"/>
          <w:color w:val="4C4C4C"/>
        </w:rPr>
        <w:t>esolved</w:t>
      </w:r>
      <w:r>
        <w:rPr>
          <w:rFonts w:ascii="Arial" w:cs="Arial" w:eastAsia="Arial" w:hAnsi="Arial"/>
          <w:sz w:val="18"/>
          <w:szCs w:val="18"/>
          <w:color w:val="4C4C4C"/>
        </w:rPr>
        <w:t>: That the stockholders ratify the appointment by the audit committee of the board of</w:t>
      </w:r>
      <w:r>
        <w:rPr>
          <w:rFonts w:ascii="Arial" w:cs="Arial" w:eastAsia="Arial" w:hAnsi="Arial"/>
          <w:sz w:val="18"/>
          <w:szCs w:val="18"/>
          <w:b w:val="1"/>
          <w:bCs w:val="1"/>
          <w:color w:val="4C4C4C"/>
        </w:rPr>
        <w:t xml:space="preserve"> </w:t>
      </w:r>
      <w:r>
        <w:rPr>
          <w:rFonts w:ascii="Arial" w:cs="Arial" w:eastAsia="Arial" w:hAnsi="Arial"/>
          <w:sz w:val="18"/>
          <w:szCs w:val="18"/>
          <w:color w:val="4C4C4C"/>
        </w:rPr>
        <w:t>directors of Armanino LLP as the independent registered public accounting firm of ACM Research, Inc. for the performance of independent audit services for the fiscal year ending December 31, 2022.</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1"/>
        </w:rPr>
        <w:t>The board of directors recommends a vote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9C1"/>
        </w:rPr>
        <w:t>FOR</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0079C1"/>
        </w:rPr>
        <w:t>the ratification of the appointment of Armanino as our independent auditor for 2022.</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ind w:left="3320"/>
        <w:spacing w:after="0"/>
        <w:rPr>
          <w:sz w:val="20"/>
          <w:szCs w:val="20"/>
          <w:color w:val="auto"/>
        </w:rPr>
      </w:pPr>
      <w:r>
        <w:rPr>
          <w:rFonts w:ascii="Arial" w:cs="Arial" w:eastAsia="Arial" w:hAnsi="Arial"/>
          <w:sz w:val="25"/>
          <w:szCs w:val="25"/>
          <w:b w:val="1"/>
          <w:bCs w:val="1"/>
          <w:color w:val="0D3F64"/>
        </w:rPr>
        <w:t>Accounting Matters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Principal Independent Auditor Fees</w:t>
      </w:r>
    </w:p>
    <w:p>
      <w:pPr>
        <w:spacing w:after="0" w:line="175" w:lineRule="exact"/>
        <w:rPr>
          <w:sz w:val="20"/>
          <w:szCs w:val="20"/>
          <w:color w:val="auto"/>
        </w:rPr>
      </w:pPr>
    </w:p>
    <w:p>
      <w:pPr>
        <w:ind w:left="300" w:right="319"/>
        <w:spacing w:after="0" w:line="271" w:lineRule="auto"/>
        <w:rPr>
          <w:sz w:val="20"/>
          <w:szCs w:val="20"/>
          <w:color w:val="auto"/>
        </w:rPr>
      </w:pPr>
      <w:r>
        <w:rPr>
          <w:rFonts w:ascii="Arial" w:cs="Arial" w:eastAsia="Arial" w:hAnsi="Arial"/>
          <w:sz w:val="18"/>
          <w:szCs w:val="18"/>
          <w:color w:val="4C4C4C"/>
        </w:rPr>
        <w:t>The following table sets forth the aggregate fees billed to us by BDO China (Shenzhen, China, PCAOB ID 1818) for professional services rendered for the years ended December 31, 2021 and 2020:</w:t>
      </w:r>
    </w:p>
    <w:p>
      <w:pPr>
        <w:spacing w:after="0" w:line="37" w:lineRule="exact"/>
        <w:rPr>
          <w:sz w:val="20"/>
          <w:szCs w:val="20"/>
          <w:color w:val="auto"/>
        </w:rPr>
      </w:pPr>
    </w:p>
    <w:tbl>
      <w:tblPr>
        <w:tblLayout w:type="fixed"/>
        <w:tblInd w:w="300" w:type="dxa"/>
        <w:tblCellMar>
          <w:top w:w="0" w:type="dxa"/>
          <w:left w:w="0" w:type="dxa"/>
          <w:bottom w:w="0" w:type="dxa"/>
          <w:right w:w="0" w:type="dxa"/>
        </w:tblCellMar>
      </w:tblPr>
      <w:tr>
        <w:trPr>
          <w:trHeight w:val="318"/>
        </w:trPr>
        <w:tc>
          <w:tcPr>
            <w:tcW w:w="4020" w:type="dxa"/>
            <w:vAlign w:val="bottom"/>
            <w:tcBorders>
              <w:bottom w:val="single" w:sz="8" w:color="0D3F64"/>
            </w:tcBorders>
            <w:shd w:val="clear" w:color="auto" w:fill="0D3F64"/>
          </w:tcPr>
          <w:p>
            <w:pPr>
              <w:spacing w:after="0"/>
              <w:rPr>
                <w:sz w:val="24"/>
                <w:szCs w:val="24"/>
                <w:color w:val="auto"/>
              </w:rPr>
            </w:pPr>
          </w:p>
        </w:tc>
        <w:tc>
          <w:tcPr>
            <w:tcW w:w="3340" w:type="dxa"/>
            <w:vAlign w:val="bottom"/>
            <w:tcBorders>
              <w:bottom w:val="single" w:sz="8" w:color="0D3F64"/>
            </w:tcBorders>
            <w:shd w:val="clear" w:color="auto" w:fill="0D3F64"/>
          </w:tcPr>
          <w:p>
            <w:pPr>
              <w:jc w:val="right"/>
              <w:ind w:right="395"/>
              <w:spacing w:after="0"/>
              <w:rPr>
                <w:sz w:val="20"/>
                <w:szCs w:val="20"/>
                <w:color w:val="auto"/>
              </w:rPr>
            </w:pPr>
            <w:r>
              <w:rPr>
                <w:rFonts w:ascii="Arial" w:cs="Arial" w:eastAsia="Arial" w:hAnsi="Arial"/>
                <w:sz w:val="14"/>
                <w:szCs w:val="14"/>
                <w:b w:val="1"/>
                <w:bCs w:val="1"/>
                <w:color w:val="FFFFFF"/>
              </w:rPr>
              <w:t>2021</w:t>
            </w:r>
          </w:p>
        </w:tc>
        <w:tc>
          <w:tcPr>
            <w:tcW w:w="1060" w:type="dxa"/>
            <w:vAlign w:val="bottom"/>
            <w:tcBorders>
              <w:bottom w:val="single" w:sz="8" w:color="0D3F64"/>
            </w:tcBorders>
            <w:shd w:val="clear" w:color="auto" w:fill="0D3F64"/>
          </w:tcPr>
          <w:p>
            <w:pPr>
              <w:jc w:val="right"/>
              <w:ind w:right="335"/>
              <w:spacing w:after="0"/>
              <w:rPr>
                <w:sz w:val="20"/>
                <w:szCs w:val="20"/>
                <w:color w:val="auto"/>
              </w:rPr>
            </w:pPr>
            <w:r>
              <w:rPr>
                <w:rFonts w:ascii="Arial" w:cs="Arial" w:eastAsia="Arial" w:hAnsi="Arial"/>
                <w:sz w:val="14"/>
                <w:szCs w:val="14"/>
                <w:b w:val="1"/>
                <w:bCs w:val="1"/>
                <w:color w:val="FFFFFF"/>
              </w:rPr>
              <w:t>2020</w:t>
            </w:r>
          </w:p>
        </w:tc>
      </w:tr>
      <w:tr>
        <w:trPr>
          <w:trHeight w:val="274"/>
        </w:trPr>
        <w:tc>
          <w:tcPr>
            <w:tcW w:w="4020" w:type="dxa"/>
            <w:vAlign w:val="bottom"/>
          </w:tcPr>
          <w:p>
            <w:pPr>
              <w:ind w:left="40"/>
              <w:spacing w:after="0"/>
              <w:rPr>
                <w:sz w:val="20"/>
                <w:szCs w:val="20"/>
                <w:color w:val="auto"/>
              </w:rPr>
            </w:pPr>
            <w:r>
              <w:rPr>
                <w:rFonts w:ascii="Arial" w:cs="Arial" w:eastAsia="Arial" w:hAnsi="Arial"/>
                <w:sz w:val="18"/>
                <w:szCs w:val="18"/>
                <w:color w:val="4C4C4C"/>
              </w:rPr>
              <w:t>Audit Fees(1)</w:t>
            </w:r>
          </w:p>
        </w:tc>
        <w:tc>
          <w:tcPr>
            <w:tcW w:w="3340" w:type="dxa"/>
            <w:vAlign w:val="bottom"/>
          </w:tcPr>
          <w:p>
            <w:pPr>
              <w:jc w:val="right"/>
              <w:ind w:right="75"/>
              <w:spacing w:after="0"/>
              <w:rPr>
                <w:sz w:val="20"/>
                <w:szCs w:val="20"/>
                <w:color w:val="auto"/>
              </w:rPr>
            </w:pPr>
            <w:r>
              <w:rPr>
                <w:rFonts w:ascii="Arial" w:cs="Arial" w:eastAsia="Arial" w:hAnsi="Arial"/>
                <w:sz w:val="18"/>
                <w:szCs w:val="18"/>
                <w:color w:val="4C4C4C"/>
              </w:rPr>
              <w:t>$  723,850</w:t>
            </w:r>
          </w:p>
        </w:tc>
        <w:tc>
          <w:tcPr>
            <w:tcW w:w="1060" w:type="dxa"/>
            <w:vAlign w:val="bottom"/>
          </w:tcPr>
          <w:p>
            <w:pPr>
              <w:jc w:val="right"/>
              <w:ind w:right="75"/>
              <w:spacing w:after="0"/>
              <w:rPr>
                <w:sz w:val="20"/>
                <w:szCs w:val="20"/>
                <w:color w:val="auto"/>
              </w:rPr>
            </w:pPr>
            <w:r>
              <w:rPr>
                <w:rFonts w:ascii="Arial" w:cs="Arial" w:eastAsia="Arial" w:hAnsi="Arial"/>
                <w:sz w:val="18"/>
                <w:szCs w:val="18"/>
                <w:color w:val="4C4C4C"/>
              </w:rPr>
              <w:t>$479,225</w:t>
            </w:r>
          </w:p>
        </w:tc>
      </w:tr>
      <w:tr>
        <w:trPr>
          <w:trHeight w:val="311"/>
        </w:trPr>
        <w:tc>
          <w:tcPr>
            <w:tcW w:w="4020" w:type="dxa"/>
            <w:vAlign w:val="bottom"/>
          </w:tcPr>
          <w:p>
            <w:pPr>
              <w:ind w:left="40"/>
              <w:spacing w:after="0"/>
              <w:rPr>
                <w:sz w:val="20"/>
                <w:szCs w:val="20"/>
                <w:color w:val="auto"/>
              </w:rPr>
            </w:pPr>
            <w:r>
              <w:rPr>
                <w:rFonts w:ascii="Arial" w:cs="Arial" w:eastAsia="Arial" w:hAnsi="Arial"/>
                <w:sz w:val="18"/>
                <w:szCs w:val="18"/>
                <w:color w:val="4C4C4C"/>
              </w:rPr>
              <w:t>Audit-related Fees(2)</w:t>
            </w:r>
          </w:p>
        </w:tc>
        <w:tc>
          <w:tcPr>
            <w:tcW w:w="3340" w:type="dxa"/>
            <w:vAlign w:val="bottom"/>
          </w:tcPr>
          <w:p>
            <w:pPr>
              <w:jc w:val="right"/>
              <w:ind w:right="75"/>
              <w:spacing w:after="0"/>
              <w:rPr>
                <w:sz w:val="20"/>
                <w:szCs w:val="20"/>
                <w:color w:val="auto"/>
              </w:rPr>
            </w:pPr>
            <w:r>
              <w:rPr>
                <w:rFonts w:ascii="Arial" w:cs="Arial" w:eastAsia="Arial" w:hAnsi="Arial"/>
                <w:sz w:val="18"/>
                <w:szCs w:val="18"/>
                <w:color w:val="4C4C4C"/>
              </w:rPr>
              <w:t>1,579,450</w:t>
            </w:r>
          </w:p>
        </w:tc>
        <w:tc>
          <w:tcPr>
            <w:tcW w:w="1060" w:type="dxa"/>
            <w:vAlign w:val="bottom"/>
          </w:tcPr>
          <w:p>
            <w:pPr>
              <w:jc w:val="right"/>
              <w:ind w:right="95"/>
              <w:spacing w:after="0"/>
              <w:rPr>
                <w:sz w:val="20"/>
                <w:szCs w:val="20"/>
                <w:color w:val="auto"/>
              </w:rPr>
            </w:pPr>
            <w:r>
              <w:rPr>
                <w:rFonts w:ascii="Arial" w:cs="Arial" w:eastAsia="Arial" w:hAnsi="Arial"/>
                <w:sz w:val="18"/>
                <w:szCs w:val="18"/>
                <w:color w:val="4C4C4C"/>
              </w:rPr>
              <w:t>410,350</w:t>
            </w:r>
          </w:p>
        </w:tc>
      </w:tr>
      <w:tr>
        <w:trPr>
          <w:trHeight w:val="310"/>
        </w:trPr>
        <w:tc>
          <w:tcPr>
            <w:tcW w:w="4020" w:type="dxa"/>
            <w:vAlign w:val="bottom"/>
          </w:tcPr>
          <w:p>
            <w:pPr>
              <w:ind w:left="40"/>
              <w:spacing w:after="0"/>
              <w:rPr>
                <w:sz w:val="20"/>
                <w:szCs w:val="20"/>
                <w:color w:val="auto"/>
              </w:rPr>
            </w:pPr>
            <w:r>
              <w:rPr>
                <w:rFonts w:ascii="Arial" w:cs="Arial" w:eastAsia="Arial" w:hAnsi="Arial"/>
                <w:sz w:val="18"/>
                <w:szCs w:val="18"/>
                <w:color w:val="4C4C4C"/>
              </w:rPr>
              <w:t>Total</w:t>
            </w:r>
          </w:p>
        </w:tc>
        <w:tc>
          <w:tcPr>
            <w:tcW w:w="3340" w:type="dxa"/>
            <w:vAlign w:val="bottom"/>
          </w:tcPr>
          <w:p>
            <w:pPr>
              <w:jc w:val="right"/>
              <w:ind w:right="75"/>
              <w:spacing w:after="0"/>
              <w:rPr>
                <w:sz w:val="20"/>
                <w:szCs w:val="20"/>
                <w:color w:val="auto"/>
              </w:rPr>
            </w:pPr>
            <w:r>
              <w:rPr>
                <w:rFonts w:ascii="Arial" w:cs="Arial" w:eastAsia="Arial" w:hAnsi="Arial"/>
                <w:sz w:val="18"/>
                <w:szCs w:val="18"/>
                <w:color w:val="4C4C4C"/>
              </w:rPr>
              <w:t>2,303,300</w:t>
            </w:r>
          </w:p>
        </w:tc>
        <w:tc>
          <w:tcPr>
            <w:tcW w:w="1060" w:type="dxa"/>
            <w:vAlign w:val="bottom"/>
          </w:tcPr>
          <w:p>
            <w:pPr>
              <w:jc w:val="right"/>
              <w:ind w:right="95"/>
              <w:spacing w:after="0"/>
              <w:rPr>
                <w:sz w:val="20"/>
                <w:szCs w:val="20"/>
                <w:color w:val="auto"/>
              </w:rPr>
            </w:pPr>
            <w:r>
              <w:rPr>
                <w:rFonts w:ascii="Arial" w:cs="Arial" w:eastAsia="Arial" w:hAnsi="Arial"/>
                <w:sz w:val="18"/>
                <w:szCs w:val="18"/>
                <w:color w:val="4C4C4C"/>
              </w:rPr>
              <w:t>889,575</w:t>
            </w:r>
          </w:p>
        </w:tc>
      </w:tr>
    </w:tbl>
    <w:p>
      <w:pPr>
        <w:spacing w:after="0" w:line="81" w:lineRule="exact"/>
        <w:rPr>
          <w:sz w:val="20"/>
          <w:szCs w:val="20"/>
          <w:color w:val="auto"/>
        </w:rPr>
      </w:pPr>
    </w:p>
    <w:p>
      <w:pPr>
        <w:jc w:val="both"/>
        <w:ind w:left="640" w:right="319" w:hanging="348"/>
        <w:spacing w:after="0" w:line="263" w:lineRule="auto"/>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services relating to the audit of the annual consolidated financial statements of ACM Research and ACM Shanghai, review of quarterly consolidated financial statements, statutory audits, comfort letters, and consents and review of documentation filed with SEC-registered and other securities offerings.</w:t>
      </w:r>
    </w:p>
    <w:p>
      <w:pPr>
        <w:spacing w:after="0" w:line="10" w:lineRule="exact"/>
        <w:rPr>
          <w:rFonts w:ascii="Arial" w:cs="Arial" w:eastAsia="Arial" w:hAnsi="Arial"/>
          <w:sz w:val="14"/>
          <w:szCs w:val="14"/>
          <w:color w:val="auto"/>
        </w:rPr>
      </w:pPr>
    </w:p>
    <w:p>
      <w:pPr>
        <w:ind w:left="640" w:right="319" w:hanging="348"/>
        <w:spacing w:after="0" w:line="285" w:lineRule="auto"/>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services relating to the audit of the financial statements of ACM Shanghai in connection with its initial public offering on the Shanghai Stock Exchange’s Sci-Tech innovAtion boaRd.</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Audit Committee Pre-Approval Policies and Procedures</w:t>
      </w:r>
    </w:p>
    <w:p>
      <w:pPr>
        <w:spacing w:after="0" w:line="175"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The audit committee has adopted a policy that requires the audit committee or a member of the audit committee to pre-approve all engagements with our independent auditor. These services include audit services, audit-related services and tax services. Each year, the audit committee must approve the independent auditor’s retention to audit our financial statements, subject to ratification by the stockholders. The audit committee also approves the estimated fees associated with the audit before the audit begins. The audit committee or a member of the audit committee also pre-approves any engagement of an auditing firm other than the independent auditor to perform a statutory audit for any of our subsidiaries.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Report of the Audit Committee</w:t>
      </w:r>
    </w:p>
    <w:p>
      <w:pPr>
        <w:spacing w:after="0" w:line="189"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4C4C4C"/>
        </w:rPr>
        <w:t xml:space="preserve">The audit committee, or the Audit Committee, of the board of directors of ACM Research, Inc., or ACM, consists entirely of directors who meet the independence requirements of the listing standards of Nasdaq and the rules and regulations of the SEC, as determined by the board of directors. The Audit Committee is responsible for providing independent, objective oversight of the financial reporting processes and internal controls ACM. The Audit Committee operates under a written charter approved by the board of directors. A copy of the current charter is available at </w:t>
      </w:r>
      <w:r>
        <w:rPr>
          <w:rFonts w:ascii="Arial" w:cs="Arial" w:eastAsia="Arial" w:hAnsi="Arial"/>
          <w:sz w:val="18"/>
          <w:szCs w:val="18"/>
          <w:i w:val="1"/>
          <w:iCs w:val="1"/>
          <w:color w:val="4C4C4C"/>
        </w:rPr>
        <w:t>media.corporate-ir.net/media_files/IROL/25/254659/acm-ac-charter-final.pdf</w:t>
      </w:r>
      <w:r>
        <w:rPr>
          <w:rFonts w:ascii="Arial" w:cs="Arial" w:eastAsia="Arial" w:hAnsi="Arial"/>
          <w:sz w:val="18"/>
          <w:szCs w:val="18"/>
          <w:color w:val="4C4C4C"/>
        </w:rPr>
        <w:t>.</w:t>
      </w:r>
    </w:p>
    <w:p>
      <w:pPr>
        <w:spacing w:after="0" w:line="14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4C4C4C"/>
        </w:rPr>
        <w:t>Management is responsible for ACM’s system of internal control and financial reporting processes, for the preparation of consolidated financial statements in accordance with U.S. generally accepted accounting principles and for the annual report on ACM’s internal control over financial reporting. The independent auditor is responsible for performing an independent audit of ACM’s consolidated financial statements in accordance with the standards of the Public Company Accounting Oversight Board, or PCAOB, and for issuing a report on the financial statements and the effectiveness of ACM’s internal control over financial reporting. The Audit Committee’s responsibility is to monitor and oversee these processes. In performing its functions, the Audit Committee acts only in an oversight capacity and necessarily relied on the work and assurances of management, the internal audit group, and the independent auditor. Audit Committee members do not serve as professional accountants or auditors for ACM, and their functions are not intended to duplicate or certify the activities of ACM’s management or independent auditor.</w:t>
      </w:r>
    </w:p>
    <w:p>
      <w:pPr>
        <w:spacing w:after="0" w:line="145"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Consistent with its monitoring and oversight responsibilities, the Audit Committee met with management and BDO Shu Lun Pan, LLC, or BDO China, the independent auditor of ACM, to review and discuss the December 31, 2021 audited consolidated financial statements. Management represented that ACM had prepared the consolidated financial statements in accordance with U.S. generally accepted accounting principles. The Audit Committee discussed with BDO China the matters required by the PCAOB in accordance with Auditing Standard No. 1301, “Communications with Audit Committees.”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The Audit Committee received from BDO China the written communication that is required by PCAOB Rule 3526, “Communication with Audit Committees Concerning Independence,” and the Audit Committee discussed with BDO China that firm’s independence. The Audit Committee also considered whether BDO China’s provision of non-audit services and the audit and non-audit fees paid to BDO China were compatible with maintaining that firm’s independence. On the basis of these reviews, the Audit Committee determined that BDO China has the requisite independence.</w:t>
      </w:r>
    </w:p>
    <w:p>
      <w:pPr>
        <w:spacing w:after="0" w:line="152"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Management completed the documentation, testing and evaluation of ACM’s system of internal control over financial reporting as of December 31, 2021 as required by Section 404 of the Sarbanes-Oxley Act of 2002. The Audit Committee received periodic updates from management and BDO China at Audit Committee meetings throughout the year and provided oversight of the process. Prior to filing ACM’s Annual Report on Form 10-K for the fiscal year ended December 31, 2021, or the Form 10-K, with the SEC, the Audit Committee also reviewed management’s report on the effectiveness of ACM’s internal control over financial reporting contained in the Form 10-K, as well as the Report of Independent Registered Public Accounting Firm provided by BDO China and also included in the Form 10-K. BDO China’s report included in the Form 10-K related to its audit of ACM’s consolidated financial statements.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Based upon the Audit Committee’s discussions with management and BDO China and the Audit Committee’s review of the information provided by, and the representations of, management, the Audit Committee recommended to the board that the audited consolidated financial statements of ACM as of and for the year ended December 31, 2021 be included in the Form 10-K.</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Respectfully submitted by the members of the Audit Committee.</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Tracy Liu (Chair)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Haiping Dun</w:t>
      </w:r>
    </w:p>
    <w:p>
      <w:pPr>
        <w:ind w:left="300"/>
        <w:spacing w:after="0"/>
        <w:rPr>
          <w:sz w:val="20"/>
          <w:szCs w:val="20"/>
          <w:color w:val="auto"/>
        </w:rPr>
      </w:pPr>
      <w:r>
        <w:rPr>
          <w:rFonts w:ascii="Arial" w:cs="Arial" w:eastAsia="Arial" w:hAnsi="Arial"/>
          <w:sz w:val="18"/>
          <w:szCs w:val="18"/>
          <w:color w:val="auto"/>
        </w:rPr>
        <w:t>Yinan Xiang</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Stockholder Proposals for 2023 Annual Meeting</w:t>
      </w:r>
    </w:p>
    <w:p>
      <w:pPr>
        <w:spacing w:after="0" w:line="339"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4C4C4C"/>
        </w:rPr>
        <w:t>In order for stockholder proposals for the 2023 Annual Meeting of Stockholders to be eligible for inclusion in the proxy statement and form of proxy card for that meeting, we must receive the proposals at our corporate headquarters, 42307 Osgood Road, Suite I, Fremont, California 94539, directed to the attention of our Corporate Secretary, no later than January 20, 2023. In addition, all proposals will need to comply with Rule 14a-8 of the Securities Exchange Act, which sets forth the requirements for the inclusion of stockholder proposals in our sponsored proxy materials.</w:t>
      </w:r>
    </w:p>
    <w:p>
      <w:pPr>
        <w:spacing w:after="0" w:line="152"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4C4C4C"/>
        </w:rPr>
        <w:t xml:space="preserve">Our bylaws set forth the procedures you must follow in order to nominate a director for election or present any other proposal at an annual meeting of our stockholders, other than proposals intended to be included in our sponsored proxy materials. In addition to any other applicable requirements, for a stockholder to properly bring business before the 2023 Annual Meeting of Stockholders, the stockholder must give us notice thereof in proper written form, including all required information, at our corporate headquarters, 42307 Osgood Road, Suite I, Fremont, California 94539, directed to the attention of our Corporate Secretary, no later than the close of business on April 1, 2023, nor earlier than the close of business on March 2, 2023. A copy of our bylaws is available at </w:t>
      </w:r>
      <w:r>
        <w:rPr>
          <w:rFonts w:ascii="Arial" w:cs="Arial" w:eastAsia="Arial" w:hAnsi="Arial"/>
          <w:sz w:val="18"/>
          <w:szCs w:val="18"/>
          <w:i w:val="1"/>
          <w:iCs w:val="1"/>
          <w:color w:val="4C4C4C"/>
        </w:rPr>
        <w:t>sec.gov/Archives/edgar/data/1680062/000119312517342650/d407541dex302.htm.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Delivery of Documents to Security Holders Sharing an Address</w:t>
      </w:r>
    </w:p>
    <w:p>
      <w:pPr>
        <w:spacing w:after="0" w:line="339"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4C4C4C"/>
        </w:rPr>
        <w:t xml:space="preserve">SEC rules permit us to deliver one copy of the proxy materials, or one Notice of Internet Availability, to two or more stockholders who share an address, unless we have received contrary instructions from one or more of the stockholders. This delivery method, which is known as “householding,” can reduce our expenses for printing and mailing. Any stockholder of record at a shared address to which a single copy of the proxy materials or Notice of Internet Availability, was delivered may request a separate copy of the proxy materials, or Notice of Internet Availability, as applicable, by (a) sending a letter to Shareholder Services at ACM Research, Inc., 42307 Osgood Road, Suite I, Fremont, California 94539, to the attention of our Corporate Secretary, or (b) sending us an email at </w:t>
      </w:r>
      <w:r>
        <w:rPr>
          <w:rFonts w:ascii="Arial" w:cs="Arial" w:eastAsia="Arial" w:hAnsi="Arial"/>
          <w:sz w:val="18"/>
          <w:szCs w:val="18"/>
          <w:i w:val="1"/>
          <w:iCs w:val="1"/>
          <w:color w:val="4C4C4C"/>
        </w:rPr>
        <w:t>investor.relations@acmrcsh.com</w:t>
      </w:r>
      <w:r>
        <w:rPr>
          <w:rFonts w:ascii="Arial" w:cs="Arial" w:eastAsia="Arial" w:hAnsi="Arial"/>
          <w:sz w:val="18"/>
          <w:szCs w:val="18"/>
          <w:color w:val="4C4C4C"/>
        </w:rPr>
        <w:t>. Stockholders of record who wish to receive separate copies of these documents in the future may also contact us as stated above. Stockholders of record who share an address and receive two or more copies of the proxy materials or Notice of Internet Availability may contact us as stated above to request delivery of a single copy. A stockholder who holds shares in “street name” and who wishes to obtain copies of proxy materials should follow the instructions on the stockholder’s voting instruction form or should contact the holder of record.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Other Matters</w:t>
      </w:r>
    </w:p>
    <w:p>
      <w:pPr>
        <w:spacing w:after="0" w:line="339"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4C4C4C"/>
        </w:rPr>
        <w:t>We will pay all expenses of preparing, printing and mailing the Annual Meeting proxy materials, as well as all other expenses of soliciting proxies for the Annual Meeting on behalf of the board of directors.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342265</wp:posOffset>
            </wp:positionV>
            <wp:extent cx="1139825" cy="7112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3982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 </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4C4C4C"/>
        </w:rPr>
        <w:t> </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i w:val="1"/>
          <w:iCs w:val="1"/>
          <w:color w:val="4C4C4C"/>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859"/>
        <w:spacing w:after="0" w:line="273" w:lineRule="auto"/>
        <w:rPr>
          <w:sz w:val="20"/>
          <w:szCs w:val="20"/>
          <w:color w:val="auto"/>
        </w:rPr>
      </w:pPr>
      <w:r>
        <w:rPr>
          <w:rFonts w:ascii="Arial" w:cs="Arial" w:eastAsia="Arial" w:hAnsi="Arial"/>
          <w:sz w:val="25"/>
          <w:szCs w:val="25"/>
          <w:b w:val="1"/>
          <w:bCs w:val="1"/>
          <w:color w:val="546483"/>
        </w:rPr>
        <w:t>ACM RESEARCH, INC. 2022 Annual Meeting of Stockholders Rules of Conduct and Procedures</w:t>
      </w:r>
    </w:p>
    <w:p>
      <w:pPr>
        <w:spacing w:after="0" w:line="145" w:lineRule="exact"/>
        <w:rPr>
          <w:sz w:val="20"/>
          <w:szCs w:val="20"/>
          <w:color w:val="auto"/>
        </w:rPr>
      </w:pPr>
    </w:p>
    <w:p>
      <w:pPr>
        <w:sectPr>
          <w:pgSz w:w="11900" w:h="16838" w:orient="portrait"/>
          <w:cols w:equalWidth="0" w:num="2">
            <w:col w:w="1980" w:space="720"/>
            <w:col w:w="6319"/>
          </w:cols>
          <w:pgMar w:left="1440" w:top="263" w:right="1440" w:bottom="1440" w:gutter="0" w:footer="0" w:header="0"/>
        </w:sectPr>
      </w:pPr>
    </w:p>
    <w:p>
      <w:pPr>
        <w:jc w:val="both"/>
        <w:ind w:left="300" w:right="299"/>
        <w:spacing w:after="0" w:line="253" w:lineRule="auto"/>
        <w:rPr>
          <w:sz w:val="20"/>
          <w:szCs w:val="20"/>
          <w:color w:val="auto"/>
        </w:rPr>
      </w:pPr>
      <w:r>
        <w:rPr>
          <w:rFonts w:ascii="Arial" w:cs="Arial" w:eastAsia="Arial" w:hAnsi="Arial"/>
          <w:sz w:val="18"/>
          <w:szCs w:val="18"/>
          <w:color w:val="4C4C4C"/>
        </w:rPr>
        <w:t>Welcome to the 2022 Annual Meeting of Stockholders (the “Annual Meeting”) of ACM Research, Inc. (the “Company”). In the interest of providing a fair and informative Annual Meeting, participants are required to honor the following Rules of Conduct and Procedures:</w:t>
      </w:r>
    </w:p>
    <w:p>
      <w:pPr>
        <w:spacing w:after="0" w:line="128" w:lineRule="exact"/>
        <w:rPr>
          <w:sz w:val="20"/>
          <w:szCs w:val="20"/>
          <w:color w:val="auto"/>
        </w:rPr>
      </w:pPr>
    </w:p>
    <w:p>
      <w:pPr>
        <w:ind w:left="640" w:right="319" w:hanging="348"/>
        <w:spacing w:after="0" w:line="271" w:lineRule="auto"/>
        <w:tabs>
          <w:tab w:leader="none" w:pos="640" w:val="left"/>
        </w:tabs>
        <w:numPr>
          <w:ilvl w:val="0"/>
          <w:numId w:val="54"/>
        </w:numPr>
        <w:rPr>
          <w:rFonts w:ascii="Arial" w:cs="Arial" w:eastAsia="Arial" w:hAnsi="Arial"/>
          <w:sz w:val="18"/>
          <w:szCs w:val="18"/>
          <w:color w:val="4C4C4C"/>
        </w:rPr>
      </w:pPr>
      <w:r>
        <w:rPr>
          <w:rFonts w:ascii="Arial" w:cs="Arial" w:eastAsia="Arial" w:hAnsi="Arial"/>
          <w:sz w:val="18"/>
          <w:szCs w:val="18"/>
          <w:color w:val="4C4C4C"/>
        </w:rPr>
        <w:t>The Company’s bylaws describe requirements for meetings of our stockholders, and the Annual Meeting will be conducted consistent with those requirements.</w:t>
      </w:r>
    </w:p>
    <w:p>
      <w:pPr>
        <w:spacing w:after="0" w:line="126" w:lineRule="exact"/>
        <w:rPr>
          <w:rFonts w:ascii="Arial" w:cs="Arial" w:eastAsia="Arial" w:hAnsi="Arial"/>
          <w:sz w:val="18"/>
          <w:szCs w:val="18"/>
          <w:color w:val="4C4C4C"/>
        </w:rPr>
      </w:pPr>
    </w:p>
    <w:p>
      <w:pPr>
        <w:jc w:val="both"/>
        <w:ind w:left="640" w:right="299" w:hanging="348"/>
        <w:spacing w:after="0" w:line="239" w:lineRule="auto"/>
        <w:tabs>
          <w:tab w:leader="none" w:pos="640" w:val="left"/>
        </w:tabs>
        <w:numPr>
          <w:ilvl w:val="0"/>
          <w:numId w:val="54"/>
        </w:numPr>
        <w:rPr>
          <w:rFonts w:ascii="Arial" w:cs="Arial" w:eastAsia="Arial" w:hAnsi="Arial"/>
          <w:sz w:val="18"/>
          <w:szCs w:val="18"/>
          <w:color w:val="4C4C4C"/>
        </w:rPr>
      </w:pPr>
      <w:r>
        <w:rPr>
          <w:rFonts w:ascii="Arial" w:cs="Arial" w:eastAsia="Arial" w:hAnsi="Arial"/>
          <w:sz w:val="18"/>
          <w:szCs w:val="18"/>
          <w:color w:val="4C4C4C"/>
        </w:rPr>
        <w:t>The Chair of the Company’s Board of Directors will serve as the chair of the Annual Meeting (the “Chair”) and will have the authority and discretion necessary to preside over the Annual Meeting, including following adjournment of the formal business of the Annual Meeting. In the event of disorder, technical malfunction or any other issue that disrupts the Annual Meeting, the Chair may adjourn, recess or expedite the Annual Meeting or take such other action that he determines is appropriate in light of the circumstances. In the event of any question of conduct or procedures that is not addressed expressly and clearly by these Rules of Conduct and Procedure, the Chair is authorized to address the question in such manner as he determines, in his reasonable judgment, to be in the best interest of conducting a fair and informative Annual Meeting consistent with the purposes of the Annual Meeting.</w:t>
      </w:r>
    </w:p>
    <w:p>
      <w:pPr>
        <w:spacing w:after="0" w:line="139" w:lineRule="exact"/>
        <w:rPr>
          <w:rFonts w:ascii="Arial" w:cs="Arial" w:eastAsia="Arial" w:hAnsi="Arial"/>
          <w:sz w:val="18"/>
          <w:szCs w:val="18"/>
          <w:color w:val="4C4C4C"/>
        </w:rPr>
      </w:pPr>
    </w:p>
    <w:p>
      <w:pPr>
        <w:jc w:val="both"/>
        <w:ind w:left="640" w:right="299" w:hanging="348"/>
        <w:spacing w:after="0" w:line="253" w:lineRule="auto"/>
        <w:tabs>
          <w:tab w:leader="none" w:pos="640" w:val="left"/>
        </w:tabs>
        <w:numPr>
          <w:ilvl w:val="0"/>
          <w:numId w:val="54"/>
        </w:numPr>
        <w:rPr>
          <w:rFonts w:ascii="Arial" w:cs="Arial" w:eastAsia="Arial" w:hAnsi="Arial"/>
          <w:sz w:val="18"/>
          <w:szCs w:val="18"/>
          <w:color w:val="4C4C4C"/>
        </w:rPr>
      </w:pPr>
      <w:r>
        <w:rPr>
          <w:rFonts w:ascii="Arial" w:cs="Arial" w:eastAsia="Arial" w:hAnsi="Arial"/>
          <w:sz w:val="18"/>
          <w:szCs w:val="18"/>
          <w:color w:val="4C4C4C"/>
        </w:rPr>
        <w:t>The Annual Meeting is a virtual-only meeting. The live audio webcast of the Annual Meeting will be available for listening by the general public, but participation in the Annual Meeting, including voting shares and submitting questions, will be limited to stockholders.</w:t>
      </w:r>
    </w:p>
    <w:p>
      <w:pPr>
        <w:spacing w:after="0" w:line="128" w:lineRule="exact"/>
        <w:rPr>
          <w:rFonts w:ascii="Arial" w:cs="Arial" w:eastAsia="Arial" w:hAnsi="Arial"/>
          <w:sz w:val="18"/>
          <w:szCs w:val="18"/>
          <w:color w:val="4C4C4C"/>
        </w:rPr>
      </w:pPr>
    </w:p>
    <w:p>
      <w:pPr>
        <w:ind w:left="640" w:right="319" w:hanging="348"/>
        <w:spacing w:after="0" w:line="271" w:lineRule="auto"/>
        <w:tabs>
          <w:tab w:leader="none" w:pos="640" w:val="left"/>
        </w:tabs>
        <w:numPr>
          <w:ilvl w:val="0"/>
          <w:numId w:val="54"/>
        </w:numPr>
        <w:rPr>
          <w:rFonts w:ascii="Arial" w:cs="Arial" w:eastAsia="Arial" w:hAnsi="Arial"/>
          <w:sz w:val="18"/>
          <w:szCs w:val="18"/>
          <w:color w:val="4C4C4C"/>
        </w:rPr>
      </w:pPr>
      <w:r>
        <w:rPr>
          <w:rFonts w:ascii="Arial" w:cs="Arial" w:eastAsia="Arial" w:hAnsi="Arial"/>
          <w:sz w:val="18"/>
          <w:szCs w:val="18"/>
          <w:color w:val="4C4C4C"/>
        </w:rPr>
        <w:t xml:space="preserve">Participants may access a live webcast of the Annual Meeting, and stockholders may submit questions and vote their shares, at </w:t>
      </w:r>
      <w:r>
        <w:rPr>
          <w:rFonts w:ascii="Arial" w:cs="Arial" w:eastAsia="Arial" w:hAnsi="Arial"/>
          <w:sz w:val="18"/>
          <w:szCs w:val="18"/>
          <w:i w:val="1"/>
          <w:iCs w:val="1"/>
          <w:color w:val="4C4C4C"/>
        </w:rPr>
        <w:t>virtualshareholdermeeting.com/ACMR2022</w:t>
      </w:r>
      <w:r>
        <w:rPr>
          <w:rFonts w:ascii="Arial" w:cs="Arial" w:eastAsia="Arial" w:hAnsi="Arial"/>
          <w:sz w:val="18"/>
          <w:szCs w:val="18"/>
          <w:color w:val="4C4C4C"/>
        </w:rPr>
        <w:t>.</w:t>
      </w:r>
    </w:p>
    <w:p>
      <w:pPr>
        <w:spacing w:after="0" w:line="126" w:lineRule="exact"/>
        <w:rPr>
          <w:rFonts w:ascii="Arial" w:cs="Arial" w:eastAsia="Arial" w:hAnsi="Arial"/>
          <w:sz w:val="18"/>
          <w:szCs w:val="18"/>
          <w:color w:val="4C4C4C"/>
        </w:rPr>
      </w:pPr>
    </w:p>
    <w:p>
      <w:pPr>
        <w:jc w:val="both"/>
        <w:ind w:left="640" w:right="299" w:hanging="348"/>
        <w:spacing w:after="0" w:line="242" w:lineRule="auto"/>
        <w:tabs>
          <w:tab w:leader="none" w:pos="640" w:val="left"/>
        </w:tabs>
        <w:numPr>
          <w:ilvl w:val="0"/>
          <w:numId w:val="54"/>
        </w:numPr>
        <w:rPr>
          <w:rFonts w:ascii="Arial" w:cs="Arial" w:eastAsia="Arial" w:hAnsi="Arial"/>
          <w:sz w:val="18"/>
          <w:szCs w:val="18"/>
          <w:color w:val="4C4C4C"/>
        </w:rPr>
      </w:pPr>
      <w:r>
        <w:rPr>
          <w:rFonts w:ascii="Arial" w:cs="Arial" w:eastAsia="Arial" w:hAnsi="Arial"/>
          <w:sz w:val="18"/>
          <w:szCs w:val="18"/>
          <w:color w:val="4C4C4C"/>
        </w:rPr>
        <w:t>Each stockholder of record as of 5 p.m., Eastern time, on May 3, 2022 may log into the webcast by entering the 16-digit control number included on the Notice of Internet Availability of Proxy Materials or proxy card received from the Company. If you have voted your shares prior to the start of the Annual Meeting, your vote has been received by the Company’s inspector of elections and there is no need to vote those shares during the Annual Meeting, unless you wish to revoke or change your vote.</w:t>
      </w:r>
    </w:p>
    <w:p>
      <w:pPr>
        <w:spacing w:after="0" w:line="138" w:lineRule="exact"/>
        <w:rPr>
          <w:rFonts w:ascii="Arial" w:cs="Arial" w:eastAsia="Arial" w:hAnsi="Arial"/>
          <w:sz w:val="18"/>
          <w:szCs w:val="18"/>
          <w:color w:val="4C4C4C"/>
        </w:rPr>
      </w:pPr>
    </w:p>
    <w:p>
      <w:pPr>
        <w:jc w:val="both"/>
        <w:ind w:left="640" w:right="299" w:hanging="348"/>
        <w:spacing w:after="0" w:line="244" w:lineRule="auto"/>
        <w:tabs>
          <w:tab w:leader="none" w:pos="640" w:val="left"/>
        </w:tabs>
        <w:numPr>
          <w:ilvl w:val="0"/>
          <w:numId w:val="54"/>
        </w:numPr>
        <w:rPr>
          <w:rFonts w:ascii="Arial" w:cs="Arial" w:eastAsia="Arial" w:hAnsi="Arial"/>
          <w:sz w:val="18"/>
          <w:szCs w:val="18"/>
          <w:color w:val="4C4C4C"/>
        </w:rPr>
      </w:pPr>
      <w:r>
        <w:rPr>
          <w:rFonts w:ascii="Arial" w:cs="Arial" w:eastAsia="Arial" w:hAnsi="Arial"/>
          <w:sz w:val="18"/>
          <w:szCs w:val="18"/>
          <w:color w:val="4C4C4C"/>
        </w:rPr>
        <w:t>The Meeting will begin at 7:00 a.m., Pacific time, on June 30, 2022. The only business to be conducted at the Annual Meeting will consist of the consideration of, and voting on, the two proposals set forth in the Proxy Statement for the Annual Meeting. These proposals will be considered sequentially at the Annual Meeting, in the order they are enumerated and set forth in the Proxy Statement.</w:t>
      </w:r>
    </w:p>
    <w:p>
      <w:pPr>
        <w:spacing w:after="0" w:line="135" w:lineRule="exact"/>
        <w:rPr>
          <w:rFonts w:ascii="Arial" w:cs="Arial" w:eastAsia="Arial" w:hAnsi="Arial"/>
          <w:sz w:val="18"/>
          <w:szCs w:val="18"/>
          <w:color w:val="4C4C4C"/>
        </w:rPr>
      </w:pPr>
    </w:p>
    <w:p>
      <w:pPr>
        <w:jc w:val="both"/>
        <w:ind w:left="640" w:right="299" w:hanging="348"/>
        <w:spacing w:after="0"/>
        <w:tabs>
          <w:tab w:leader="none" w:pos="640" w:val="left"/>
        </w:tabs>
        <w:numPr>
          <w:ilvl w:val="0"/>
          <w:numId w:val="54"/>
        </w:numPr>
        <w:rPr>
          <w:rFonts w:ascii="Arial" w:cs="Arial" w:eastAsia="Arial" w:hAnsi="Arial"/>
          <w:sz w:val="18"/>
          <w:szCs w:val="18"/>
          <w:color w:val="4C4C4C"/>
        </w:rPr>
      </w:pPr>
      <w:r>
        <w:rPr>
          <w:rFonts w:ascii="Arial" w:cs="Arial" w:eastAsia="Arial" w:hAnsi="Arial"/>
          <w:sz w:val="18"/>
          <w:szCs w:val="18"/>
          <w:color w:val="4C4C4C"/>
        </w:rPr>
        <w:t>If a stockholder has a question about the agenda matter that is to be voted on at the Annual Meeting as set forth in the Company’s 2022 Proxy Statement, the question may be submitted in the field provided in the web portal at or before the time the matter is presented for consideration at the Annual Meeting. We will answer questions on the matter set forth in the Company’s 2022 Proxy Statement to be voted on by the stockholders at the Annual Meeting before voting is closed. During this period, the Company will not permit discussions or questions that are not relevant or pertinent to the agenda matter being discussed, as determined by the Chair in his reasonable judgment.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640" w:right="299" w:hanging="348"/>
        <w:spacing w:after="0" w:line="247"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Following adjournment of the formal business of the Annual Meeting, the Company’s management will give a presentation about the Company’s business. At the conclusion of this presentation, the Company will address appropriate general questions from stockholders regarding the Company. The following rules will apply to this process:</w:t>
      </w:r>
    </w:p>
    <w:p>
      <w:pPr>
        <w:spacing w:after="0" w:line="146" w:lineRule="exact"/>
        <w:rPr>
          <w:rFonts w:ascii="Arial" w:cs="Arial" w:eastAsia="Arial" w:hAnsi="Arial"/>
          <w:sz w:val="18"/>
          <w:szCs w:val="18"/>
          <w:color w:val="auto"/>
        </w:rPr>
      </w:pPr>
    </w:p>
    <w:p>
      <w:pPr>
        <w:jc w:val="both"/>
        <w:ind w:left="1000" w:right="319" w:hanging="348"/>
        <w:spacing w:after="0" w:line="244"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ensure that as many stockholders as possible are able to ask questions, each stockholder will be permitted to submit no more than two questions. Questions must be succinct and cover a single topic. All questions will be presented as submitted, uncensored and unedited, except that we may omit certain personal details for data protection issues and we may edit profanity or other inappropriate language.</w:t>
      </w:r>
    </w:p>
    <w:p>
      <w:pPr>
        <w:spacing w:after="0" w:line="135" w:lineRule="exact"/>
        <w:rPr>
          <w:rFonts w:ascii="Arial" w:cs="Arial" w:eastAsia="Arial" w:hAnsi="Arial"/>
          <w:sz w:val="18"/>
          <w:szCs w:val="18"/>
          <w:color w:val="auto"/>
        </w:rPr>
      </w:pPr>
    </w:p>
    <w:p>
      <w:pPr>
        <w:ind w:left="1000" w:hanging="348"/>
        <w:spacing w:after="0"/>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We will answer questions in the order received, except that:</w:t>
      </w:r>
    </w:p>
    <w:p>
      <w:pPr>
        <w:spacing w:after="0" w:line="171" w:lineRule="exact"/>
        <w:rPr>
          <w:rFonts w:ascii="Arial" w:cs="Arial" w:eastAsia="Arial" w:hAnsi="Arial"/>
          <w:sz w:val="18"/>
          <w:szCs w:val="18"/>
          <w:color w:val="auto"/>
        </w:rPr>
      </w:pPr>
    </w:p>
    <w:p>
      <w:pPr>
        <w:ind w:left="1360" w:right="319" w:hanging="348"/>
        <w:spacing w:after="0" w:line="271" w:lineRule="auto"/>
        <w:tabs>
          <w:tab w:leader="none" w:pos="13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Questions from multiple stockholders related to the same topic or that are otherwise related may be grouped and answered together.</w:t>
      </w:r>
    </w:p>
    <w:p>
      <w:pPr>
        <w:spacing w:after="0" w:line="126" w:lineRule="exact"/>
        <w:rPr>
          <w:rFonts w:ascii="Arial" w:cs="Arial" w:eastAsia="Arial" w:hAnsi="Arial"/>
          <w:sz w:val="18"/>
          <w:szCs w:val="18"/>
          <w:color w:val="auto"/>
        </w:rPr>
      </w:pPr>
    </w:p>
    <w:p>
      <w:pPr>
        <w:ind w:left="1360" w:right="319" w:hanging="348"/>
        <w:spacing w:after="0" w:line="271" w:lineRule="auto"/>
        <w:tabs>
          <w:tab w:leader="none" w:pos="13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Any second question from a stockholder will be deferred until such time as all appropriate first questions from stockholders have been addressed.</w:t>
      </w:r>
    </w:p>
    <w:p>
      <w:pPr>
        <w:spacing w:after="0" w:line="113" w:lineRule="exact"/>
        <w:rPr>
          <w:rFonts w:ascii="Arial" w:cs="Arial" w:eastAsia="Arial" w:hAnsi="Arial"/>
          <w:sz w:val="18"/>
          <w:szCs w:val="18"/>
          <w:color w:val="auto"/>
        </w:rPr>
      </w:pPr>
    </w:p>
    <w:p>
      <w:pPr>
        <w:jc w:val="both"/>
        <w:ind w:left="1360" w:right="319" w:hanging="348"/>
        <w:spacing w:after="0" w:line="244" w:lineRule="auto"/>
        <w:tabs>
          <w:tab w:leader="none" w:pos="13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If more questions are presented than time permits to be answered, the list of questions to be considered will be shortened by removing from the list: first, any question determined by the Chair to be substantially duplicative of another question that has been discussed; second, any question presented by a stockholder whose first question has been discussed; and, third, the last submitted questions (ordered by time received).</w:t>
      </w:r>
    </w:p>
    <w:p>
      <w:pPr>
        <w:spacing w:after="0" w:line="135"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views, questions and constructive comments of all stockholders are valued and welcomed. The purpose of the Annual Meeting must be observed, however, and the Company will not permit questions that:</w:t>
      </w:r>
    </w:p>
    <w:p>
      <w:pPr>
        <w:spacing w:after="0" w:line="141" w:lineRule="exact"/>
        <w:rPr>
          <w:rFonts w:ascii="Arial" w:cs="Arial" w:eastAsia="Arial" w:hAnsi="Arial"/>
          <w:sz w:val="18"/>
          <w:szCs w:val="18"/>
          <w:color w:val="auto"/>
        </w:rPr>
      </w:pPr>
    </w:p>
    <w:p>
      <w:pPr>
        <w:ind w:left="1360" w:hanging="348"/>
        <w:spacing w:after="0"/>
        <w:tabs>
          <w:tab w:leader="none" w:pos="13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are not relevant or pertinent to the business of the Company;</w:t>
      </w:r>
    </w:p>
    <w:p>
      <w:pPr>
        <w:spacing w:after="0" w:line="171" w:lineRule="exact"/>
        <w:rPr>
          <w:rFonts w:ascii="Arial" w:cs="Arial" w:eastAsia="Arial" w:hAnsi="Arial"/>
          <w:sz w:val="18"/>
          <w:szCs w:val="18"/>
          <w:color w:val="auto"/>
        </w:rPr>
      </w:pPr>
    </w:p>
    <w:p>
      <w:pPr>
        <w:ind w:left="1360" w:hanging="348"/>
        <w:spacing w:after="0"/>
        <w:tabs>
          <w:tab w:leader="none" w:pos="13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are related to material non-public information of the Company;</w:t>
      </w:r>
    </w:p>
    <w:p>
      <w:pPr>
        <w:spacing w:after="0" w:line="171" w:lineRule="exact"/>
        <w:rPr>
          <w:rFonts w:ascii="Arial" w:cs="Arial" w:eastAsia="Arial" w:hAnsi="Arial"/>
          <w:sz w:val="18"/>
          <w:szCs w:val="18"/>
          <w:color w:val="auto"/>
        </w:rPr>
      </w:pPr>
    </w:p>
    <w:p>
      <w:pPr>
        <w:ind w:left="1360" w:hanging="348"/>
        <w:spacing w:after="0"/>
        <w:tabs>
          <w:tab w:leader="none" w:pos="13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are related to pending or threatened litigation or investigations;</w:t>
      </w:r>
    </w:p>
    <w:p>
      <w:pPr>
        <w:spacing w:after="0" w:line="184" w:lineRule="exact"/>
        <w:rPr>
          <w:rFonts w:ascii="Arial" w:cs="Arial" w:eastAsia="Arial" w:hAnsi="Arial"/>
          <w:sz w:val="18"/>
          <w:szCs w:val="18"/>
          <w:color w:val="auto"/>
        </w:rPr>
      </w:pPr>
    </w:p>
    <w:p>
      <w:pPr>
        <w:ind w:left="1360" w:hanging="348"/>
        <w:spacing w:after="0"/>
        <w:tabs>
          <w:tab w:leader="none" w:pos="13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are in furtherance of a stockholder’s personal or business interests;</w:t>
      </w:r>
    </w:p>
    <w:p>
      <w:pPr>
        <w:spacing w:after="0" w:line="171" w:lineRule="exact"/>
        <w:rPr>
          <w:rFonts w:ascii="Arial" w:cs="Arial" w:eastAsia="Arial" w:hAnsi="Arial"/>
          <w:sz w:val="18"/>
          <w:szCs w:val="18"/>
          <w:color w:val="auto"/>
        </w:rPr>
      </w:pPr>
    </w:p>
    <w:p>
      <w:pPr>
        <w:ind w:left="1360" w:hanging="348"/>
        <w:spacing w:after="0"/>
        <w:tabs>
          <w:tab w:leader="none" w:pos="13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are repetitious of statements made by another stockholder;</w:t>
      </w:r>
    </w:p>
    <w:p>
      <w:pPr>
        <w:spacing w:after="0" w:line="171" w:lineRule="exact"/>
        <w:rPr>
          <w:rFonts w:ascii="Arial" w:cs="Arial" w:eastAsia="Arial" w:hAnsi="Arial"/>
          <w:sz w:val="18"/>
          <w:szCs w:val="18"/>
          <w:color w:val="auto"/>
        </w:rPr>
      </w:pPr>
    </w:p>
    <w:p>
      <w:pPr>
        <w:ind w:left="1360" w:hanging="348"/>
        <w:spacing w:after="0"/>
        <w:tabs>
          <w:tab w:leader="none" w:pos="13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are related to personal grievances;</w:t>
      </w:r>
    </w:p>
    <w:p>
      <w:pPr>
        <w:spacing w:after="0" w:line="184" w:lineRule="exact"/>
        <w:rPr>
          <w:rFonts w:ascii="Arial" w:cs="Arial" w:eastAsia="Arial" w:hAnsi="Arial"/>
          <w:sz w:val="18"/>
          <w:szCs w:val="18"/>
          <w:color w:val="auto"/>
        </w:rPr>
      </w:pPr>
    </w:p>
    <w:p>
      <w:pPr>
        <w:ind w:left="1360" w:hanging="348"/>
        <w:spacing w:after="0"/>
        <w:tabs>
          <w:tab w:leader="none" w:pos="13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include derogatory references to individuals or are otherwise in bad taste; or</w:t>
      </w:r>
    </w:p>
    <w:p>
      <w:pPr>
        <w:spacing w:after="0" w:line="171" w:lineRule="exact"/>
        <w:rPr>
          <w:rFonts w:ascii="Arial" w:cs="Arial" w:eastAsia="Arial" w:hAnsi="Arial"/>
          <w:sz w:val="18"/>
          <w:szCs w:val="18"/>
          <w:color w:val="auto"/>
        </w:rPr>
      </w:pPr>
    </w:p>
    <w:p>
      <w:pPr>
        <w:ind w:left="1360" w:right="319" w:hanging="348"/>
        <w:spacing w:after="0" w:line="271" w:lineRule="auto"/>
        <w:tabs>
          <w:tab w:leader="none" w:pos="13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are out of order or not otherwise suitable for the conduct of the Annual Meeting as determined by the Chair in his reasonable judgment.</w:t>
      </w:r>
    </w:p>
    <w:p>
      <w:pPr>
        <w:spacing w:after="0" w:line="113" w:lineRule="exact"/>
        <w:rPr>
          <w:rFonts w:ascii="Arial" w:cs="Arial" w:eastAsia="Arial" w:hAnsi="Arial"/>
          <w:sz w:val="18"/>
          <w:szCs w:val="18"/>
          <w:color w:val="auto"/>
        </w:rPr>
      </w:pPr>
    </w:p>
    <w:p>
      <w:pPr>
        <w:jc w:val="both"/>
        <w:ind w:left="640" w:right="299" w:hanging="348"/>
        <w:spacing w:after="0" w:line="247"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there are any matters of individual concern to a stockholder and not of general concern to all stockholders, or if a question posed was not otherwise answered, such matters may be raised separately after the Annual Meeting by contacting Investor Relations at investor.relations@acmrcsh.com.</w:t>
      </w:r>
    </w:p>
    <w:p>
      <w:pPr>
        <w:spacing w:after="0" w:line="146" w:lineRule="exact"/>
        <w:rPr>
          <w:rFonts w:ascii="Arial" w:cs="Arial" w:eastAsia="Arial" w:hAnsi="Arial"/>
          <w:sz w:val="18"/>
          <w:szCs w:val="18"/>
          <w:color w:val="auto"/>
        </w:rPr>
      </w:pPr>
    </w:p>
    <w:p>
      <w:pPr>
        <w:jc w:val="both"/>
        <w:ind w:left="640" w:right="299" w:hanging="348"/>
        <w:spacing w:after="0" w:line="244"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Recording of the Annual Meeting is prohibited without the prior written permission of the Company. A webcast playback of the Annual Meeting will be available at http://ir.acmrcsh.com/presentations within approximately 24 hours after the completion of the Annual Meeting and will remain publicly available until our next annual meeting of stockholders in 2023. The webcast playback will include each stockholder question addressed during the Annual Meeting.</w:t>
      </w:r>
    </w:p>
    <w:p>
      <w:pPr>
        <w:spacing w:after="0" w:line="135" w:lineRule="exact"/>
        <w:rPr>
          <w:rFonts w:ascii="Arial" w:cs="Arial" w:eastAsia="Arial" w:hAnsi="Arial"/>
          <w:sz w:val="18"/>
          <w:szCs w:val="18"/>
          <w:color w:val="auto"/>
        </w:rPr>
      </w:pPr>
    </w:p>
    <w:p>
      <w:pPr>
        <w:ind w:left="640" w:right="739" w:hanging="348"/>
        <w:spacing w:after="0" w:line="271"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violation of any of the above conduct requirements will be cause for dismissal from the Annual Meeting.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THANK YOU FOR YOUR COOPERATION AND FOR JOINING THE ANNUAL MEETING.</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lvl w:ilvl="1">
      <w:lvlJc w:val="left"/>
      <w:lvlText w:val="☐"/>
      <w:numFmt w:val="bullet"/>
      <w:start w:val="1"/>
    </w:lvl>
  </w:abstractNum>
  <w:abstractNum w:abstractNumId="1">
    <w:nsid w:val="836C40E"/>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
      <w:numFmt w:val="bullet"/>
      <w:start w:val="1"/>
    </w:lvl>
  </w:abstractNum>
  <w:abstractNum w:abstractNumId="4">
    <w:nsid w:val="8138641"/>
    <w:multiLevelType w:val="hybridMultilevel"/>
    <w:lvl w:ilvl="0">
      <w:lvlJc w:val="left"/>
      <w:lvlText w:val=" "/>
      <w:numFmt w:val="bullet"/>
      <w:start w:val="1"/>
    </w:lvl>
  </w:abstractNum>
  <w:abstractNum w:abstractNumId="5">
    <w:nsid w:val="1E7FF521"/>
    <w:multiLevelType w:val="hybridMultilevel"/>
    <w:lvl w:ilvl="0">
      <w:lvlJc w:val="left"/>
      <w:lvlText w:val="%1:"/>
      <w:numFmt w:val="upperLetter"/>
      <w:start w:val="1"/>
    </w:lvl>
  </w:abstractNum>
  <w:abstractNum w:abstractNumId="6">
    <w:nsid w:val="7C3DBD3D"/>
    <w:multiLevelType w:val="hybridMultilevel"/>
    <w:lvl w:ilvl="0">
      <w:lvlJc w:val="left"/>
      <w:lvlText w:val="%1:"/>
      <w:numFmt w:val="upperLetter"/>
      <w:start w:val="1"/>
    </w:lvl>
  </w:abstractNum>
  <w:abstractNum w:abstractNumId="7">
    <w:nsid w:val="737B8DDC"/>
    <w:multiLevelType w:val="hybridMultilevel"/>
    <w:lvl w:ilvl="0">
      <w:lvlJc w:val="left"/>
      <w:lvlText w:val="%1:"/>
      <w:numFmt w:val="upperLetter"/>
      <w:start w:val="17"/>
    </w:lvl>
  </w:abstractNum>
  <w:abstractNum w:abstractNumId="8">
    <w:nsid w:val="6CEAF087"/>
    <w:multiLevelType w:val="hybridMultilevel"/>
    <w:lvl w:ilvl="0">
      <w:lvlJc w:val="left"/>
      <w:lvlText w:val="%1:"/>
      <w:numFmt w:val="upperLetter"/>
      <w:start w:val="1"/>
    </w:lvl>
    <w:lvl w:ilvl="1">
      <w:lvlJc w:val="left"/>
      <w:lvlText w:val="•"/>
      <w:numFmt w:val="bullet"/>
      <w:start w:val="1"/>
    </w:lvl>
  </w:abstractNum>
  <w:abstractNum w:abstractNumId="9">
    <w:nsid w:val="22221A70"/>
    <w:multiLevelType w:val="hybridMultilevel"/>
    <w:lvl w:ilvl="0">
      <w:lvlJc w:val="left"/>
      <w:lvlText w:val="%1:"/>
      <w:numFmt w:val="upperLetter"/>
      <w:start w:val="17"/>
    </w:lvl>
  </w:abstractNum>
  <w:abstractNum w:abstractNumId="10">
    <w:nsid w:val="4516DDE9"/>
    <w:multiLevelType w:val="hybridMultilevel"/>
    <w:lvl w:ilvl="0">
      <w:lvlJc w:val="left"/>
      <w:lvlText w:val="%1:"/>
      <w:numFmt w:val="upperLetter"/>
      <w:start w:val="1"/>
    </w:lvl>
  </w:abstractNum>
  <w:abstractNum w:abstractNumId="11">
    <w:nsid w:val="3006C83E"/>
    <w:multiLevelType w:val="hybridMultilevel"/>
    <w:lvl w:ilvl="0">
      <w:lvlJc w:val="left"/>
      <w:lvlText w:val="%1:"/>
      <w:numFmt w:val="upperLetter"/>
      <w:start w:val="1"/>
    </w:lvl>
  </w:abstractNum>
  <w:abstractNum w:abstractNumId="12">
    <w:nsid w:val="614FD4A1"/>
    <w:multiLevelType w:val="hybridMultilevel"/>
    <w:lvl w:ilvl="0">
      <w:lvlJc w:val="left"/>
      <w:lvlText w:val="%1:"/>
      <w:numFmt w:val="upperLetter"/>
      <w:start w:val="1"/>
    </w:lvl>
  </w:abstractNum>
  <w:abstractNum w:abstractNumId="13">
    <w:nsid w:val="419AC241"/>
    <w:multiLevelType w:val="hybridMultilevel"/>
    <w:lvl w:ilvl="0">
      <w:lvlJc w:val="left"/>
      <w:lvlText w:val="%1:"/>
      <w:numFmt w:val="upperLetter"/>
      <w:start w:val="1"/>
    </w:lvl>
  </w:abstractNum>
  <w:abstractNum w:abstractNumId="14">
    <w:nsid w:val="5577F8E1"/>
    <w:multiLevelType w:val="hybridMultilevel"/>
    <w:lvl w:ilvl="0">
      <w:lvlJc w:val="left"/>
      <w:lvlText w:val="%1:"/>
      <w:numFmt w:val="upperLetter"/>
      <w:start w:val="1"/>
    </w:lvl>
  </w:abstractNum>
  <w:abstractNum w:abstractNumId="15">
    <w:nsid w:val="440BADFC"/>
    <w:multiLevelType w:val="hybridMultilevel"/>
    <w:lvl w:ilvl="0">
      <w:lvlJc w:val="left"/>
      <w:lvlText w:val="%1:"/>
      <w:numFmt w:val="upperLetter"/>
      <w:start w:val="1"/>
    </w:lvl>
    <w:lvl w:ilvl="1">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upperLetter"/>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upperLetter"/>
      <w:start w:val="1"/>
    </w:lvl>
  </w:abstractNum>
  <w:abstractNum w:abstractNumId="21">
    <w:nsid w:val="2463B9EA"/>
    <w:multiLevelType w:val="hybridMultilevel"/>
    <w:lvl w:ilvl="0">
      <w:lvlJc w:val="left"/>
      <w:lvlText w:val="%1:"/>
      <w:numFmt w:val="upperLetter"/>
      <w:start w:val="1"/>
    </w:lvl>
  </w:abstractNum>
  <w:abstractNum w:abstractNumId="22">
    <w:nsid w:val="5E884ADC"/>
    <w:multiLevelType w:val="hybridMultilevel"/>
    <w:lvl w:ilvl="0">
      <w:lvlJc w:val="left"/>
      <w:lvlText w:val="%1:"/>
      <w:numFmt w:val="upperLetter"/>
      <w:start w:val="1"/>
    </w:lvl>
  </w:abstractNum>
  <w:abstractNum w:abstractNumId="23">
    <w:nsid w:val="51EAD36B"/>
    <w:multiLevelType w:val="hybridMultilevel"/>
    <w:lvl w:ilvl="0">
      <w:lvlJc w:val="left"/>
      <w:lvlText w:val="%1:"/>
      <w:numFmt w:val="upperLetter"/>
      <w:start w:val="17"/>
    </w:lvl>
  </w:abstractNum>
  <w:abstractNum w:abstractNumId="24">
    <w:nsid w:val="2D517796"/>
    <w:multiLevelType w:val="hybridMultilevel"/>
    <w:lvl w:ilvl="0">
      <w:lvlJc w:val="left"/>
      <w:lvlText w:val="%1:"/>
      <w:numFmt w:val="upperLetter"/>
      <w:start w:val="1"/>
    </w:lvl>
  </w:abstractNum>
  <w:abstractNum w:abstractNumId="25">
    <w:nsid w:val="580BD78F"/>
    <w:multiLevelType w:val="hybridMultilevel"/>
    <w:lvl w:ilvl="0">
      <w:lvlJc w:val="left"/>
      <w:lvlText w:val="%1:"/>
      <w:numFmt w:val="upperLetter"/>
      <w:start w:val="1"/>
    </w:lvl>
    <w:lvl w:ilvl="1">
      <w:lvlJc w:val="left"/>
      <w:lvlText w:val="•"/>
      <w:numFmt w:val="bullet"/>
      <w:start w:val="1"/>
    </w:lvl>
  </w:abstractNum>
  <w:abstractNum w:abstractNumId="26">
    <w:nsid w:val="153EA438"/>
    <w:multiLevelType w:val="hybridMultilevel"/>
    <w:lvl w:ilvl="0">
      <w:lvlJc w:val="left"/>
      <w:lvlText w:val="%1:"/>
      <w:numFmt w:val="upperLetter"/>
      <w:start w:val="1"/>
    </w:lvl>
  </w:abstractNum>
  <w:abstractNum w:abstractNumId="27">
    <w:nsid w:val="3855585C"/>
    <w:multiLevelType w:val="hybridMultilevel"/>
    <w:lvl w:ilvl="0">
      <w:lvlJc w:val="left"/>
      <w:lvlText w:val="%1:"/>
      <w:numFmt w:val="upperLetter"/>
      <w:start w:val="17"/>
    </w:lvl>
  </w:abstractNum>
  <w:abstractNum w:abstractNumId="28">
    <w:nsid w:val="70A64E2A"/>
    <w:multiLevelType w:val="hybridMultilevel"/>
    <w:lvl w:ilvl="0">
      <w:lvlJc w:val="left"/>
      <w:lvlText w:val="%1:"/>
      <w:numFmt w:val="upperLetter"/>
      <w:start w:val="1"/>
    </w:lvl>
  </w:abstractNum>
  <w:abstractNum w:abstractNumId="29">
    <w:nsid w:val="6A2342EC"/>
    <w:multiLevelType w:val="hybridMultilevel"/>
    <w:lvl w:ilvl="0">
      <w:lvlJc w:val="left"/>
      <w:lvlText w:val="%1:"/>
      <w:numFmt w:val="upperLetter"/>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5"/>
    </w:lvl>
    <w:lvl w:ilvl="1">
      <w:lvlJc w:val="left"/>
      <w:lvlText w:val="(%2)"/>
      <w:numFmt w:val="lowerLetter"/>
      <w:start w:val="4"/>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6"/>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2022-05-20T15:18:30Z</dcterms:created>
  <dcterms:modified xsi:type="dcterms:W3CDTF">2022-05-20T15:18:30Z</dcterms:modified>
</cp:coreProperties>
</file>