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890" cy="5077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077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Dun Haiping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ACM Research,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ACMR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ACM RESEARCH, INC.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11/22/2022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42307 OSGOOD ROAD, SUITE I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94539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11/22/2022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37,500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928,120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11/22/2022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1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2,173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8.63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925,947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11/22/2022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4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37,500</w:t>
            </w: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05/01/2025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275,001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-2009775</wp:posOffset>
            </wp:positionV>
            <wp:extent cx="29210" cy="20148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4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240" w:firstLine="2"/>
        <w:spacing w:after="0" w:line="241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November 22, 2022, the reporting person exercised, by net exercise, a previously issued stock option to purchase 37,500 shares of Class A Common Stock of the Issuer. The reporting person paid the exercise price on a cashless basis, resulting in the Issuer withholding 2,173 shares of Class A Common Stock for payment of the exercise price, based on the closing price of the Issuer's Class A Common Stock on November 21, 2022 of $8.63, and issuing to the reporting person the remaining 35,327 shares of Class A Common Stock.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is fully vested and exercisable.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Mark McKechnie,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11/23/2022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481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Haiping Dun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0318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8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06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21581" TargetMode="External"/><Relationship Id="rId13" Type="http://schemas.openxmlformats.org/officeDocument/2006/relationships/hyperlink" Target="http://www.sec.gov/cgi-bin/browse-edgar?action=getcompany&amp;CIK=00016800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2022-11-25T16:42:19Z</dcterms:created>
  <dcterms:modified xsi:type="dcterms:W3CDTF">2022-11-25T16:42:19Z</dcterms:modified>
</cp:coreProperties>
</file>