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744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74434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4"/>
            <w:vMerge w:val="restart"/>
          </w:tcPr>
          <w:p>
            <w:pPr>
              <w:ind w:left="20"/>
              <w:spacing w:after="0"/>
              <w:rPr>
                <w:rFonts w:ascii="Arial" w:cs="Arial" w:eastAsia="Arial" w:hAnsi="Arial"/>
                <w:sz w:val="21"/>
                <w:szCs w:val="21"/>
                <w:color w:val="0000EE"/>
              </w:rPr>
            </w:pPr>
            <w:hyperlink r:id="rId13">
              <w:r>
                <w:rPr>
                  <w:rFonts w:ascii="Arial" w:cs="Arial" w:eastAsia="Arial" w:hAnsi="Arial"/>
                  <w:sz w:val="21"/>
                  <w:szCs w:val="21"/>
                  <w:color w:val="0000EE"/>
                </w:rPr>
                <w:t>Dun Haiping</w:t>
              </w:r>
            </w:hyperlink>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4">
              <w:r>
                <w:rPr>
                  <w:rFonts w:ascii="Arial" w:cs="Arial" w:eastAsia="Arial" w:hAnsi="Arial"/>
                  <w:sz w:val="11"/>
                  <w:szCs w:val="11"/>
                  <w:color w:val="0000EE"/>
                </w:rPr>
                <w:t xml:space="preserve">ACM Research,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ACMR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gridSpan w:val="4"/>
            <w:vMerge w:val="continue"/>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gridSpan w:val="4"/>
            <w:vMerge w:val="continue"/>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03/20/2020</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ACM RESEARCH, INC.</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6"/>
            <w:vMerge w:val="restart"/>
          </w:tcPr>
          <w:p>
            <w:pPr>
              <w:ind w:left="20"/>
              <w:spacing w:after="0"/>
              <w:rPr>
                <w:sz w:val="20"/>
                <w:szCs w:val="20"/>
                <w:color w:val="auto"/>
              </w:rPr>
            </w:pPr>
            <w:r>
              <w:rPr>
                <w:rFonts w:ascii="Arial" w:cs="Arial" w:eastAsia="Arial" w:hAnsi="Arial"/>
                <w:sz w:val="17"/>
                <w:szCs w:val="17"/>
                <w:color w:val="0000FF"/>
                <w:w w:val="96"/>
              </w:rPr>
              <w:t>42307 OSGOOD ROAD, SUITE I</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60" w:type="dxa"/>
            <w:vAlign w:val="bottom"/>
            <w:gridSpan w:val="6"/>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4"/>
          </w:tcPr>
          <w:p>
            <w:pPr>
              <w:ind w:left="20"/>
              <w:spacing w:after="0"/>
              <w:rPr>
                <w:sz w:val="20"/>
                <w:szCs w:val="20"/>
                <w:color w:val="auto"/>
              </w:rPr>
            </w:pPr>
            <w:r>
              <w:rPr>
                <w:rFonts w:ascii="Arial" w:cs="Arial" w:eastAsia="Arial" w:hAnsi="Arial"/>
                <w:sz w:val="17"/>
                <w:szCs w:val="17"/>
                <w:color w:val="0000FF"/>
              </w:rPr>
              <w:t>FREMONT</w:t>
            </w:r>
          </w:p>
        </w:tc>
        <w:tc>
          <w:tcPr>
            <w:tcW w:w="1220" w:type="dxa"/>
            <w:vAlign w:val="bottom"/>
            <w:gridSpan w:val="2"/>
          </w:tcPr>
          <w:p>
            <w:pPr>
              <w:spacing w:after="0"/>
              <w:rPr>
                <w:sz w:val="20"/>
                <w:szCs w:val="20"/>
                <w:color w:val="auto"/>
              </w:rPr>
            </w:pPr>
            <w:r>
              <w:rPr>
                <w:rFonts w:ascii="Arial" w:cs="Arial" w:eastAsia="Arial" w:hAnsi="Arial"/>
                <w:sz w:val="17"/>
                <w:szCs w:val="17"/>
                <w:color w:val="0000FF"/>
              </w:rPr>
              <w:t>CA</w:t>
            </w:r>
          </w:p>
        </w:tc>
        <w:tc>
          <w:tcPr>
            <w:tcW w:w="1100" w:type="dxa"/>
            <w:vAlign w:val="bottom"/>
          </w:tcPr>
          <w:p>
            <w:pPr>
              <w:spacing w:after="0"/>
              <w:rPr>
                <w:sz w:val="20"/>
                <w:szCs w:val="20"/>
                <w:color w:val="auto"/>
              </w:rPr>
            </w:pPr>
            <w:r>
              <w:rPr>
                <w:rFonts w:ascii="Arial" w:cs="Arial" w:eastAsia="Arial" w:hAnsi="Arial"/>
                <w:sz w:val="17"/>
                <w:szCs w:val="17"/>
                <w:color w:val="0000FF"/>
              </w:rPr>
              <w:t>94539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8"/>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50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9"/>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80"/>
              <w:spacing w:after="0"/>
              <w:rPr>
                <w:sz w:val="20"/>
                <w:szCs w:val="20"/>
                <w:color w:val="auto"/>
              </w:rPr>
            </w:pPr>
            <w:r>
              <w:rPr>
                <w:rFonts w:ascii="Arial" w:cs="Arial" w:eastAsia="Arial" w:hAnsi="Arial"/>
                <w:sz w:val="12"/>
                <w:szCs w:val="12"/>
                <w:b w:val="1"/>
                <w:bCs w:val="1"/>
                <w:color w:val="auto"/>
                <w:w w:val="99"/>
              </w:rPr>
              <w:t>3.</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260" w:type="dxa"/>
            <w:vAlign w:val="bottom"/>
            <w:tcBorders>
              <w:top w:val="single" w:sz="8" w:color="2C2C2C"/>
            </w:tcBorders>
            <w:gridSpan w:val="19"/>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ind w:left="100"/>
              <w:spacing w:after="0"/>
              <w:rPr>
                <w:sz w:val="20"/>
                <w:szCs w:val="20"/>
                <w:color w:val="auto"/>
              </w:rPr>
            </w:pPr>
            <w:r>
              <w:rPr>
                <w:rFonts w:ascii="Arial" w:cs="Arial" w:eastAsia="Arial" w:hAnsi="Arial"/>
                <w:sz w:val="13"/>
                <w:szCs w:val="13"/>
                <w:color w:val="0000FF"/>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10,000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22.07</w:t>
            </w:r>
          </w:p>
        </w:tc>
        <w:tc>
          <w:tcPr>
            <w:tcW w:w="140" w:type="dxa"/>
            <w:vAlign w:val="bottom"/>
          </w:tcPr>
          <w:p>
            <w:pPr>
              <w:spacing w:after="0"/>
              <w:rPr>
                <w:sz w:val="5"/>
                <w:szCs w:val="5"/>
                <w:color w:val="auto"/>
              </w:rPr>
            </w:pPr>
          </w:p>
        </w:tc>
        <w:tc>
          <w:tcPr>
            <w:tcW w:w="1080" w:type="dxa"/>
            <w:vAlign w:val="bottom"/>
            <w:vMerge w:val="restart"/>
          </w:tcPr>
          <w:p>
            <w:pPr>
              <w:ind w:left="260"/>
              <w:spacing w:after="0" w:line="142" w:lineRule="exact"/>
              <w:rPr>
                <w:sz w:val="20"/>
                <w:szCs w:val="20"/>
                <w:color w:val="auto"/>
              </w:rPr>
            </w:pPr>
            <w:r>
              <w:rPr>
                <w:rFonts w:ascii="Arial" w:cs="Arial" w:eastAsia="Arial" w:hAnsi="Arial"/>
                <w:sz w:val="13"/>
                <w:szCs w:val="13"/>
                <w:color w:val="0000FF"/>
              </w:rPr>
              <w:t>03/20/2020</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10,000</w:t>
            </w:r>
          </w:p>
        </w:tc>
        <w:tc>
          <w:tcPr>
            <w:tcW w:w="3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03/19/2030</w:t>
            </w: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10,000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-2840355</wp:posOffset>
            </wp:positionV>
            <wp:extent cx="7033895" cy="2882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2882265"/>
                    </a:xfrm>
                    <a:prstGeom prst="rect">
                      <a:avLst/>
                    </a:prstGeom>
                    <a:noFill/>
                  </pic:spPr>
                </pic:pic>
              </a:graphicData>
            </a:graphic>
          </wp:anchor>
        </w:drawing>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2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will vest and become exercisable as to 5,000 shares immediately prior to the 2020 Annual Meeting of Stockholders of the Issuer and the remaining 5,000 shares will vest and become exercisable immediately prior to the 2021 Annual Meeting of Stockholders of the Issuer, subject to continued service through each vesting date.</w:t>
      </w:r>
    </w:p>
    <w:p>
      <w:pPr>
        <w:sectPr>
          <w:pgSz w:w="11900" w:h="16838" w:orient="portrait"/>
          <w:cols w:equalWidth="0" w:num="1">
            <w:col w:w="11080"/>
          </w:cols>
          <w:pgMar w:left="460" w:top="221" w:right="359" w:bottom="1440" w:gutter="0" w:footer="0" w:header="0"/>
          <w:type w:val="continuous"/>
        </w:sectPr>
      </w:pPr>
    </w:p>
    <w:p>
      <w:pPr>
        <w:spacing w:after="0" w:line="51" w:lineRule="exact"/>
        <w:rPr>
          <w:sz w:val="20"/>
          <w:szCs w:val="20"/>
          <w:color w:val="auto"/>
        </w:rPr>
      </w:pPr>
    </w:p>
    <w:p>
      <w:pPr>
        <w:ind w:left="6600"/>
        <w:spacing w:after="0"/>
        <w:rPr>
          <w:sz w:val="20"/>
          <w:szCs w:val="20"/>
          <w:color w:val="auto"/>
        </w:rPr>
      </w:pPr>
      <w:r>
        <w:rPr>
          <w:rFonts w:ascii="Arial" w:cs="Arial" w:eastAsia="Arial" w:hAnsi="Arial"/>
          <w:sz w:val="15"/>
          <w:szCs w:val="15"/>
          <w:color w:val="0000FF"/>
        </w:rPr>
        <w:t>/s/ Mark L. Johnson,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8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895" cy="8255"/>
                    </a:xfrm>
                    <a:prstGeom prst="rect">
                      <a:avLst/>
                    </a:prstGeom>
                    <a:noFill/>
                  </pic:spPr>
                </pic:pic>
              </a:graphicData>
            </a:graphic>
          </wp:anchor>
        </w:drawing>
      </w:r>
    </w:p>
    <w:p>
      <w:pPr>
        <w:spacing w:after="0" w:line="21" w:lineRule="exact"/>
        <w:rPr>
          <w:sz w:val="20"/>
          <w:szCs w:val="20"/>
          <w:color w:val="auto"/>
        </w:rPr>
      </w:pPr>
    </w:p>
    <w:p>
      <w:pPr>
        <w:ind w:left="6600"/>
        <w:spacing w:after="0"/>
        <w:rPr>
          <w:sz w:val="20"/>
          <w:szCs w:val="20"/>
          <w:color w:val="auto"/>
        </w:rPr>
      </w:pPr>
      <w:r>
        <w:rPr>
          <w:rFonts w:ascii="Arial" w:cs="Arial" w:eastAsia="Arial" w:hAnsi="Arial"/>
          <w:sz w:val="17"/>
          <w:szCs w:val="17"/>
          <w:color w:val="0000FF"/>
        </w:rPr>
        <w:t>in-Fact for Haiping Dun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031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1875" cy="8255"/>
                    </a:xfrm>
                    <a:prstGeom prst="rect">
                      <a:avLst/>
                    </a:prstGeom>
                    <a:noFill/>
                  </pic:spPr>
                </pic:pic>
              </a:graphicData>
            </a:graphic>
          </wp:anchor>
        </w:drawing>
      </w:r>
    </w:p>
    <w:p>
      <w:pPr>
        <w:spacing w:after="0" w:line="43" w:lineRule="exact"/>
        <w:rPr>
          <w:sz w:val="20"/>
          <w:szCs w:val="20"/>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118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color w:val="0000FF"/>
        </w:rPr>
        <w:t>03/24/2020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1" w:lineRule="exact"/>
        <w:rPr>
          <w:sz w:val="20"/>
          <w:szCs w:val="20"/>
          <w:color w:val="auto"/>
        </w:rPr>
      </w:pPr>
    </w:p>
    <w:p>
      <w:pPr>
        <w:sectPr>
          <w:pgSz w:w="11900" w:h="16838" w:orient="portrait"/>
          <w:cols w:equalWidth="0" w:num="2">
            <w:col w:w="8660" w:space="140"/>
            <w:col w:w="2280"/>
          </w:cols>
          <w:pgMar w:left="460" w:top="221" w:right="359" w:bottom="1440"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21581" TargetMode="External"/><Relationship Id="rId14"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2020-03-24T20:16:59Z</dcterms:created>
  <dcterms:modified xsi:type="dcterms:W3CDTF">2020-03-24T20:16:59Z</dcterms:modified>
</cp:coreProperties>
</file>