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McKechnie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ACM RESEARCH,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42307 OSGOOD ROAD, SUITE 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ACM Research, Inc.</w:t>
              </w:r>
            </w:hyperlink>
            <w:r>
              <w:rPr/>
              <w:t xml:space="preserve"> [ </w:t>
            </w:r>
            <w:r>
              <w:rPr>
                <w:rFonts w:ascii="Times;serif" w:hAnsi="Times;serif"/>
                <w:color w:val="0000FF"/>
                <w:sz w:val="24"/>
                <w:shd w:fill="FFFFFF" w:val="clear"/>
              </w:rPr>
              <w:t>ACMR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4.55</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12,150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11/03/2029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August 25,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vested and became exercisable as to 15,000 shares on November 4, 2020 and the remaining 45,000 shares vest and became or become exercisable in equal monthly installments over the following 36 months, subject to continued service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 and Treasurer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McKechnie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5007" TargetMode="External"/><Relationship Id="rId4" Type="http://schemas.openxmlformats.org/officeDocument/2006/relationships/hyperlink" Target="http://www.sec.gov/cgi-bin/browse-edgar?action=getcompany&amp;CIK=000168006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3543</Characters>
  <CharactersWithSpaces>4122</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