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0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13970</wp:posOffset>
            </wp:positionV>
            <wp:extent cx="325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289560</wp:posOffset>
            </wp:positionV>
            <wp:extent cx="32588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(Name of Person(s) Filing Proxy Statement, if other than the Registrant)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260" w:hanging="252"/>
        <w:spacing w:after="0"/>
        <w:tabs>
          <w:tab w:leader="none" w:pos="2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100" w:hanging="282"/>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1" w:lineRule="exact"/>
        <w:rPr>
          <w:rFonts w:ascii="Times New Roman" w:cs="Times New Roman" w:eastAsia="Times New Roman" w:hAnsi="Times New Roman"/>
          <w:sz w:val="18"/>
          <w:szCs w:val="18"/>
          <w:color w:val="auto"/>
        </w:rPr>
      </w:pPr>
    </w:p>
    <w:p>
      <w:pPr>
        <w:ind w:left="1100" w:hanging="282"/>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 w:lineRule="exact"/>
        <w:rPr>
          <w:rFonts w:ascii="Times New Roman" w:cs="Times New Roman" w:eastAsia="Times New Roman" w:hAnsi="Times New Roman"/>
          <w:sz w:val="18"/>
          <w:szCs w:val="18"/>
          <w:color w:val="auto"/>
        </w:rPr>
      </w:pPr>
    </w:p>
    <w:p>
      <w:pPr>
        <w:ind w:left="1140" w:hanging="322"/>
        <w:spacing w:after="0" w:line="257" w:lineRule="auto"/>
        <w:tabs>
          <w:tab w:leader="none" w:pos="110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Times New Roman" w:cs="Times New Roman" w:eastAsia="Times New Roman" w:hAnsi="Times New Roman"/>
          <w:sz w:val="18"/>
          <w:szCs w:val="18"/>
          <w:color w:val="auto"/>
        </w:rPr>
      </w:pPr>
    </w:p>
    <w:p>
      <w:pPr>
        <w:ind w:left="1120" w:hanging="302"/>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1100" w:hanging="282"/>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3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right="40" w:firstLine="8"/>
        <w:spacing w:after="0" w:line="275" w:lineRule="auto"/>
        <w:tabs>
          <w:tab w:leader="none" w:pos="25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rFonts w:ascii="MS PGothic" w:cs="MS PGothic" w:eastAsia="MS PGothic" w:hAnsi="MS PGothic"/>
          <w:sz w:val="18"/>
          <w:szCs w:val="18"/>
          <w:color w:val="auto"/>
        </w:rPr>
      </w:pPr>
    </w:p>
    <w:p>
      <w:pPr>
        <w:ind w:left="1100" w:hanging="282"/>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1" w:lineRule="exact"/>
        <w:rPr>
          <w:rFonts w:ascii="Times New Roman" w:cs="Times New Roman" w:eastAsia="Times New Roman" w:hAnsi="Times New Roman"/>
          <w:sz w:val="18"/>
          <w:szCs w:val="18"/>
          <w:color w:val="auto"/>
        </w:rPr>
      </w:pPr>
    </w:p>
    <w:p>
      <w:pPr>
        <w:ind w:left="1120" w:hanging="302"/>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1120" w:hanging="302"/>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1120" w:hanging="302"/>
        <w:spacing w:after="0"/>
        <w:tabs>
          <w:tab w:leader="none" w:pos="11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4" w:right="2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1012190"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12190" cy="63436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line="342" w:lineRule="auto"/>
        <w:rPr>
          <w:sz w:val="20"/>
          <w:szCs w:val="20"/>
          <w:color w:val="auto"/>
        </w:rPr>
      </w:pPr>
      <w:r>
        <w:rPr>
          <w:rFonts w:ascii="Times New Roman" w:cs="Times New Roman" w:eastAsia="Times New Roman" w:hAnsi="Times New Roman"/>
          <w:sz w:val="16"/>
          <w:szCs w:val="16"/>
          <w:b w:val="1"/>
          <w:bCs w:val="1"/>
          <w:color w:val="4D4D4F"/>
        </w:rPr>
        <w:t>42307 Osgood Road, Suite I Fremont, California 94539</w:t>
      </w:r>
    </w:p>
    <w:p>
      <w:pPr>
        <w:spacing w:after="0" w:line="20" w:lineRule="exact"/>
        <w:rPr>
          <w:sz w:val="20"/>
          <w:szCs w:val="20"/>
          <w:color w:val="auto"/>
        </w:rPr>
      </w:pPr>
      <w:r>
        <w:rPr>
          <w:sz w:val="20"/>
          <w:szCs w:val="20"/>
          <w:color w:val="auto"/>
        </w:rPr>
        <w:br w:type="column"/>
      </w:r>
    </w:p>
    <w:p>
      <w:pPr>
        <w:ind w:left="6000"/>
        <w:spacing w:after="0"/>
        <w:rPr>
          <w:sz w:val="20"/>
          <w:szCs w:val="20"/>
          <w:color w:val="auto"/>
        </w:rPr>
      </w:pPr>
      <w:r>
        <w:rPr>
          <w:rFonts w:ascii="Times New Roman" w:cs="Times New Roman" w:eastAsia="Times New Roman" w:hAnsi="Times New Roman"/>
          <w:sz w:val="18"/>
          <w:szCs w:val="18"/>
          <w:b w:val="1"/>
          <w:bCs w:val="1"/>
          <w:color w:val="4D4D4F"/>
        </w:rPr>
        <w:t>CONTROL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-283210</wp:posOffset>
            </wp:positionV>
            <wp:extent cx="312166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1660" cy="9093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4D4D4F"/>
        </w:rPr>
        <w:t>REQUEST ID:</w:t>
      </w:r>
    </w:p>
    <w:p>
      <w:pPr>
        <w:spacing w:after="0" w:line="200" w:lineRule="exact"/>
        <w:rPr>
          <w:sz w:val="20"/>
          <w:szCs w:val="20"/>
          <w:color w:val="auto"/>
        </w:rPr>
      </w:pPr>
    </w:p>
    <w:p>
      <w:pPr>
        <w:spacing w:after="0" w:line="322"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6"/>
          <w:szCs w:val="16"/>
          <w:b w:val="1"/>
          <w:bCs w:val="1"/>
          <w:color w:val="4D4D4F"/>
        </w:rPr>
        <w:t>IMPORTANT NOTICE REGARDING THE AVAILABILITY OF PROXY MATERIALS</w:t>
      </w:r>
    </w:p>
    <w:p>
      <w:pPr>
        <w:spacing w:after="0" w:line="46"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4D4D4F"/>
        </w:rPr>
        <w:t>FOR THE ANNUAL MEETING OF STOCKHOLDERS TO BE HELD ON JUNE 14, 2018</w:t>
      </w:r>
    </w:p>
    <w:p>
      <w:pPr>
        <w:spacing w:after="0" w:line="9" w:lineRule="exact"/>
        <w:rPr>
          <w:sz w:val="20"/>
          <w:szCs w:val="20"/>
          <w:color w:val="auto"/>
        </w:rPr>
      </w:pPr>
    </w:p>
    <w:p>
      <w:pPr>
        <w:ind w:left="60"/>
        <w:spacing w:after="0"/>
        <w:tabs>
          <w:tab w:leader="none" w:pos="1860" w:val="left"/>
        </w:tabs>
        <w:rPr>
          <w:sz w:val="20"/>
          <w:szCs w:val="20"/>
          <w:color w:val="auto"/>
        </w:rPr>
      </w:pPr>
      <w:r>
        <w:rPr>
          <w:rFonts w:ascii="Times New Roman" w:cs="Times New Roman" w:eastAsia="Times New Roman" w:hAnsi="Times New Roman"/>
          <w:sz w:val="18"/>
          <w:szCs w:val="18"/>
          <w:color w:val="4D4D4F"/>
        </w:rPr>
        <w:t>DATE:</w:t>
      </w:r>
      <w:r>
        <w:rPr>
          <w:sz w:val="20"/>
          <w:szCs w:val="20"/>
          <w:color w:val="auto"/>
        </w:rPr>
        <w:tab/>
      </w:r>
      <w:r>
        <w:rPr>
          <w:rFonts w:ascii="Times New Roman" w:cs="Times New Roman" w:eastAsia="Times New Roman" w:hAnsi="Times New Roman"/>
          <w:sz w:val="18"/>
          <w:szCs w:val="18"/>
          <w:color w:val="4D4D4F"/>
        </w:rPr>
        <w:t>JUNE 14, 2018</w:t>
      </w:r>
    </w:p>
    <w:p>
      <w:pPr>
        <w:spacing w:after="0" w:line="9" w:lineRule="exact"/>
        <w:rPr>
          <w:sz w:val="20"/>
          <w:szCs w:val="20"/>
          <w:color w:val="auto"/>
        </w:rPr>
      </w:pPr>
    </w:p>
    <w:p>
      <w:pPr>
        <w:ind w:left="60"/>
        <w:spacing w:after="0"/>
        <w:tabs>
          <w:tab w:leader="none" w:pos="1860" w:val="left"/>
        </w:tabs>
        <w:rPr>
          <w:sz w:val="20"/>
          <w:szCs w:val="20"/>
          <w:color w:val="auto"/>
        </w:rPr>
      </w:pPr>
      <w:r>
        <w:rPr>
          <w:rFonts w:ascii="Times New Roman" w:cs="Times New Roman" w:eastAsia="Times New Roman" w:hAnsi="Times New Roman"/>
          <w:sz w:val="18"/>
          <w:szCs w:val="18"/>
          <w:color w:val="4D4D4F"/>
        </w:rPr>
        <w:t>TIME:</w:t>
      </w:r>
      <w:r>
        <w:rPr>
          <w:sz w:val="20"/>
          <w:szCs w:val="20"/>
          <w:color w:val="auto"/>
        </w:rPr>
        <w:tab/>
      </w:r>
      <w:r>
        <w:rPr>
          <w:rFonts w:ascii="Times New Roman" w:cs="Times New Roman" w:eastAsia="Times New Roman" w:hAnsi="Times New Roman"/>
          <w:sz w:val="18"/>
          <w:szCs w:val="18"/>
          <w:color w:val="4D4D4F"/>
        </w:rPr>
        <w:t>10:00 a.m. EDST</w:t>
      </w:r>
    </w:p>
    <w:p>
      <w:pPr>
        <w:spacing w:after="0" w:line="9" w:lineRule="exact"/>
        <w:rPr>
          <w:sz w:val="20"/>
          <w:szCs w:val="20"/>
          <w:color w:val="auto"/>
        </w:rPr>
      </w:pPr>
    </w:p>
    <w:p>
      <w:pPr>
        <w:ind w:left="60"/>
        <w:spacing w:after="0"/>
        <w:tabs>
          <w:tab w:leader="none" w:pos="1860" w:val="left"/>
        </w:tabs>
        <w:rPr>
          <w:sz w:val="20"/>
          <w:szCs w:val="20"/>
          <w:color w:val="auto"/>
        </w:rPr>
      </w:pPr>
      <w:r>
        <w:rPr>
          <w:rFonts w:ascii="Times New Roman" w:cs="Times New Roman" w:eastAsia="Times New Roman" w:hAnsi="Times New Roman"/>
          <w:sz w:val="18"/>
          <w:szCs w:val="18"/>
          <w:color w:val="4D4D4F"/>
        </w:rPr>
        <w:t>LOCATION:</w:t>
      </w:r>
      <w:r>
        <w:rPr>
          <w:sz w:val="20"/>
          <w:szCs w:val="20"/>
          <w:color w:val="auto"/>
        </w:rPr>
        <w:tab/>
      </w:r>
      <w:r>
        <w:rPr>
          <w:rFonts w:ascii="Times New Roman" w:cs="Times New Roman" w:eastAsia="Times New Roman" w:hAnsi="Times New Roman"/>
          <w:sz w:val="18"/>
          <w:szCs w:val="18"/>
          <w:color w:val="4D4D4F"/>
        </w:rPr>
        <w:t>Meeting live via the Internet-please visit: i</w:t>
      </w:r>
      <w:r>
        <w:rPr>
          <w:rFonts w:ascii="Times New Roman" w:cs="Times New Roman" w:eastAsia="Times New Roman" w:hAnsi="Times New Roman"/>
          <w:sz w:val="18"/>
          <w:szCs w:val="18"/>
          <w:i w:val="1"/>
          <w:iCs w:val="1"/>
          <w:color w:val="4D4D4F"/>
        </w:rPr>
        <w:t>nvestorcalendar.com/event/28590</w:t>
      </w:r>
      <w:r>
        <w:rPr>
          <w:rFonts w:ascii="Times New Roman" w:cs="Times New Roman" w:eastAsia="Times New Roman" w:hAnsi="Times New Roman"/>
          <w:sz w:val="18"/>
          <w:szCs w:val="18"/>
          <w:color w:val="4D4D4F"/>
        </w:rPr>
        <w:t>.</w:t>
      </w:r>
    </w:p>
    <w:p>
      <w:pPr>
        <w:spacing w:after="0" w:line="9" w:lineRule="exact"/>
        <w:rPr>
          <w:sz w:val="20"/>
          <w:szCs w:val="20"/>
          <w:color w:val="auto"/>
        </w:rPr>
      </w:pPr>
    </w:p>
    <w:p>
      <w:pPr>
        <w:ind w:left="1880" w:right="140"/>
        <w:spacing w:after="0" w:line="255" w:lineRule="auto"/>
        <w:rPr>
          <w:sz w:val="20"/>
          <w:szCs w:val="20"/>
          <w:color w:val="auto"/>
        </w:rPr>
      </w:pPr>
      <w:r>
        <w:rPr>
          <w:rFonts w:ascii="Times New Roman" w:cs="Times New Roman" w:eastAsia="Times New Roman" w:hAnsi="Times New Roman"/>
          <w:sz w:val="18"/>
          <w:szCs w:val="18"/>
          <w:color w:val="4D4D4F"/>
        </w:rPr>
        <w:t xml:space="preserve">The company will be hosting the meeting live via the Internet this year. To attend the meeting via the Internet please visit </w:t>
      </w:r>
      <w:r>
        <w:rPr>
          <w:rFonts w:ascii="Times New Roman" w:cs="Times New Roman" w:eastAsia="Times New Roman" w:hAnsi="Times New Roman"/>
          <w:sz w:val="18"/>
          <w:szCs w:val="18"/>
          <w:i w:val="1"/>
          <w:iCs w:val="1"/>
          <w:color w:val="4D4D4F"/>
        </w:rPr>
        <w:t>www.iproxydirect.com/ACMR</w:t>
      </w:r>
      <w:r>
        <w:rPr>
          <w:rFonts w:ascii="Times New Roman" w:cs="Times New Roman" w:eastAsia="Times New Roman" w:hAnsi="Times New Roman"/>
          <w:sz w:val="18"/>
          <w:szCs w:val="18"/>
          <w:color w:val="4D4D4F"/>
        </w:rPr>
        <w:t xml:space="preserve"> and be sure to have both your Control ID and Request ID (located in the box above).</w:t>
      </w:r>
    </w:p>
    <w:p>
      <w:pPr>
        <w:spacing w:after="0" w:line="1" w:lineRule="exact"/>
        <w:rPr>
          <w:sz w:val="20"/>
          <w:szCs w:val="20"/>
          <w:color w:val="auto"/>
        </w:rPr>
      </w:pPr>
    </w:p>
    <w:p>
      <w:pPr>
        <w:sectPr>
          <w:pgSz w:w="11900" w:h="16838" w:orient="portrait"/>
          <w:cols w:equalWidth="0" w:num="2">
            <w:col w:w="2120" w:space="200"/>
            <w:col w:w="9100"/>
          </w:cols>
          <w:pgMar w:left="240" w:top="758" w:right="239" w:bottom="1440" w:gutter="0" w:footer="0" w:header="0"/>
        </w:sectPr>
      </w:pPr>
    </w:p>
    <w:tbl>
      <w:tblPr>
        <w:tblLayout w:type="fixed"/>
        <w:tblInd w:w="10" w:type="dxa"/>
        <w:tblCellMar>
          <w:top w:w="0" w:type="dxa"/>
          <w:left w:w="0" w:type="dxa"/>
          <w:bottom w:w="0" w:type="dxa"/>
          <w:right w:w="0" w:type="dxa"/>
        </w:tblCellMar>
      </w:tblPr>
      <w:tr>
        <w:trPr>
          <w:trHeight w:val="414"/>
        </w:trPr>
        <w:tc>
          <w:tcPr>
            <w:tcW w:w="2380" w:type="dxa"/>
            <w:vAlign w:val="bottom"/>
            <w:tcBorders>
              <w:top w:val="single" w:sz="8" w:color="auto"/>
              <w:left w:val="single" w:sz="8" w:color="auto"/>
            </w:tcBorders>
          </w:tcPr>
          <w:p>
            <w:pPr>
              <w:spacing w:after="0"/>
              <w:rPr>
                <w:sz w:val="24"/>
                <w:szCs w:val="24"/>
                <w:color w:val="auto"/>
              </w:rPr>
            </w:pPr>
          </w:p>
        </w:tc>
        <w:tc>
          <w:tcPr>
            <w:tcW w:w="67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4D4D4F"/>
                <w:w w:val="97"/>
              </w:rPr>
              <w:t>Please Choose One of the Following Voting Methods</w:t>
            </w:r>
          </w:p>
        </w:tc>
        <w:tc>
          <w:tcPr>
            <w:tcW w:w="2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23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D4D4F"/>
                <w:w w:val="96"/>
              </w:rPr>
              <w:t>PHONE</w:t>
            </w:r>
          </w:p>
        </w:tc>
        <w:tc>
          <w:tcPr>
            <w:tcW w:w="25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8"/>
                <w:szCs w:val="18"/>
                <w:color w:val="4D4D4F"/>
                <w:w w:val="97"/>
              </w:rPr>
              <w:t>Before the Meeting :</w:t>
            </w:r>
          </w:p>
        </w:tc>
        <w:tc>
          <w:tcPr>
            <w:tcW w:w="4120" w:type="dxa"/>
            <w:vAlign w:val="bottom"/>
          </w:tcPr>
          <w:p>
            <w:pPr>
              <w:jc w:val="center"/>
              <w:ind w:right="2552"/>
              <w:spacing w:after="0"/>
              <w:rPr>
                <w:sz w:val="20"/>
                <w:szCs w:val="20"/>
                <w:color w:val="auto"/>
              </w:rPr>
            </w:pPr>
            <w:r>
              <w:rPr>
                <w:rFonts w:ascii="Times New Roman" w:cs="Times New Roman" w:eastAsia="Times New Roman" w:hAnsi="Times New Roman"/>
                <w:sz w:val="18"/>
                <w:szCs w:val="18"/>
                <w:b w:val="1"/>
                <w:bCs w:val="1"/>
                <w:color w:val="4D4D4F"/>
                <w:w w:val="95"/>
              </w:rPr>
              <w:t>INTERNET: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D4D4F"/>
                <w:w w:val="97"/>
              </w:rPr>
              <w:t>MAIL</w:t>
            </w:r>
          </w:p>
        </w:tc>
        <w:tc>
          <w:tcPr>
            <w:tcW w:w="0" w:type="dxa"/>
            <w:vAlign w:val="bottom"/>
          </w:tcPr>
          <w:p>
            <w:pPr>
              <w:spacing w:after="0"/>
              <w:rPr>
                <w:sz w:val="1"/>
                <w:szCs w:val="1"/>
                <w:color w:val="auto"/>
              </w:rPr>
            </w:pPr>
          </w:p>
        </w:tc>
      </w:tr>
      <w:tr>
        <w:trPr>
          <w:trHeight w:val="204"/>
        </w:trPr>
        <w:tc>
          <w:tcPr>
            <w:tcW w:w="238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4D4D4F"/>
                <w:w w:val="97"/>
              </w:rPr>
              <w:t>You can vote by phone by calling</w:t>
            </w:r>
          </w:p>
        </w:tc>
        <w:tc>
          <w:tcPr>
            <w:tcW w:w="2580" w:type="dxa"/>
            <w:vAlign w:val="bottom"/>
            <w:vMerge w:val="continue"/>
          </w:tcPr>
          <w:p>
            <w:pPr>
              <w:spacing w:after="0"/>
              <w:rPr>
                <w:sz w:val="17"/>
                <w:szCs w:val="17"/>
                <w:color w:val="auto"/>
              </w:rPr>
            </w:pPr>
          </w:p>
        </w:tc>
        <w:tc>
          <w:tcPr>
            <w:tcW w:w="412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continue"/>
          </w:tcPr>
          <w:p>
            <w:pPr>
              <w:spacing w:after="0"/>
              <w:rPr>
                <w:sz w:val="9"/>
                <w:szCs w:val="9"/>
                <w:color w:val="auto"/>
              </w:rPr>
            </w:pPr>
          </w:p>
        </w:tc>
        <w:tc>
          <w:tcPr>
            <w:tcW w:w="258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color w:val="4D4D4F"/>
                <w:w w:val="98"/>
              </w:rPr>
              <w:t>Go to</w:t>
            </w:r>
          </w:p>
        </w:tc>
        <w:tc>
          <w:tcPr>
            <w:tcW w:w="4120" w:type="dxa"/>
            <w:vAlign w:val="bottom"/>
            <w:vMerge w:val="restart"/>
          </w:tcPr>
          <w:p>
            <w:pPr>
              <w:jc w:val="center"/>
              <w:ind w:left="1392"/>
              <w:spacing w:after="0"/>
              <w:rPr>
                <w:sz w:val="20"/>
                <w:szCs w:val="20"/>
                <w:color w:val="auto"/>
              </w:rPr>
            </w:pPr>
            <w:r>
              <w:rPr>
                <w:rFonts w:ascii="Times New Roman" w:cs="Times New Roman" w:eastAsia="Times New Roman" w:hAnsi="Times New Roman"/>
                <w:sz w:val="18"/>
                <w:szCs w:val="18"/>
                <w:color w:val="4D4D4F"/>
                <w:w w:val="97"/>
              </w:rPr>
              <w:t>During the Meeting :</w:t>
            </w: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4D4D4F"/>
                <w:w w:val="97"/>
              </w:rPr>
              <w:t>1.866.752.8683 up until 11:59</w:t>
            </w:r>
          </w:p>
        </w:tc>
        <w:tc>
          <w:tcPr>
            <w:tcW w:w="2580" w:type="dxa"/>
            <w:vAlign w:val="bottom"/>
            <w:vMerge w:val="continue"/>
          </w:tcPr>
          <w:p>
            <w:pPr>
              <w:spacing w:after="0"/>
              <w:rPr>
                <w:sz w:val="9"/>
                <w:szCs w:val="9"/>
                <w:color w:val="auto"/>
              </w:rPr>
            </w:pPr>
          </w:p>
        </w:tc>
        <w:tc>
          <w:tcPr>
            <w:tcW w:w="4120" w:type="dxa"/>
            <w:vAlign w:val="bottom"/>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continue"/>
          </w:tcPr>
          <w:p>
            <w:pPr>
              <w:spacing w:after="0"/>
              <w:rPr>
                <w:sz w:val="9"/>
                <w:szCs w:val="9"/>
                <w:color w:val="auto"/>
              </w:rPr>
            </w:pPr>
          </w:p>
        </w:tc>
        <w:tc>
          <w:tcPr>
            <w:tcW w:w="25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8"/>
                <w:szCs w:val="18"/>
                <w:color w:val="4D4D4F"/>
                <w:w w:val="96"/>
              </w:rPr>
              <w:t>www.iproxydirect.com/ACMR</w:t>
            </w:r>
          </w:p>
        </w:tc>
        <w:tc>
          <w:tcPr>
            <w:tcW w:w="4120" w:type="dxa"/>
            <w:vAlign w:val="bottom"/>
            <w:vMerge w:val="restart"/>
          </w:tcPr>
          <w:p>
            <w:pPr>
              <w:jc w:val="center"/>
              <w:ind w:left="1392"/>
              <w:spacing w:after="0"/>
              <w:rPr>
                <w:sz w:val="20"/>
                <w:szCs w:val="20"/>
                <w:color w:val="auto"/>
              </w:rPr>
            </w:pPr>
            <w:r>
              <w:rPr>
                <w:rFonts w:ascii="Times New Roman" w:cs="Times New Roman" w:eastAsia="Times New Roman" w:hAnsi="Times New Roman"/>
                <w:sz w:val="18"/>
                <w:szCs w:val="18"/>
                <w:color w:val="4D4D4F"/>
                <w:w w:val="98"/>
              </w:rPr>
              <w:t>Go to</w:t>
            </w: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4D4D4F"/>
                <w:w w:val="97"/>
              </w:rPr>
              <w:t>p.m. EDST the day before the</w:t>
            </w:r>
          </w:p>
        </w:tc>
        <w:tc>
          <w:tcPr>
            <w:tcW w:w="2580" w:type="dxa"/>
            <w:vAlign w:val="bottom"/>
            <w:vMerge w:val="continue"/>
          </w:tcPr>
          <w:p>
            <w:pPr>
              <w:spacing w:after="0"/>
              <w:rPr>
                <w:sz w:val="9"/>
                <w:szCs w:val="9"/>
                <w:color w:val="auto"/>
              </w:rPr>
            </w:pPr>
          </w:p>
        </w:tc>
        <w:tc>
          <w:tcPr>
            <w:tcW w:w="4120" w:type="dxa"/>
            <w:vAlign w:val="bottom"/>
            <w:vMerge w:val="continue"/>
          </w:tcPr>
          <w:p>
            <w:pPr>
              <w:spacing w:after="0"/>
              <w:rPr>
                <w:sz w:val="9"/>
                <w:szCs w:val="9"/>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4D4D4F"/>
                <w:w w:val="95"/>
              </w:rPr>
              <w:t>You can vote by mail by</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continue"/>
          </w:tcPr>
          <w:p>
            <w:pPr>
              <w:spacing w:after="0"/>
              <w:rPr>
                <w:sz w:val="9"/>
                <w:szCs w:val="9"/>
                <w:color w:val="auto"/>
              </w:rPr>
            </w:pPr>
          </w:p>
        </w:tc>
        <w:tc>
          <w:tcPr>
            <w:tcW w:w="258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color w:val="4D4D4F"/>
                <w:w w:val="97"/>
              </w:rPr>
              <w:t>or scan the QR located on the</w:t>
            </w:r>
          </w:p>
        </w:tc>
        <w:tc>
          <w:tcPr>
            <w:tcW w:w="4120" w:type="dxa"/>
            <w:vAlign w:val="bottom"/>
            <w:vMerge w:val="restart"/>
          </w:tcPr>
          <w:p>
            <w:pPr>
              <w:jc w:val="center"/>
              <w:ind w:left="1412"/>
              <w:spacing w:after="0"/>
              <w:rPr>
                <w:sz w:val="20"/>
                <w:szCs w:val="20"/>
                <w:color w:val="auto"/>
              </w:rPr>
            </w:pPr>
            <w:r>
              <w:rPr>
                <w:rFonts w:ascii="Times New Roman" w:cs="Times New Roman" w:eastAsia="Times New Roman" w:hAnsi="Times New Roman"/>
                <w:sz w:val="18"/>
                <w:szCs w:val="18"/>
                <w:color w:val="4D4D4F"/>
                <w:w w:val="97"/>
              </w:rPr>
              <w:t>investorcalendar.com/event/28590.</w:t>
            </w: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4D4D4F"/>
                <w:w w:val="97"/>
              </w:rPr>
              <w:t>meeting date. Have both your</w:t>
            </w:r>
          </w:p>
        </w:tc>
        <w:tc>
          <w:tcPr>
            <w:tcW w:w="2580" w:type="dxa"/>
            <w:vAlign w:val="bottom"/>
            <w:vMerge w:val="continue"/>
          </w:tcPr>
          <w:p>
            <w:pPr>
              <w:spacing w:after="0"/>
              <w:rPr>
                <w:sz w:val="9"/>
                <w:szCs w:val="9"/>
                <w:color w:val="auto"/>
              </w:rPr>
            </w:pPr>
          </w:p>
        </w:tc>
        <w:tc>
          <w:tcPr>
            <w:tcW w:w="4120" w:type="dxa"/>
            <w:vAlign w:val="bottom"/>
            <w:vMerge w:val="continue"/>
          </w:tcPr>
          <w:p>
            <w:pPr>
              <w:spacing w:after="0"/>
              <w:rPr>
                <w:sz w:val="9"/>
                <w:szCs w:val="9"/>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4D4D4F"/>
                <w:w w:val="97"/>
              </w:rPr>
              <w:t>requesting a paper copy of the</w:t>
            </w:r>
          </w:p>
        </w:tc>
        <w:tc>
          <w:tcPr>
            <w:tcW w:w="0" w:type="dxa"/>
            <w:vAlign w:val="bottom"/>
          </w:tcPr>
          <w:p>
            <w:pPr>
              <w:spacing w:after="0"/>
              <w:rPr>
                <w:sz w:val="1"/>
                <w:szCs w:val="1"/>
                <w:color w:val="auto"/>
              </w:rPr>
            </w:pPr>
          </w:p>
        </w:tc>
      </w:tr>
      <w:tr>
        <w:trPr>
          <w:trHeight w:val="176"/>
        </w:trPr>
        <w:tc>
          <w:tcPr>
            <w:tcW w:w="2380" w:type="dxa"/>
            <w:vAlign w:val="bottom"/>
            <w:tcBorders>
              <w:left w:val="single" w:sz="8" w:color="auto"/>
            </w:tcBorders>
            <w:vMerge w:val="continue"/>
          </w:tcPr>
          <w:p>
            <w:pPr>
              <w:spacing w:after="0"/>
              <w:rPr>
                <w:sz w:val="15"/>
                <w:szCs w:val="15"/>
                <w:color w:val="auto"/>
              </w:rPr>
            </w:pPr>
          </w:p>
        </w:tc>
        <w:tc>
          <w:tcPr>
            <w:tcW w:w="2580" w:type="dxa"/>
            <w:vAlign w:val="bottom"/>
          </w:tcPr>
          <w:p>
            <w:pPr>
              <w:jc w:val="center"/>
              <w:ind w:right="132"/>
              <w:spacing w:after="0" w:line="176" w:lineRule="exact"/>
              <w:rPr>
                <w:sz w:val="20"/>
                <w:szCs w:val="20"/>
                <w:color w:val="auto"/>
              </w:rPr>
            </w:pPr>
            <w:r>
              <w:rPr>
                <w:rFonts w:ascii="Times New Roman" w:cs="Times New Roman" w:eastAsia="Times New Roman" w:hAnsi="Times New Roman"/>
                <w:sz w:val="18"/>
                <w:szCs w:val="18"/>
                <w:color w:val="4D4D4F"/>
                <w:w w:val="97"/>
              </w:rPr>
              <w:t>right. Have both your Control ID</w:t>
            </w:r>
          </w:p>
        </w:tc>
        <w:tc>
          <w:tcPr>
            <w:tcW w:w="4120" w:type="dxa"/>
            <w:vAlign w:val="bottom"/>
          </w:tcPr>
          <w:p>
            <w:pPr>
              <w:jc w:val="center"/>
              <w:ind w:left="1392"/>
              <w:spacing w:after="0" w:line="176" w:lineRule="exact"/>
              <w:rPr>
                <w:sz w:val="20"/>
                <w:szCs w:val="20"/>
                <w:color w:val="auto"/>
              </w:rPr>
            </w:pPr>
            <w:r>
              <w:rPr>
                <w:rFonts w:ascii="Times New Roman" w:cs="Times New Roman" w:eastAsia="Times New Roman" w:hAnsi="Times New Roman"/>
                <w:sz w:val="18"/>
                <w:szCs w:val="18"/>
                <w:color w:val="4D4D4F"/>
                <w:w w:val="97"/>
              </w:rPr>
              <w:t>Have both your Control ID and</w:t>
            </w:r>
          </w:p>
        </w:tc>
        <w:tc>
          <w:tcPr>
            <w:tcW w:w="23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80" w:type="dxa"/>
            <w:vAlign w:val="bottom"/>
            <w:tcBorders>
              <w:lef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4D4D4F"/>
              </w:rPr>
              <w:t>Control ID and Request ID</w:t>
            </w:r>
          </w:p>
        </w:tc>
        <w:tc>
          <w:tcPr>
            <w:tcW w:w="25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8"/>
                <w:szCs w:val="18"/>
                <w:color w:val="4D4D4F"/>
                <w:w w:val="97"/>
              </w:rPr>
              <w:t>and Request ID (located in the</w:t>
            </w:r>
          </w:p>
        </w:tc>
        <w:tc>
          <w:tcPr>
            <w:tcW w:w="4120" w:type="dxa"/>
            <w:vAlign w:val="bottom"/>
            <w:vMerge w:val="restart"/>
          </w:tcPr>
          <w:p>
            <w:pPr>
              <w:jc w:val="center"/>
              <w:ind w:left="1412"/>
              <w:spacing w:after="0"/>
              <w:rPr>
                <w:sz w:val="20"/>
                <w:szCs w:val="20"/>
                <w:color w:val="auto"/>
              </w:rPr>
            </w:pPr>
            <w:r>
              <w:rPr>
                <w:rFonts w:ascii="Times New Roman" w:cs="Times New Roman" w:eastAsia="Times New Roman" w:hAnsi="Times New Roman"/>
                <w:sz w:val="18"/>
                <w:szCs w:val="18"/>
                <w:color w:val="4D4D4F"/>
                <w:w w:val="97"/>
              </w:rPr>
              <w:t>Request ID (located in the box</w:t>
            </w:r>
          </w:p>
        </w:tc>
        <w:tc>
          <w:tcPr>
            <w:tcW w:w="234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4D4D4F"/>
              </w:rPr>
              <w:t>materials, which will include a</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4D4D4F"/>
                <w:w w:val="97"/>
              </w:rPr>
              <w:t>(located in the box above)</w:t>
            </w:r>
          </w:p>
        </w:tc>
        <w:tc>
          <w:tcPr>
            <w:tcW w:w="2580" w:type="dxa"/>
            <w:vAlign w:val="bottom"/>
            <w:vMerge w:val="continue"/>
          </w:tcPr>
          <w:p>
            <w:pPr>
              <w:spacing w:after="0"/>
              <w:rPr>
                <w:sz w:val="9"/>
                <w:szCs w:val="9"/>
                <w:color w:val="auto"/>
              </w:rPr>
            </w:pPr>
          </w:p>
        </w:tc>
        <w:tc>
          <w:tcPr>
            <w:tcW w:w="4120" w:type="dxa"/>
            <w:vAlign w:val="bottom"/>
            <w:vMerge w:val="continue"/>
          </w:tcPr>
          <w:p>
            <w:pPr>
              <w:spacing w:after="0"/>
              <w:rPr>
                <w:sz w:val="9"/>
                <w:szCs w:val="9"/>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4D4D4F"/>
                <w:w w:val="97"/>
              </w:rPr>
              <w:t>proxy card.</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continue"/>
          </w:tcPr>
          <w:p>
            <w:pPr>
              <w:spacing w:after="0"/>
              <w:rPr>
                <w:sz w:val="9"/>
                <w:szCs w:val="9"/>
                <w:color w:val="auto"/>
              </w:rPr>
            </w:pPr>
          </w:p>
        </w:tc>
        <w:tc>
          <w:tcPr>
            <w:tcW w:w="25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8"/>
                <w:szCs w:val="18"/>
                <w:color w:val="4D4D4F"/>
                <w:w w:val="97"/>
              </w:rPr>
              <w:t>box above) available and follow</w:t>
            </w:r>
          </w:p>
        </w:tc>
        <w:tc>
          <w:tcPr>
            <w:tcW w:w="4120" w:type="dxa"/>
            <w:vAlign w:val="bottom"/>
            <w:vMerge w:val="restart"/>
          </w:tcPr>
          <w:p>
            <w:pPr>
              <w:jc w:val="center"/>
              <w:ind w:left="1412"/>
              <w:spacing w:after="0"/>
              <w:rPr>
                <w:sz w:val="20"/>
                <w:szCs w:val="20"/>
                <w:color w:val="auto"/>
              </w:rPr>
            </w:pPr>
            <w:r>
              <w:rPr>
                <w:rFonts w:ascii="Times New Roman" w:cs="Times New Roman" w:eastAsia="Times New Roman" w:hAnsi="Times New Roman"/>
                <w:sz w:val="18"/>
                <w:szCs w:val="18"/>
                <w:color w:val="4D4D4F"/>
                <w:w w:val="97"/>
              </w:rPr>
              <w:t>above) available and follow the</w:t>
            </w: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4D4D4F"/>
                <w:w w:val="97"/>
              </w:rPr>
              <w:t>available and follow the</w:t>
            </w:r>
          </w:p>
        </w:tc>
        <w:tc>
          <w:tcPr>
            <w:tcW w:w="2580" w:type="dxa"/>
            <w:vAlign w:val="bottom"/>
            <w:vMerge w:val="continue"/>
          </w:tcPr>
          <w:p>
            <w:pPr>
              <w:spacing w:after="0"/>
              <w:rPr>
                <w:sz w:val="9"/>
                <w:szCs w:val="9"/>
                <w:color w:val="auto"/>
              </w:rPr>
            </w:pPr>
          </w:p>
        </w:tc>
        <w:tc>
          <w:tcPr>
            <w:tcW w:w="4120" w:type="dxa"/>
            <w:vAlign w:val="bottom"/>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continue"/>
          </w:tcPr>
          <w:p>
            <w:pPr>
              <w:spacing w:after="0"/>
              <w:rPr>
                <w:sz w:val="9"/>
                <w:szCs w:val="9"/>
                <w:color w:val="auto"/>
              </w:rPr>
            </w:pPr>
          </w:p>
        </w:tc>
        <w:tc>
          <w:tcPr>
            <w:tcW w:w="258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color w:val="4D4D4F"/>
                <w:w w:val="97"/>
              </w:rPr>
              <w:t>the instructions.</w:t>
            </w:r>
          </w:p>
        </w:tc>
        <w:tc>
          <w:tcPr>
            <w:tcW w:w="4120" w:type="dxa"/>
            <w:vAlign w:val="bottom"/>
            <w:vMerge w:val="restart"/>
          </w:tcPr>
          <w:p>
            <w:pPr>
              <w:jc w:val="center"/>
              <w:ind w:left="1412"/>
              <w:spacing w:after="0"/>
              <w:rPr>
                <w:sz w:val="20"/>
                <w:szCs w:val="20"/>
                <w:color w:val="auto"/>
              </w:rPr>
            </w:pPr>
            <w:r>
              <w:rPr>
                <w:rFonts w:ascii="Times New Roman" w:cs="Times New Roman" w:eastAsia="Times New Roman" w:hAnsi="Times New Roman"/>
                <w:sz w:val="18"/>
                <w:szCs w:val="18"/>
                <w:color w:val="4D4D4F"/>
                <w:w w:val="97"/>
              </w:rPr>
              <w:t>instructions.</w:t>
            </w: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380" w:type="dxa"/>
            <w:vAlign w:val="bottom"/>
            <w:tcBorders>
              <w:lef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4D4D4F"/>
                <w:w w:val="97"/>
              </w:rPr>
              <w:t>instructions.</w:t>
            </w:r>
          </w:p>
        </w:tc>
        <w:tc>
          <w:tcPr>
            <w:tcW w:w="2580" w:type="dxa"/>
            <w:vAlign w:val="bottom"/>
            <w:vMerge w:val="continue"/>
          </w:tcPr>
          <w:p>
            <w:pPr>
              <w:spacing w:after="0"/>
              <w:rPr>
                <w:sz w:val="10"/>
                <w:szCs w:val="10"/>
                <w:color w:val="auto"/>
              </w:rPr>
            </w:pPr>
          </w:p>
        </w:tc>
        <w:tc>
          <w:tcPr>
            <w:tcW w:w="4120" w:type="dxa"/>
            <w:vAlign w:val="bottom"/>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tcBorders>
            <w:vMerge w:val="continue"/>
          </w:tcPr>
          <w:p>
            <w:pPr>
              <w:spacing w:after="0"/>
              <w:rPr>
                <w:sz w:val="9"/>
                <w:szCs w:val="9"/>
                <w:color w:val="auto"/>
              </w:rPr>
            </w:pPr>
          </w:p>
        </w:tc>
        <w:tc>
          <w:tcPr>
            <w:tcW w:w="25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380" w:type="dxa"/>
            <w:vAlign w:val="bottom"/>
            <w:tcBorders>
              <w:left w:val="single" w:sz="8" w:color="auto"/>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-1843405</wp:posOffset>
            </wp:positionV>
            <wp:extent cx="300355"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-1843405</wp:posOffset>
            </wp:positionV>
            <wp:extent cx="300355"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-1843405</wp:posOffset>
            </wp:positionV>
            <wp:extent cx="29146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3003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-1405890</wp:posOffset>
            </wp:positionV>
            <wp:extent cx="977900" cy="951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900" cy="9518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4D4D4F"/>
        </w:rPr>
        <w:t>You are receiving this communication because you hold shares in the company named above.</w:t>
      </w:r>
    </w:p>
    <w:p>
      <w:pPr>
        <w:spacing w:after="0" w:line="21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D4D4F"/>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Times New Roman" w:cs="Times New Roman" w:eastAsia="Times New Roman" w:hAnsi="Times New Roman"/>
          <w:sz w:val="18"/>
          <w:szCs w:val="18"/>
          <w:i w:val="1"/>
          <w:iCs w:val="1"/>
          <w:color w:val="4D4D4F"/>
        </w:rPr>
        <w:t>www.iproxydirect.com/ACMR</w:t>
      </w:r>
      <w:r>
        <w:rPr>
          <w:rFonts w:ascii="Times New Roman" w:cs="Times New Roman" w:eastAsia="Times New Roman" w:hAnsi="Times New Roman"/>
          <w:sz w:val="18"/>
          <w:szCs w:val="18"/>
          <w:color w:val="4D4D4F"/>
        </w:rPr>
        <w:t>, scan the QR code above, or easily request a paper copy (see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D4D4F"/>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4D4D4F"/>
        </w:rPr>
        <w:t>How to Access Proxy Materials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D4D4F"/>
        </w:rPr>
        <w:t xml:space="preserve">Proxy Materials Available to VIEW or RECEIVE: </w:t>
      </w:r>
      <w:r>
        <w:rPr>
          <w:rFonts w:ascii="Times New Roman" w:cs="Times New Roman" w:eastAsia="Times New Roman" w:hAnsi="Times New Roman"/>
          <w:sz w:val="18"/>
          <w:szCs w:val="18"/>
          <w:color w:val="4D4D4F"/>
        </w:rPr>
        <w:t>NOTICE AND PROXY STATEMENT ANNUAL REPORT</w:t>
      </w:r>
    </w:p>
    <w:p>
      <w:pPr>
        <w:spacing w:after="0" w:line="211"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b w:val="1"/>
          <w:bCs w:val="1"/>
          <w:color w:val="4D4D4F"/>
        </w:rPr>
        <w:t xml:space="preserve">How to View Online: </w:t>
      </w:r>
      <w:r>
        <w:rPr>
          <w:rFonts w:ascii="Times New Roman" w:cs="Times New Roman" w:eastAsia="Times New Roman" w:hAnsi="Times New Roman"/>
          <w:sz w:val="18"/>
          <w:szCs w:val="18"/>
          <w:color w:val="4D4D4F"/>
        </w:rPr>
        <w:t>Have both your Control ID and Request ID (located in the box above) and visit: www.iproxydirect.com/ACMR or scan the QR code</w:t>
      </w:r>
      <w:r>
        <w:rPr>
          <w:rFonts w:ascii="Times New Roman" w:cs="Times New Roman" w:eastAsia="Times New Roman" w:hAnsi="Times New Roman"/>
          <w:sz w:val="18"/>
          <w:szCs w:val="18"/>
          <w:b w:val="1"/>
          <w:bCs w:val="1"/>
          <w:color w:val="4D4D4F"/>
        </w:rPr>
        <w:t xml:space="preserve"> </w:t>
      </w:r>
      <w:r>
        <w:rPr>
          <w:rFonts w:ascii="Times New Roman" w:cs="Times New Roman" w:eastAsia="Times New Roman" w:hAnsi="Times New Roman"/>
          <w:sz w:val="18"/>
          <w:szCs w:val="18"/>
          <w:color w:val="4D4D4F"/>
        </w:rPr>
        <w:t>above.</w:t>
      </w:r>
    </w:p>
    <w:p>
      <w:pPr>
        <w:spacing w:after="0" w:line="17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b w:val="1"/>
          <w:bCs w:val="1"/>
          <w:color w:val="4D4D4F"/>
        </w:rPr>
        <w:t xml:space="preserve">How to Request and Receive a PAPER or EMAIL Copy: </w:t>
      </w:r>
      <w:r>
        <w:rPr>
          <w:rFonts w:ascii="Times New Roman" w:cs="Times New Roman" w:eastAsia="Times New Roman" w:hAnsi="Times New Roman"/>
          <w:sz w:val="18"/>
          <w:szCs w:val="18"/>
          <w:color w:val="4D4D4F"/>
        </w:rPr>
        <w:t>If you want to receive a paper or e-mail copy of these documents, you must request one. There is NO</w:t>
      </w:r>
      <w:r>
        <w:rPr>
          <w:rFonts w:ascii="Times New Roman" w:cs="Times New Roman" w:eastAsia="Times New Roman" w:hAnsi="Times New Roman"/>
          <w:sz w:val="18"/>
          <w:szCs w:val="18"/>
          <w:b w:val="1"/>
          <w:bCs w:val="1"/>
          <w:color w:val="4D4D4F"/>
        </w:rPr>
        <w:t xml:space="preserve"> </w:t>
      </w:r>
      <w:r>
        <w:rPr>
          <w:rFonts w:ascii="Times New Roman" w:cs="Times New Roman" w:eastAsia="Times New Roman" w:hAnsi="Times New Roman"/>
          <w:sz w:val="18"/>
          <w:szCs w:val="18"/>
          <w:color w:val="4D4D4F"/>
        </w:rPr>
        <w:t>charge for requesting a copy. Please choose one of the following methods to make your request: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4D4D4F"/>
                <w:w w:val="85"/>
              </w:rPr>
              <w:t>(1)</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4D4D4F"/>
              </w:rPr>
              <w:t>BY INTERNET</w:t>
            </w:r>
            <w:r>
              <w:rPr>
                <w:rFonts w:ascii="Times New Roman" w:cs="Times New Roman" w:eastAsia="Times New Roman" w:hAnsi="Times New Roman"/>
                <w:sz w:val="18"/>
                <w:szCs w:val="18"/>
                <w:color w:val="4D4D4F"/>
              </w:rPr>
              <w:t>:</w:t>
            </w:r>
          </w:p>
        </w:tc>
        <w:tc>
          <w:tcPr>
            <w:tcW w:w="2720" w:type="dxa"/>
            <w:vAlign w:val="bottom"/>
          </w:tcPr>
          <w:p>
            <w:pPr>
              <w:ind w:left="420"/>
              <w:spacing w:after="0"/>
              <w:rPr>
                <w:sz w:val="20"/>
                <w:szCs w:val="20"/>
                <w:color w:val="auto"/>
              </w:rPr>
            </w:pPr>
            <w:r>
              <w:rPr>
                <w:rFonts w:ascii="Times New Roman" w:cs="Times New Roman" w:eastAsia="Times New Roman" w:hAnsi="Times New Roman"/>
                <w:sz w:val="18"/>
                <w:szCs w:val="18"/>
                <w:color w:val="4D4D4F"/>
              </w:rPr>
              <w:t>iproxydirect.com/ACMR</w:t>
            </w:r>
          </w:p>
        </w:tc>
      </w:tr>
      <w:tr>
        <w:trPr>
          <w:trHeight w:val="216"/>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4D4D4F"/>
                <w:w w:val="85"/>
              </w:rPr>
              <w:t>(2)</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4D4D4F"/>
              </w:rPr>
              <w:t>BY TELEPHONE</w:t>
            </w:r>
            <w:r>
              <w:rPr>
                <w:rFonts w:ascii="Times New Roman" w:cs="Times New Roman" w:eastAsia="Times New Roman" w:hAnsi="Times New Roman"/>
                <w:sz w:val="18"/>
                <w:szCs w:val="18"/>
                <w:color w:val="4D4D4F"/>
              </w:rPr>
              <w:t>:</w:t>
            </w:r>
          </w:p>
        </w:tc>
        <w:tc>
          <w:tcPr>
            <w:tcW w:w="2720" w:type="dxa"/>
            <w:vAlign w:val="bottom"/>
          </w:tcPr>
          <w:p>
            <w:pPr>
              <w:ind w:left="420"/>
              <w:spacing w:after="0"/>
              <w:rPr>
                <w:sz w:val="20"/>
                <w:szCs w:val="20"/>
                <w:color w:val="auto"/>
              </w:rPr>
            </w:pPr>
            <w:r>
              <w:rPr>
                <w:rFonts w:ascii="Times New Roman" w:cs="Times New Roman" w:eastAsia="Times New Roman" w:hAnsi="Times New Roman"/>
                <w:sz w:val="18"/>
                <w:szCs w:val="18"/>
                <w:color w:val="4D4D4F"/>
              </w:rPr>
              <w:t>+1.866.752.8683</w:t>
            </w:r>
          </w:p>
        </w:tc>
      </w:tr>
      <w:tr>
        <w:trPr>
          <w:trHeight w:val="230"/>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4D4D4F"/>
                <w:w w:val="85"/>
              </w:rPr>
              <w:t>(3)</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4D4D4F"/>
              </w:rPr>
              <w:t>BY EMAIL</w:t>
            </w:r>
            <w:r>
              <w:rPr>
                <w:rFonts w:ascii="Times New Roman" w:cs="Times New Roman" w:eastAsia="Times New Roman" w:hAnsi="Times New Roman"/>
                <w:sz w:val="18"/>
                <w:szCs w:val="18"/>
                <w:color w:val="4D4D4F"/>
              </w:rPr>
              <w:t>*:</w:t>
            </w:r>
          </w:p>
        </w:tc>
        <w:tc>
          <w:tcPr>
            <w:tcW w:w="2720" w:type="dxa"/>
            <w:vAlign w:val="bottom"/>
          </w:tcPr>
          <w:p>
            <w:pPr>
              <w:ind w:left="440"/>
              <w:spacing w:after="0"/>
              <w:rPr>
                <w:sz w:val="20"/>
                <w:szCs w:val="20"/>
                <w:color w:val="auto"/>
              </w:rPr>
            </w:pPr>
            <w:r>
              <w:rPr>
                <w:rFonts w:ascii="Times New Roman" w:cs="Times New Roman" w:eastAsia="Times New Roman" w:hAnsi="Times New Roman"/>
                <w:sz w:val="18"/>
                <w:szCs w:val="18"/>
                <w:color w:val="4D4D4F"/>
                <w:w w:val="95"/>
              </w:rPr>
              <w:t>investor.relations@acmrcsh.com</w:t>
            </w:r>
          </w:p>
        </w:tc>
      </w:tr>
    </w:tbl>
    <w:p>
      <w:pPr>
        <w:spacing w:after="0" w:line="204" w:lineRule="exact"/>
        <w:rPr>
          <w:sz w:val="20"/>
          <w:szCs w:val="20"/>
          <w:color w:val="auto"/>
        </w:rPr>
      </w:pPr>
    </w:p>
    <w:p>
      <w:pPr>
        <w:ind w:right="120" w:firstLine="8"/>
        <w:spacing w:after="0" w:line="262" w:lineRule="auto"/>
        <w:tabs>
          <w:tab w:leader="none" w:pos="167" w:val="left"/>
        </w:tabs>
        <w:numPr>
          <w:ilvl w:val="0"/>
          <w:numId w:val="6"/>
        </w:numPr>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If requesting materials by email, please send a blank e-mail with both your Control ID and Request ID (located in the box above) in the subject line. Requests, instructions and other inquiries sent to this e-mail address will NOT be forwarded to your investment advisor. Please make the request as instructed above on or before June 7, 2018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680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80845"/>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type w:val="continuous"/>
        </w:sectPr>
      </w:pPr>
    </w:p>
    <w:p>
      <w:pPr>
        <w:spacing w:after="0" w:line="211" w:lineRule="exact"/>
        <w:rPr>
          <w:sz w:val="20"/>
          <w:szCs w:val="20"/>
          <w:color w:val="auto"/>
        </w:rPr>
      </w:pPr>
    </w:p>
    <w:p>
      <w:pPr>
        <w:ind w:left="40"/>
        <w:spacing w:after="0" w:line="277" w:lineRule="auto"/>
        <w:rPr>
          <w:sz w:val="20"/>
          <w:szCs w:val="20"/>
          <w:color w:val="auto"/>
        </w:rPr>
      </w:pPr>
      <w:r>
        <w:rPr>
          <w:rFonts w:ascii="Times New Roman" w:cs="Times New Roman" w:eastAsia="Times New Roman" w:hAnsi="Times New Roman"/>
          <w:sz w:val="18"/>
          <w:szCs w:val="18"/>
          <w:b w:val="1"/>
          <w:bCs w:val="1"/>
          <w:color w:val="4D4D4F"/>
        </w:rPr>
        <w:t>The Board of Directors recommends you vote “FOR” Proposals 1, 2 and 4 and “3 YEARS” on Proposal 3.</w:t>
      </w:r>
    </w:p>
    <w:p>
      <w:pPr>
        <w:spacing w:after="0" w:line="172" w:lineRule="exact"/>
        <w:rPr>
          <w:sz w:val="20"/>
          <w:szCs w:val="20"/>
          <w:color w:val="auto"/>
        </w:rPr>
      </w:pPr>
    </w:p>
    <w:p>
      <w:pPr>
        <w:ind w:left="480" w:hanging="445"/>
        <w:spacing w:after="0"/>
        <w:tabs>
          <w:tab w:leader="none" w:pos="480" w:val="left"/>
        </w:tabs>
        <w:numPr>
          <w:ilvl w:val="0"/>
          <w:numId w:val="7"/>
        </w:numPr>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Election of Directors</w:t>
      </w:r>
    </w:p>
    <w:p>
      <w:pPr>
        <w:spacing w:after="0" w:line="21" w:lineRule="exact"/>
        <w:rPr>
          <w:rFonts w:ascii="Times New Roman" w:cs="Times New Roman" w:eastAsia="Times New Roman" w:hAnsi="Times New Roman"/>
          <w:sz w:val="18"/>
          <w:szCs w:val="18"/>
          <w:color w:val="4D4D4F"/>
        </w:rPr>
      </w:pPr>
    </w:p>
    <w:p>
      <w:pPr>
        <w:ind w:left="360"/>
        <w:spacing w:after="0"/>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b w:val="1"/>
          <w:bCs w:val="1"/>
          <w:color w:val="4D4D4F"/>
        </w:rPr>
        <w:t>Nominees:</w:t>
      </w:r>
    </w:p>
    <w:p>
      <w:pPr>
        <w:spacing w:after="0" w:line="9" w:lineRule="exact"/>
        <w:rPr>
          <w:rFonts w:ascii="Times New Roman" w:cs="Times New Roman" w:eastAsia="Times New Roman" w:hAnsi="Times New Roman"/>
          <w:sz w:val="18"/>
          <w:szCs w:val="18"/>
          <w:color w:val="4D4D4F"/>
        </w:rPr>
      </w:pPr>
    </w:p>
    <w:p>
      <w:pPr>
        <w:ind w:left="360"/>
        <w:spacing w:after="0"/>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1(a)</w:t>
      </w:r>
      <w:r>
        <w:rPr>
          <w:rFonts w:ascii="Times New Roman" w:cs="Times New Roman" w:eastAsia="Times New Roman" w:hAnsi="Times New Roman"/>
          <w:sz w:val="16"/>
          <w:szCs w:val="16"/>
          <w:color w:val="4D4D4F"/>
        </w:rPr>
        <w:t>David H. Wang</w:t>
      </w:r>
    </w:p>
    <w:p>
      <w:pPr>
        <w:spacing w:after="0" w:line="9" w:lineRule="exact"/>
        <w:rPr>
          <w:rFonts w:ascii="Times New Roman" w:cs="Times New Roman" w:eastAsia="Times New Roman" w:hAnsi="Times New Roman"/>
          <w:sz w:val="18"/>
          <w:szCs w:val="18"/>
          <w:color w:val="4D4D4F"/>
        </w:rPr>
      </w:pPr>
    </w:p>
    <w:p>
      <w:pPr>
        <w:ind w:left="360"/>
        <w:spacing w:after="0"/>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1(b)</w:t>
      </w:r>
      <w:r>
        <w:rPr>
          <w:rFonts w:ascii="Times New Roman" w:cs="Times New Roman" w:eastAsia="Times New Roman" w:hAnsi="Times New Roman"/>
          <w:sz w:val="16"/>
          <w:szCs w:val="16"/>
          <w:color w:val="4D4D4F"/>
        </w:rPr>
        <w:t>Haiping Dun</w:t>
      </w:r>
    </w:p>
    <w:p>
      <w:pPr>
        <w:spacing w:after="0" w:line="9" w:lineRule="exact"/>
        <w:rPr>
          <w:rFonts w:ascii="Times New Roman" w:cs="Times New Roman" w:eastAsia="Times New Roman" w:hAnsi="Times New Roman"/>
          <w:sz w:val="18"/>
          <w:szCs w:val="18"/>
          <w:color w:val="4D4D4F"/>
        </w:rPr>
      </w:pPr>
    </w:p>
    <w:p>
      <w:pPr>
        <w:ind w:left="360"/>
        <w:spacing w:after="0"/>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1(c)</w:t>
      </w:r>
      <w:r>
        <w:rPr>
          <w:rFonts w:ascii="Times New Roman" w:cs="Times New Roman" w:eastAsia="Times New Roman" w:hAnsi="Times New Roman"/>
          <w:sz w:val="16"/>
          <w:szCs w:val="16"/>
          <w:color w:val="4D4D4F"/>
        </w:rPr>
        <w:t>Chenming C. Hu</w:t>
      </w:r>
    </w:p>
    <w:p>
      <w:pPr>
        <w:spacing w:after="0" w:line="9" w:lineRule="exact"/>
        <w:rPr>
          <w:rFonts w:ascii="Times New Roman" w:cs="Times New Roman" w:eastAsia="Times New Roman" w:hAnsi="Times New Roman"/>
          <w:sz w:val="18"/>
          <w:szCs w:val="18"/>
          <w:color w:val="4D4D4F"/>
        </w:rPr>
      </w:pPr>
    </w:p>
    <w:p>
      <w:pPr>
        <w:ind w:left="360"/>
        <w:spacing w:after="0"/>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1(d)</w:t>
      </w:r>
      <w:r>
        <w:rPr>
          <w:rFonts w:ascii="Times New Roman" w:cs="Times New Roman" w:eastAsia="Times New Roman" w:hAnsi="Times New Roman"/>
          <w:sz w:val="16"/>
          <w:szCs w:val="16"/>
          <w:color w:val="4D4D4F"/>
        </w:rPr>
        <w:t>Tracy Liu</w:t>
      </w:r>
    </w:p>
    <w:p>
      <w:pPr>
        <w:spacing w:after="0" w:line="9" w:lineRule="exact"/>
        <w:rPr>
          <w:rFonts w:ascii="Times New Roman" w:cs="Times New Roman" w:eastAsia="Times New Roman" w:hAnsi="Times New Roman"/>
          <w:sz w:val="18"/>
          <w:szCs w:val="18"/>
          <w:color w:val="4D4D4F"/>
        </w:rPr>
      </w:pPr>
    </w:p>
    <w:p>
      <w:pPr>
        <w:ind w:left="360"/>
        <w:spacing w:after="0"/>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1(e)</w:t>
      </w:r>
      <w:r>
        <w:rPr>
          <w:rFonts w:ascii="Times New Roman" w:cs="Times New Roman" w:eastAsia="Times New Roman" w:hAnsi="Times New Roman"/>
          <w:sz w:val="16"/>
          <w:szCs w:val="16"/>
          <w:color w:val="4D4D4F"/>
        </w:rPr>
        <w:t>Zhengfan Yang</w:t>
      </w:r>
    </w:p>
    <w:p>
      <w:pPr>
        <w:spacing w:after="0" w:line="9" w:lineRule="exact"/>
        <w:rPr>
          <w:rFonts w:ascii="Times New Roman" w:cs="Times New Roman" w:eastAsia="Times New Roman" w:hAnsi="Times New Roman"/>
          <w:sz w:val="18"/>
          <w:szCs w:val="18"/>
          <w:color w:val="4D4D4F"/>
        </w:rPr>
      </w:pPr>
    </w:p>
    <w:p>
      <w:pPr>
        <w:ind w:left="360"/>
        <w:spacing w:after="0"/>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1(f)</w:t>
      </w:r>
      <w:r>
        <w:rPr>
          <w:rFonts w:ascii="Times New Roman" w:cs="Times New Roman" w:eastAsia="Times New Roman" w:hAnsi="Times New Roman"/>
          <w:sz w:val="16"/>
          <w:szCs w:val="16"/>
          <w:color w:val="4D4D4F"/>
        </w:rPr>
        <w:t>Yinan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430" w:hanging="430"/>
        <w:spacing w:after="0"/>
        <w:tabs>
          <w:tab w:leader="none" w:pos="430" w:val="left"/>
        </w:tabs>
        <w:numPr>
          <w:ilvl w:val="0"/>
          <w:numId w:val="8"/>
        </w:numPr>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Advisory Vote on 2017 Executive Compensation</w:t>
      </w:r>
    </w:p>
    <w:p>
      <w:pPr>
        <w:spacing w:after="0" w:line="21" w:lineRule="exact"/>
        <w:rPr>
          <w:rFonts w:ascii="Times New Roman" w:cs="Times New Roman" w:eastAsia="Times New Roman" w:hAnsi="Times New Roman"/>
          <w:sz w:val="18"/>
          <w:szCs w:val="18"/>
          <w:color w:val="4D4D4F"/>
        </w:rPr>
      </w:pPr>
    </w:p>
    <w:p>
      <w:pPr>
        <w:ind w:left="10" w:right="20" w:hanging="10"/>
        <w:spacing w:after="0" w:line="250" w:lineRule="auto"/>
        <w:tabs>
          <w:tab w:leader="none" w:pos="867" w:val="left"/>
        </w:tabs>
        <w:numPr>
          <w:ilvl w:val="0"/>
          <w:numId w:val="8"/>
        </w:numPr>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Advisory Vote on the Frequency of Future Advisory Votes on Executive Compensation</w:t>
      </w:r>
    </w:p>
    <w:p>
      <w:pPr>
        <w:jc w:val="both"/>
        <w:ind w:left="10" w:right="40" w:hanging="10"/>
        <w:spacing w:after="0" w:line="255" w:lineRule="auto"/>
        <w:tabs>
          <w:tab w:leader="none" w:pos="489" w:val="left"/>
        </w:tabs>
        <w:numPr>
          <w:ilvl w:val="0"/>
          <w:numId w:val="8"/>
        </w:numPr>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color w:val="4D4D4F"/>
        </w:rPr>
        <w:t>Ratification of the appointment of BDO China Shu Lan Pan Certified Public Accountants LLP as the independent registered public accounting firm for the year ending December 31, 2018</w:t>
      </w:r>
    </w:p>
    <w:p>
      <w:pPr>
        <w:spacing w:after="0" w:line="190" w:lineRule="exact"/>
        <w:rPr>
          <w:sz w:val="20"/>
          <w:szCs w:val="20"/>
          <w:color w:val="auto"/>
        </w:rPr>
      </w:pPr>
    </w:p>
    <w:p>
      <w:pPr>
        <w:ind w:left="10" w:right="40"/>
        <w:spacing w:after="0" w:line="277" w:lineRule="auto"/>
        <w:rPr>
          <w:sz w:val="20"/>
          <w:szCs w:val="20"/>
          <w:color w:val="auto"/>
        </w:rPr>
      </w:pPr>
      <w:r>
        <w:rPr>
          <w:rFonts w:ascii="Times New Roman" w:cs="Times New Roman" w:eastAsia="Times New Roman" w:hAnsi="Times New Roman"/>
          <w:sz w:val="18"/>
          <w:szCs w:val="18"/>
          <w:b w:val="1"/>
          <w:bCs w:val="1"/>
          <w:color w:val="4D4D4F"/>
        </w:rPr>
        <w:t>NOTE</w:t>
      </w:r>
      <w:r>
        <w:rPr>
          <w:rFonts w:ascii="Times New Roman" w:cs="Times New Roman" w:eastAsia="Times New Roman" w:hAnsi="Times New Roman"/>
          <w:sz w:val="18"/>
          <w:szCs w:val="18"/>
          <w:color w:val="4D4D4F"/>
        </w:rPr>
        <w:t>: Such other business as may properly come before the meeting or any</w:t>
      </w:r>
      <w:r>
        <w:rPr>
          <w:rFonts w:ascii="Times New Roman" w:cs="Times New Roman" w:eastAsia="Times New Roman" w:hAnsi="Times New Roman"/>
          <w:sz w:val="18"/>
          <w:szCs w:val="18"/>
          <w:b w:val="1"/>
          <w:bCs w:val="1"/>
          <w:color w:val="4D4D4F"/>
        </w:rPr>
        <w:t xml:space="preserve"> </w:t>
      </w:r>
      <w:r>
        <w:rPr>
          <w:rFonts w:ascii="Times New Roman" w:cs="Times New Roman" w:eastAsia="Times New Roman" w:hAnsi="Times New Roman"/>
          <w:sz w:val="18"/>
          <w:szCs w:val="18"/>
          <w:color w:val="4D4D4F"/>
        </w:rPr>
        <w:t>adjournment thereof.</w:t>
      </w:r>
    </w:p>
    <w:p>
      <w:pPr>
        <w:sectPr>
          <w:pgSz w:w="11900" w:h="16838" w:orient="portrait"/>
          <w:cols w:equalWidth="0" w:num="2">
            <w:col w:w="5940" w:space="10"/>
            <w:col w:w="5470"/>
          </w:cols>
          <w:pgMar w:left="240" w:top="75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Perimeter Park Drive Suite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Morrisville NC 27560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TIME SENSITIVE SHAREHOLDER INFORMATION ENCLOSED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32"/>
          <w:szCs w:val="32"/>
          <w:color w:val="auto"/>
        </w:rPr>
        <w:t>IMPORTANT SHAREHOLDER INFORMATION</w:t>
      </w:r>
    </w:p>
    <w:p>
      <w:pPr>
        <w:spacing w:after="0" w:line="21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32"/>
          <w:szCs w:val="32"/>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435610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559"/>
      </w:cols>
      <w:pgMar w:left="900" w:top="10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2019-12-08T15:15:22Z</dcterms:created>
  <dcterms:modified xsi:type="dcterms:W3CDTF">2019-12-08T15:15:22Z</dcterms:modified>
</cp:coreProperties>
</file>