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9,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6"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are listed on the Sci-Tech innovation board, or the STAR Market, of the Shanghai Stock Exchange, or the SSE. In accordance with the SSE’s rules governing the STAR Market, ACM Research (Shanghai), Inc. filed with the SSE a Record of April 2022 Investor Relations Activity, or the Record. The SSE posted the Record to the SSE’s website on May 9, 2022. A copy of the Record is included as exhibit 99.01 to this report.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8"/>
          <w:szCs w:val="18"/>
          <w:color w:val="auto"/>
        </w:rPr>
        <w:t>Record of April 2022 Investor Relations Activity filed by ACM Research (Shanghai), Inc. with the Shanghai Stock Exchange on May 9,</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4760" w:firstLine="298"/>
        <w:spacing w:after="0" w:line="563" w:lineRule="auto"/>
        <w:tabs>
          <w:tab w:leader="none" w:pos="116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 * Unofficial English translation of original document prepared in Mandarin Chinese.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2022</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0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8"/>
          <w:szCs w:val="18"/>
          <w:b w:val="1"/>
          <w:bCs w:val="1"/>
          <w:color w:val="auto"/>
        </w:rPr>
        <w:t>Stock Code: 688082</w:t>
      </w:r>
      <w:r>
        <w:rPr>
          <w:sz w:val="20"/>
          <w:szCs w:val="20"/>
          <w:color w:val="auto"/>
        </w:rPr>
        <w:tab/>
      </w:r>
      <w:r>
        <w:rPr>
          <w:rFonts w:ascii="Times New Roman" w:cs="Times New Roman" w:eastAsia="Times New Roman" w:hAnsi="Times New Roman"/>
          <w:sz w:val="17"/>
          <w:szCs w:val="17"/>
          <w:b w:val="1"/>
          <w:bCs w:val="1"/>
          <w:color w:val="auto"/>
        </w:rPr>
        <w:t>Short Name: ACM Shanghai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(Shanghai),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 of Investor Relation Activities in April 2022</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investor</w:t>
            </w:r>
          </w:p>
        </w:tc>
        <w:tc>
          <w:tcPr>
            <w:tcW w:w="43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Survey by specific investors</w:t>
            </w:r>
          </w:p>
        </w:tc>
        <w:tc>
          <w:tcPr>
            <w:tcW w:w="5100" w:type="dxa"/>
            <w:vAlign w:val="bottom"/>
            <w:tcBorders>
              <w:top w:val="single" w:sz="8" w:color="auto"/>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 Analyst meeting</w:t>
            </w:r>
          </w:p>
        </w:tc>
      </w:tr>
      <w:tr>
        <w:trPr>
          <w:trHeight w:val="220"/>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 activities</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Media interview</w:t>
            </w:r>
          </w:p>
        </w:tc>
        <w:tc>
          <w:tcPr>
            <w:tcW w:w="510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 Results announcement</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Press conference</w:t>
            </w:r>
          </w:p>
        </w:tc>
        <w:tc>
          <w:tcPr>
            <w:tcW w:w="510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 Roadshow</w:t>
            </w:r>
          </w:p>
        </w:tc>
      </w:tr>
      <w:tr>
        <w:trPr>
          <w:trHeight w:val="194"/>
        </w:trPr>
        <w:tc>
          <w:tcPr>
            <w:tcW w:w="1760" w:type="dxa"/>
            <w:vAlign w:val="bottom"/>
            <w:tcBorders>
              <w:left w:val="single" w:sz="8" w:color="auto"/>
              <w:right w:val="single" w:sz="8" w:color="auto"/>
            </w:tcBorders>
          </w:tcPr>
          <w:p>
            <w:pPr>
              <w:spacing w:after="0"/>
              <w:rPr>
                <w:sz w:val="16"/>
                <w:szCs w:val="16"/>
                <w:color w:val="auto"/>
              </w:rPr>
            </w:pPr>
          </w:p>
        </w:tc>
        <w:tc>
          <w:tcPr>
            <w:tcW w:w="43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 On-site visit</w:t>
            </w:r>
          </w:p>
        </w:tc>
        <w:tc>
          <w:tcPr>
            <w:tcW w:w="5100" w:type="dxa"/>
            <w:vAlign w:val="bottom"/>
            <w:tcBorders>
              <w:right w:val="single" w:sz="8" w:color="auto"/>
            </w:tcBorders>
            <w:gridSpan w:val="3"/>
          </w:tcPr>
          <w:p>
            <w:pPr>
              <w:ind w:left="380"/>
              <w:spacing w:after="0" w:line="194" w:lineRule="exact"/>
              <w:rPr>
                <w:sz w:val="20"/>
                <w:szCs w:val="20"/>
                <w:color w:val="auto"/>
              </w:rPr>
            </w:pPr>
            <w:r>
              <w:rPr>
                <w:rFonts w:ascii="Times New Roman" w:cs="Times New Roman" w:eastAsia="Times New Roman" w:hAnsi="Times New Roman"/>
                <w:sz w:val="18"/>
                <w:szCs w:val="18"/>
                <w:color w:val="auto"/>
              </w:rPr>
              <w:t>√ Others (Investor briefing)</w:t>
            </w:r>
          </w:p>
        </w:tc>
      </w:tr>
      <w:tr>
        <w:trPr>
          <w:trHeight w:val="95"/>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0" w:type="dxa"/>
            <w:vAlign w:val="bottom"/>
            <w:tcBorders>
              <w:top w:val="single" w:sz="8" w:color="auto"/>
              <w:bottom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r>
      <w:tr>
        <w:trPr>
          <w:trHeight w:val="28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2022</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r>
      <w:tr>
        <w:trPr>
          <w:trHeight w:val="75"/>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780" w:type="dxa"/>
            <w:vAlign w:val="bottom"/>
            <w:tcBorders>
              <w:bottom w:val="single" w:sz="8" w:color="auto"/>
              <w:right w:val="single" w:sz="8" w:color="auto"/>
            </w:tcBorders>
          </w:tcPr>
          <w:p>
            <w:pPr>
              <w:spacing w:after="0"/>
              <w:rPr>
                <w:sz w:val="6"/>
                <w:szCs w:val="6"/>
                <w:color w:val="auto"/>
              </w:rPr>
            </w:pPr>
          </w:p>
        </w:tc>
      </w:tr>
      <w:tr>
        <w:trPr>
          <w:trHeight w:val="28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Venue</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Conference call</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r>
      <w:tr>
        <w:trPr>
          <w:trHeight w:val="74"/>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780" w:type="dxa"/>
            <w:vAlign w:val="bottom"/>
            <w:tcBorders>
              <w:bottom w:val="single" w:sz="8" w:color="auto"/>
              <w:right w:val="single" w:sz="8" w:color="auto"/>
            </w:tcBorders>
          </w:tcPr>
          <w:p>
            <w:pPr>
              <w:spacing w:after="0"/>
              <w:rPr>
                <w:sz w:val="6"/>
                <w:szCs w:val="6"/>
                <w:color w:val="auto"/>
              </w:rPr>
            </w:pPr>
          </w:p>
        </w:tc>
      </w:tr>
      <w:tr>
        <w:trPr>
          <w:trHeight w:val="261"/>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Participants of the</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Hui WANG</w:t>
            </w: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780" w:type="dxa"/>
            <w:vAlign w:val="bottom"/>
            <w:tcBorders>
              <w:right w:val="single" w:sz="8" w:color="auto"/>
            </w:tcBorders>
          </w:tcPr>
          <w:p>
            <w:pPr>
              <w:spacing w:after="0"/>
              <w:rPr>
                <w:sz w:val="22"/>
                <w:szCs w:val="22"/>
                <w:color w:val="auto"/>
              </w:rPr>
            </w:pPr>
          </w:p>
        </w:tc>
      </w:tr>
      <w:tr>
        <w:trPr>
          <w:trHeight w:val="220"/>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listed company</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Manager: Jian WANG</w:t>
            </w: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Director: Lan WANG</w:t>
            </w: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r>
      <w:tr>
        <w:trPr>
          <w:trHeight w:val="74"/>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550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780" w:type="dxa"/>
            <w:vAlign w:val="bottom"/>
            <w:tcBorders>
              <w:bottom w:val="single" w:sz="8" w:color="auto"/>
              <w:right w:val="single" w:sz="8" w:color="auto"/>
            </w:tcBorders>
          </w:tcPr>
          <w:p>
            <w:pPr>
              <w:spacing w:after="0"/>
              <w:rPr>
                <w:sz w:val="6"/>
                <w:szCs w:val="6"/>
                <w:color w:val="auto"/>
              </w:rPr>
            </w:pPr>
          </w:p>
        </w:tc>
      </w:tr>
      <w:tr>
        <w:trPr>
          <w:trHeight w:val="261"/>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Summary of</w:t>
            </w:r>
          </w:p>
        </w:tc>
        <w:tc>
          <w:tcPr>
            <w:tcW w:w="9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Leaders of the Company briefly described the performance of the Company for the first quarter of</w:t>
            </w:r>
          </w:p>
        </w:tc>
      </w:tr>
      <w:tr>
        <w:trPr>
          <w:trHeight w:val="216"/>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investor relation</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2022, and answered questions of concern by investors.</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16"/>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1. Mr. President, comparing with the increases and changes in the revenues of domestic peer companies in the</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industry for the same period, specifically considering the actual delivery, inspection, and acceptance of tools of the</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Company, what are the differences in the internal and external environments between the first quarter of the last year</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and the first quarter of this year, and what are the reasons for the more inspection and acceptance achieved in the first</w:t>
            </w:r>
          </w:p>
        </w:tc>
      </w:tr>
      <w:tr>
        <w:trPr>
          <w:trHeight w:val="220"/>
        </w:trPr>
        <w:tc>
          <w:tcPr>
            <w:tcW w:w="1760" w:type="dxa"/>
            <w:vAlign w:val="bottom"/>
            <w:tcBorders>
              <w:left w:val="single" w:sz="8" w:color="auto"/>
              <w:right w:val="single" w:sz="8" w:color="auto"/>
            </w:tcBorders>
          </w:tcPr>
          <w:p>
            <w:pPr>
              <w:spacing w:after="0"/>
              <w:rPr>
                <w:sz w:val="19"/>
                <w:szCs w:val="19"/>
                <w:color w:val="auto"/>
              </w:rPr>
            </w:pPr>
          </w:p>
        </w:tc>
        <w:tc>
          <w:tcPr>
            <w:tcW w:w="9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quarter of the last year and the slow inspection and acceptance in the first quarter of this year?</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A: In the first quarter, the inspection and acceptance plan for devices we delivered to the customer end was affected by the</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9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delay in the construction new production lines at some customers and the impact of the COVID-19 lockdowns.</w:t>
            </w:r>
          </w:p>
        </w:tc>
      </w:tr>
      <w:tr>
        <w:trPr>
          <w:trHeight w:val="74"/>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780" w:type="dxa"/>
            <w:vAlign w:val="bottom"/>
            <w:tcBorders>
              <w:bottom w:val="single" w:sz="8" w:color="auto"/>
              <w:right w:val="single" w:sz="8" w:color="auto"/>
            </w:tcBorders>
          </w:tcPr>
          <w:p>
            <w:pPr>
              <w:spacing w:after="0"/>
              <w:rPr>
                <w:sz w:val="6"/>
                <w:szCs w:val="6"/>
                <w:color w:val="auto"/>
              </w:rPr>
            </w:pPr>
          </w:p>
        </w:tc>
      </w:tr>
      <w:tr>
        <w:trPr>
          <w:trHeight w:val="425"/>
        </w:trPr>
        <w:tc>
          <w:tcPr>
            <w:tcW w:w="17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4" w:name="page5"/>
    <w:bookmarkEnd w:id="4"/>
    <w:p>
      <w:pPr>
        <w:jc w:val="both"/>
        <w:ind w:left="660" w:firstLine="358"/>
        <w:spacing w:after="0" w:line="256" w:lineRule="auto"/>
        <w:tabs>
          <w:tab w:leader="none" w:pos="120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3128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128645"/>
                    </a:xfrm>
                    <a:prstGeom prst="rect">
                      <a:avLst/>
                    </a:prstGeom>
                    <a:noFill/>
                  </pic:spPr>
                </pic:pic>
              </a:graphicData>
            </a:graphic>
          </wp:anchor>
        </w:drawing>
        <w:t>Given the unexpected long period of impacts of the pandemic in Shanghai from the middle or end of March to the present, what response measures have been implemented in the previous month, what is the recovery situation at present, what are the impacts on delivery, and is it practical to achieve the revenue objective for this year through the implementation of subsequent measures?</w:t>
      </w:r>
    </w:p>
    <w:p>
      <w:pPr>
        <w:spacing w:after="0" w:line="3" w:lineRule="exact"/>
        <w:rPr>
          <w:rFonts w:ascii="Times New Roman" w:cs="Times New Roman" w:eastAsia="Times New Roman" w:hAnsi="Times New Roman"/>
          <w:sz w:val="18"/>
          <w:szCs w:val="18"/>
          <w:b w:val="1"/>
          <w:bCs w:val="1"/>
          <w:color w:val="auto"/>
        </w:rPr>
      </w:pPr>
    </w:p>
    <w:p>
      <w:pPr>
        <w:jc w:val="both"/>
        <w:ind w:left="660" w:firstLine="3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lockdown administration in response to the epidemic affected our shipments at the end of the quarter. Prior to the lockdown in March 27, we had organized over 100 employees in the Chuansha factory for closed-loop production. Under the government’s measures to resume work and production, the Company was included on the first white list for resumption of work about two weeks ago. We are now in close-loop production by shuttle only between the factory and living place and have started goods reception and shipment. Under the guidelines of the anti-pandemic office, we are increasing the number of employees to gradually resume production in strict compliance with resumption rules.</w:t>
      </w:r>
    </w:p>
    <w:p>
      <w:pPr>
        <w:spacing w:after="0" w:line="185" w:lineRule="exact"/>
        <w:rPr>
          <w:rFonts w:ascii="Times New Roman" w:cs="Times New Roman" w:eastAsia="Times New Roman" w:hAnsi="Times New Roman"/>
          <w:sz w:val="18"/>
          <w:szCs w:val="18"/>
          <w:b w:val="1"/>
          <w:bCs w:val="1"/>
          <w:color w:val="auto"/>
        </w:rPr>
      </w:pPr>
    </w:p>
    <w:p>
      <w:pPr>
        <w:jc w:val="both"/>
        <w:ind w:left="660" w:firstLine="358"/>
        <w:spacing w:after="0" w:line="255" w:lineRule="auto"/>
        <w:tabs>
          <w:tab w:leader="none" w:pos="120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Mr. President, could you please describe the orders for this year? It’s expected that the current strong momentum of production expansion by domestic customers may be extended to 2023. In February, the Company announced several purchase orders, including a bulk purchase order for 29 sets of Ultra C wb bench wet cleaning equipment, 13 sets of Ultra ECP map front-end copper interconnection electroplating equipment, and 8 sets of Ultra ECP ap back-end advanced packaging electroplating equipment. Will the delivery of such new product orders be affected by the pandemic?</w:t>
      </w:r>
    </w:p>
    <w:p>
      <w:pPr>
        <w:spacing w:after="0" w:line="2" w:lineRule="exact"/>
        <w:rPr>
          <w:rFonts w:ascii="Times New Roman" w:cs="Times New Roman" w:eastAsia="Times New Roman" w:hAnsi="Times New Roman"/>
          <w:sz w:val="18"/>
          <w:szCs w:val="18"/>
          <w:b w:val="1"/>
          <w:bCs w:val="1"/>
          <w:color w:val="auto"/>
        </w:rPr>
      </w:pPr>
    </w:p>
    <w:p>
      <w:pPr>
        <w:jc w:val="both"/>
        <w:ind w:left="660" w:firstLine="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Order delivery was affected to a certain extent due to the lockdown in the first quarter. It’s expected that the delivery will be gradually restored after the middle of May. With respect to the general conditions of the Company’s orders, the global semiconductor shortage and continuous investment by customers promotes the development of the semiconductor equipment industry and strong demands for the semiconductor equipment of ACMSH. At this time, we are fully ordered for the Q2 and Q3, and we are in the process of acquiring orders for the Q4 and the Q1 in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327660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779" w:right="439" w:bottom="1440" w:gutter="0" w:footer="0" w:header="0"/>
        </w:sectPr>
      </w:pPr>
    </w:p>
    <w:bookmarkStart w:id="5" w:name="page6"/>
    <w:bookmarkEnd w:id="5"/>
    <w:p>
      <w:pPr>
        <w:ind w:left="660" w:firstLine="358"/>
        <w:spacing w:after="0" w:line="263" w:lineRule="auto"/>
        <w:tabs>
          <w:tab w:leader="none" w:pos="120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619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19885"/>
                    </a:xfrm>
                    <a:prstGeom prst="rect">
                      <a:avLst/>
                    </a:prstGeom>
                    <a:noFill/>
                  </pic:spPr>
                </pic:pic>
              </a:graphicData>
            </a:graphic>
          </wp:anchor>
        </w:drawing>
        <w:t>Could you please describe the advances from customers at present? Does the Company request advance payments from new customers at a certain ratio? What about the ratio?</w:t>
      </w: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Company requests advance payments from new customers at the average ratio of about 30%.</w:t>
      </w:r>
    </w:p>
    <w:p>
      <w:pPr>
        <w:spacing w:after="0" w:line="202" w:lineRule="exact"/>
        <w:rPr>
          <w:rFonts w:ascii="Times New Roman" w:cs="Times New Roman" w:eastAsia="Times New Roman" w:hAnsi="Times New Roman"/>
          <w:sz w:val="18"/>
          <w:szCs w:val="18"/>
          <w:b w:val="1"/>
          <w:bCs w:val="1"/>
          <w:color w:val="auto"/>
        </w:rPr>
      </w:pPr>
    </w:p>
    <w:p>
      <w:pPr>
        <w:ind w:left="660" w:firstLine="358"/>
        <w:spacing w:after="0" w:line="263" w:lineRule="auto"/>
        <w:tabs>
          <w:tab w:leader="none" w:pos="124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you think about the impacts of the price increase in upstream raw materials and cost increase in transportation costs on the gross margin in the following quarters?</w:t>
      </w:r>
    </w:p>
    <w:p>
      <w:pPr>
        <w:jc w:val="both"/>
        <w:ind w:left="660" w:firstLine="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With respect to parts, despite the fact that some of our suppliers have increased prices, most suppliers did not because they want to maintain a good long-term relationship. Therefore, we did not experience a significant impact from supplier pricing on the gross margin. The Company maintains its gross margin target of 40-45% with variance depending on the product portfolio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779" w:right="439" w:bottom="1440" w:gutter="0" w:footer="0" w:header="0"/>
        </w:sectPr>
      </w:pPr>
    </w:p>
    <w:bookmarkStart w:id="6" w:name="page7"/>
    <w:bookmarkEnd w:id="6"/>
    <w:p>
      <w:pPr>
        <w:jc w:val="both"/>
        <w:ind w:left="660" w:firstLine="358"/>
        <w:spacing w:after="0" w:line="259" w:lineRule="auto"/>
        <w:tabs>
          <w:tab w:leader="none" w:pos="120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265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265805"/>
                    </a:xfrm>
                    <a:prstGeom prst="rect">
                      <a:avLst/>
                    </a:prstGeom>
                    <a:noFill/>
                  </pic:spPr>
                </pic:pic>
              </a:graphicData>
            </a:graphic>
          </wp:anchor>
        </w:drawing>
        <w:t>Has the lockdown in Shanghai affected the procurement of parts and chemical agents from overseas and shipment to overseas customers? Does it affect the R&amp;D staff for the efficiency of assisting in device commissioning? Will the pandemic affect the pace of launching new products in the future?</w:t>
      </w:r>
    </w:p>
    <w:p>
      <w:pPr>
        <w:jc w:val="both"/>
        <w:ind w:left="660" w:firstLine="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Both the procurement of parts from overseas and shipment to overseas markets have been affected by the lockdown, mainly because of customs matters for import and export and transportation have been affected by the pandemic. Given the ongoing efforts for resumption of production, it’s expected that the impact in the future will decrease gradually. We believe it is less likely to affect the efficiency of the R&amp;D staff for assisting in device commissioning, or affect the pace of launching new products in the future.</w:t>
      </w:r>
    </w:p>
    <w:p>
      <w:pPr>
        <w:spacing w:after="0" w:line="182" w:lineRule="exact"/>
        <w:rPr>
          <w:rFonts w:ascii="Times New Roman" w:cs="Times New Roman" w:eastAsia="Times New Roman" w:hAnsi="Times New Roman"/>
          <w:sz w:val="18"/>
          <w:szCs w:val="18"/>
          <w:b w:val="1"/>
          <w:bCs w:val="1"/>
          <w:color w:val="auto"/>
        </w:rPr>
      </w:pPr>
    </w:p>
    <w:p>
      <w:pPr>
        <w:ind w:left="660" w:firstLine="358"/>
        <w:spacing w:after="0" w:line="263" w:lineRule="auto"/>
        <w:tabs>
          <w:tab w:leader="none" w:pos="122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revenue in ACM Shanghai’s China GAAP results that were recognized in the first quarter, when were the orders received? According to such a pace, when will the revenue recognized in this year increase in amount?</w:t>
      </w:r>
    </w:p>
    <w:p>
      <w:pPr>
        <w:jc w:val="both"/>
        <w:ind w:left="660" w:firstLine="3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ACM Shanghai’s GAAP revenue for the first quarter was based primarily on orders received after September last year. About 27% of the sales recognized in the first quarter of this year were shipped in the first quarter, with the remainder from shipments in prior periods; We expect ACM Shanghai’s China GAAP revenue will increase in Q2.</w:t>
      </w:r>
    </w:p>
    <w:p>
      <w:pPr>
        <w:spacing w:after="0" w:line="181" w:lineRule="exact"/>
        <w:rPr>
          <w:rFonts w:ascii="Times New Roman" w:cs="Times New Roman" w:eastAsia="Times New Roman" w:hAnsi="Times New Roman"/>
          <w:sz w:val="18"/>
          <w:szCs w:val="18"/>
          <w:b w:val="1"/>
          <w:bCs w:val="1"/>
          <w:color w:val="auto"/>
        </w:rPr>
      </w:pPr>
    </w:p>
    <w:p>
      <w:pPr>
        <w:ind w:left="660" w:firstLine="358"/>
        <w:spacing w:after="0" w:line="263" w:lineRule="auto"/>
        <w:tabs>
          <w:tab w:leader="none" w:pos="120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There is a news report in South Korea that ACMR will establish a factory in South Korea in the name of ACM US. Could you confirm this? What is the relationship between such a factory and ACMSH?</w:t>
      </w:r>
    </w:p>
    <w:p>
      <w:pPr>
        <w:jc w:val="both"/>
        <w:ind w:left="660" w:firstLine="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semiconductor equipment industry is a global industry, and we intend to sell the differentiated products developed by ACMSH to global customers. ACMR, as the controlling shareholder of ACMSH, has always committed to helping ACMSH release differentiated products for the international market. ACMR is looking for land to establish a branch in South Korea, so as to assist ACMSH in establishing an R&amp;D and production base in South Korea. As the controlling shareholder, ACMR will make all efforts to maximize the interests of all shareholders of ACMSH.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327660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779" w:right="439" w:bottom="1440" w:gutter="0" w:footer="0" w:header="0"/>
        </w:sectPr>
      </w:pPr>
    </w:p>
    <w:bookmarkStart w:id="7" w:name="page8"/>
    <w:bookmarkEnd w:id="7"/>
    <w:p>
      <w:pPr>
        <w:ind w:left="660" w:firstLine="358"/>
        <w:spacing w:after="0" w:line="263" w:lineRule="auto"/>
        <w:tabs>
          <w:tab w:leader="none" w:pos="1207"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894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94205"/>
                    </a:xfrm>
                    <a:prstGeom prst="rect">
                      <a:avLst/>
                    </a:prstGeom>
                    <a:noFill/>
                  </pic:spPr>
                </pic:pic>
              </a:graphicData>
            </a:graphic>
          </wp:anchor>
        </w:drawing>
        <w:t>What are the reasons for the increase in the gross margin of the Company, and what is the sustainability of such a gross margin in the future?</w:t>
      </w:r>
    </w:p>
    <w:p>
      <w:pPr>
        <w:ind w:left="660" w:firstLine="356"/>
        <w:spacing w:after="0" w:line="260" w:lineRule="auto"/>
        <w:tabs>
          <w:tab w:leader="none" w:pos="1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reported gross margin of 47% in the first quarter, which is above the upper limit of 45%. The increase comes from the product portfolio. In the future, the gross margin of the Company is expected to remain between 40-45%.</w:t>
      </w:r>
    </w:p>
    <w:p>
      <w:pPr>
        <w:spacing w:after="0" w:line="177" w:lineRule="exact"/>
        <w:rPr>
          <w:rFonts w:ascii="Times New Roman" w:cs="Times New Roman" w:eastAsia="Times New Roman" w:hAnsi="Times New Roman"/>
          <w:sz w:val="18"/>
          <w:szCs w:val="18"/>
          <w:color w:val="auto"/>
        </w:rPr>
      </w:pPr>
    </w:p>
    <w:p>
      <w:pPr>
        <w:jc w:val="both"/>
        <w:ind w:left="660" w:firstLine="358"/>
        <w:spacing w:after="0" w:line="259" w:lineRule="auto"/>
        <w:tabs>
          <w:tab w:leader="none" w:pos="1293"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March and April, many semiconductor packaging and testing factories in Jiangsu were also greatly affected by the pandemic. What are the impacts of such a situation on the inspection and acceptance of the Company’s packaging and testing equipment? What are the impacts on the Company’s overall shipment of packaging and testing equipment?</w:t>
      </w:r>
    </w:p>
    <w:p>
      <w:pPr>
        <w:jc w:val="both"/>
        <w:ind w:left="660" w:firstLine="356"/>
        <w:spacing w:after="0" w:line="253" w:lineRule="auto"/>
        <w:tabs>
          <w:tab w:leader="none" w:pos="1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although the growth in the Company’s packaging and testing equipment in the last year may not be retained in this year, we still expect fairly good growth from these products and customers. At present, we are not sure about the situation in the second half of the year. However, given the construction of 12-inch production lines in China, we expect market demands for advanced packaging and testing equipment to increase in the longer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779"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Enclosure: List of participants: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Anjie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Essence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Baoying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Chengtianjiu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SunCapital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Shennong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Yutian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Longrising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Beixin Ruifeng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Court Capital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Bosera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Firstred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Purekind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Dacheng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Dajia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Eastmoney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Soochow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FountainCap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Prudence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Fubon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Fullgoal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Perseverance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Securities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Guangzhou Yunxi Private Placement Securities Fund Management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Sealand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Sinolink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CPIC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Guolian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Guosheng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Life Pension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Jun’an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SDIC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Guosen Securities (HK) (Proprietary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Guoyuan Securities (Proprietary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Costline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HFT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Kaiyuan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Hexie Health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Hongde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Reignwood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Huarong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Huarong Securities Co., Ltd. (Proprietary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Financial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Huaxi Securities (Proprietary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Fortune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High-Flyer Quant Investment Management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Jintrust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Qianhai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Huisheng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Chaos Ternary Capital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Jiaxing Qianji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Financial Asset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Pension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High Hope Wisdom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BOCOM International (Shanghai) Equity Investment Management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Eagle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Comein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Greenwoods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Invesco Great Wall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Capvision Partners (Shanghai) Corporation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Blueshirt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Polo Pure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Royal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Minghe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Nanhua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ABC-CA Fund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Lion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Panjing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AXA SPDB Investment Managers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TDSH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PICC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 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 Jun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Cephei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DS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Golden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Chensheng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Dingsa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Fuying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International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Guosheng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Huichen Private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Longlife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Jiuyou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Lingze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S-land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Pudong Development Bank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Qinyuan Private Fund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Shangjin Investment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Zige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BOSC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SWS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Shenwan Hongyuan Securities Fenxi Road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Shenwan Hongyuan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SWS MU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Duoxin Investment (Wudi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Intewise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Gohedge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Shenzhen Qianhai Julong Investment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DGS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High-tech Investment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Leadinghorse Cpital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Tangrong Capital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Zhaotu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Zhengyuan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 Zhi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 Life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Tenbagger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Securities Corporation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Tuopu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Taikang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TianAn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Tiancong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Tianfeng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Tianhong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Wellington Investment Management International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Securities Equity Investment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Eastmoney Fund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Martin Yisheng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China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Bank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Industrial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 Wealth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Asia-Pacific Property &amp; Casualty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Asia-Pacific P&amp;C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Sunshine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Yimi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Yinhua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Yingda International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Maxwealth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Cowin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Yuanxin (Zhuhai)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Yunshan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Wall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Foresight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Changjiang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Changsheng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Changxin Asset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Merchants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Merchants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Xinganxian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Zheshang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Zheshang Bank (Proprietary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 Valley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Zhongcheng Xinyang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SPIC Xianrong (Shanghai)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Life Insurance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AVIC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Beijing Scotiabank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CICC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Lombarda China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Citic-Prudential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 International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China Securities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Pleiad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Polymer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Schroders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3" w:name="page14"/>
    <w:bookmarkEnd w:id="13"/>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50"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April 2022 Investor Relation Activity of ACM Research (Shanghai), Inc. (the “Record”) pursuant to the Current Report on Form 8-K reporting requirements of ACM Research,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ULTRA C is a trademark of ACM Research, Inc. For convenience, this trademark appears in the Record without the ™ symbol, but that practice does not mean that ACM Research, Inc. will not assert, to the fullest extent under applicable law, its rights to the trademark.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ACMSH due to its substantial non-U.S. customer and supplier base and its substantial non-U.S. manufacturing operations.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104"/>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upperLetter"/>
      <w:start w:val="1"/>
    </w:lvl>
    <w:lvl w:ilvl="1">
      <w:lvlJc w:val="left"/>
      <w:lvlText w:val="%2."/>
      <w:numFmt w:val="decimal"/>
      <w:start w:val="9"/>
    </w:lvl>
  </w:abstractNum>
  <w:abstractNum w:abstractNumId="6">
    <w:nsid w:val="79E2A9E3"/>
    <w:multiLevelType w:val="hybridMultilevel"/>
    <w:lvl w:ilvl="0">
      <w:lvlJc w:val="left"/>
      <w:lvlText w:val="%1:"/>
      <w:numFmt w:val="upperLetter"/>
      <w:start w:val="1"/>
    </w:lvl>
    <w:lvl w:ilvl="1">
      <w:lvlJc w:val="left"/>
      <w:lvlText w:val="%2."/>
      <w:numFmt w:val="decimal"/>
      <w:start w:val="10"/>
    </w:lvl>
  </w:abstractNum>
  <w:abstractNum w:abstractNumId="7">
    <w:nsid w:val="7545E146"/>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2022-05-20T15:38:15Z</dcterms:created>
  <dcterms:modified xsi:type="dcterms:W3CDTF">2022-05-20T15:38:15Z</dcterms:modified>
</cp:coreProperties>
</file>