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26,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20" w:space="720"/>
            <w:col w:w="308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ACMR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26, 2024, we issued a press release entitled “ACM Research Announces Preliminary Unaudited Revenue and Shipments for the First Quarter 2024.” The full text of the press release is furnished as Exhibit 99.1 hereto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28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Press Release of ACM Research, Inc. dated April 26, 2024</w:t>
      </w:r>
    </w:p>
    <w:p>
      <w:pPr>
        <w:spacing w:after="0" w:line="225" w:lineRule="exact"/>
        <w:rPr>
          <w:sz w:val="20"/>
          <w:szCs w:val="20"/>
          <w:color w:val="auto"/>
        </w:rPr>
      </w:pPr>
    </w:p>
    <w:p>
      <w:pPr>
        <w:ind w:left="30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26, 2024</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156845</wp:posOffset>
            </wp:positionV>
            <wp:extent cx="865505" cy="539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550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ACM Research Announces Preliminary Unaudited Revenue and Shipments for the First Quarter 2024 </w:t>
      </w:r>
      <w:r>
        <w:rPr>
          <w:rFonts w:ascii="Times New Roman" w:cs="Times New Roman" w:eastAsia="Times New Roman" w:hAnsi="Times New Roman"/>
          <w:sz w:val="18"/>
          <w:szCs w:val="18"/>
          <w:i w:val="1"/>
          <w:iCs w:val="1"/>
          <w:color w:val="auto"/>
        </w:rPr>
        <w:t>Coincides with Release of ACM Shanghai First Quarter 2024 Results ACM Reaffirms 2024 Revenue Outlook</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FREMONT, Calif., April. 26, 2024 (GLOBE NEWSWIRE) – ACM Research, Inc. (“ACM”) (NASDAQ: ACMR), a leading supplier of wafer processing solutions for semiconductor and advanced wafer-level packaging applications, today announces expectations for preliminary unaudited revenue and total shipments for the first quarter of 2024. Today’s release coincides with the as-scheduled release of unaudited financial results by ACM Research (Shanghai), Inc., ACM’s principal operating subsidiary (“ACM Shanghai”), to the Shanghai Stock Exchange website [</w:t>
      </w:r>
      <w:r>
        <w:rPr>
          <w:rFonts w:ascii="Times New Roman" w:cs="Times New Roman" w:eastAsia="Times New Roman" w:hAnsi="Times New Roman"/>
          <w:sz w:val="18"/>
          <w:szCs w:val="18"/>
          <w:u w:val="single" w:color="auto"/>
          <w:color w:val="auto"/>
        </w:rPr>
        <w:t>link to China Disclosure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ACM will discuss its full financial results for the first quarter 2024 and its revenue outlook for the remainder of the year on its earnings call on Wednesday, May 8, 2024, at 8 a.m. Eastern Time (8 p.m. China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ACM announces the following:</w:t>
      </w:r>
    </w:p>
    <w:p>
      <w:pPr>
        <w:spacing w:after="0" w:line="27" w:lineRule="exact"/>
        <w:rPr>
          <w:sz w:val="20"/>
          <w:szCs w:val="20"/>
          <w:color w:val="auto"/>
        </w:rPr>
      </w:pPr>
    </w:p>
    <w:p>
      <w:pPr>
        <w:ind w:left="340" w:right="8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unaudited revenue for the first quarter of 2024 is expected to be in the range of $150 million to $152 million, which would represent year-to-year growth of 102% to 105%.</w:t>
      </w:r>
    </w:p>
    <w:p>
      <w:pPr>
        <w:ind w:left="340" w:right="32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total shipments are expected to be in the range of $235 million to $240 million, which would represent year-to-year growth of 163% to 169%.</w:t>
      </w: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re-affirms full year 2024 revenue outlook in the range of $650 million to $725 million, which would represent year-to-year growth of 17% to 30%.</w:t>
      </w:r>
    </w:p>
    <w:p>
      <w:pPr>
        <w:spacing w:after="0" w:line="2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Actual unaudited first quarter 2024 results are subject to the completion of ACM’s quarter end closing procedures and review by ACM’s independent registered public accounting firm.</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ACM currently owns an 82.1% equity interest in ACM Shanghai, and a substantial majority of ACM’s consolidated revenue and net income is contributed by ACM Shanghai. The stand-alone financial results of ACM Shanghai are reported in RMB as prepared in accordance with Chinese generally accepted accounting principles, and those results will differ, potentially materially, from ACM’s consolidated revenue and net profit for the period, which will reflect additional financial and operational items and will be prepared in U.S. dollars in accordance with U.S. generally accepted accounting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ACM Research, Inc.</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ACM develops, manufactures and sells semiconductor process equipment for single-wafer or batch wet cleaning, electroplating, stress-free polishing and thermal processes that are critical to advanced semiconductor device manufacturing, as well as wafer-level packaging. ACM is committed to delivering customized, high performance, cost-effective process solutions that semiconductor manufacturers can use in numerous manufacturing steps to improve productivity and product yield. For more information, visit </w:t>
      </w:r>
      <w:r>
        <w:rPr>
          <w:rFonts w:ascii="Times New Roman" w:cs="Times New Roman" w:eastAsia="Times New Roman" w:hAnsi="Times New Roman"/>
          <w:sz w:val="18"/>
          <w:szCs w:val="18"/>
          <w:u w:val="single" w:color="auto"/>
          <w:color w:val="auto"/>
        </w:rPr>
        <w:t>www.acmrcsh.com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94" w:lineRule="exact"/>
        <w:rPr>
          <w:sz w:val="20"/>
          <w:szCs w:val="20"/>
          <w:color w:val="auto"/>
        </w:rPr>
      </w:pPr>
    </w:p>
    <w:p>
      <w:pPr>
        <w:jc w:val="both"/>
        <w:ind w:right="500" w:firstLine="8"/>
        <w:spacing w:after="0" w:line="312" w:lineRule="auto"/>
        <w:tabs>
          <w:tab w:leader="none" w:pos="18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ACM Research, Inc. The ACM Research logo is a trademark of ACM Research, Inc. For convenience, this trademark appears in this press release without a ™ symbol, but that practice does not mean that ACM will not assert, to the fullest extent under applicable law, its rights to such trademark.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18"/>
        </w:trPr>
        <w:tc>
          <w:tcPr>
            <w:tcW w:w="4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Steven C. Pelayo, CFA</w:t>
            </w:r>
          </w:p>
        </w:tc>
      </w:tr>
      <w:tr>
        <w:trPr>
          <w:trHeight w:val="214"/>
        </w:trPr>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 (360) 808-5154</w:t>
            </w:r>
          </w:p>
        </w:tc>
      </w:tr>
      <w:tr>
        <w:trPr>
          <w:trHeight w:val="236"/>
        </w:trPr>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steven@blueshirtgroup.co</w:t>
            </w:r>
          </w:p>
        </w:tc>
      </w:tr>
      <w:tr>
        <w:trPr>
          <w:trHeight w:val="391"/>
        </w:trPr>
        <w:tc>
          <w:tcPr>
            <w:tcW w:w="460" w:type="dxa"/>
            <w:vAlign w:val="bottom"/>
          </w:tcPr>
          <w:p>
            <w:pPr>
              <w:spacing w:after="0"/>
              <w:rPr>
                <w:sz w:val="24"/>
                <w:szCs w:val="24"/>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China:</w:t>
            </w:r>
          </w:p>
        </w:tc>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Blueshirt Group Asia</w:t>
            </w:r>
          </w:p>
        </w:tc>
      </w:tr>
      <w:tr>
        <w:trPr>
          <w:trHeight w:val="218"/>
        </w:trPr>
        <w:tc>
          <w:tcPr>
            <w:tcW w:w="4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14"/>
        </w:trPr>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+86 (138) 1079-1480</w:t>
            </w:r>
          </w:p>
        </w:tc>
      </w:tr>
      <w:tr>
        <w:trPr>
          <w:trHeight w:val="236"/>
        </w:trPr>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gary@blueshirtgroup.co</w:t>
            </w:r>
          </w:p>
        </w:tc>
      </w:tr>
      <w:tr>
        <w:trPr>
          <w:trHeight w:val="533"/>
        </w:trPr>
        <w:tc>
          <w:tcPr>
            <w:tcW w:w="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2024-04-26T08:00:21Z</dcterms:created>
  <dcterms:modified xsi:type="dcterms:W3CDTF">2024-04-26T08:00:21Z</dcterms:modified>
</cp:coreProperties>
</file>