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00" w:space="720"/>
            <w:col w:w="2880" w:space="720"/>
            <w:col w:w="252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or ACM Shanghai, are listed on the Sci-Tech innovation board, or the STAR Market, of the Shanghai Stock Exchange, or the SSE. In accordance with the SSE’s rules governing the STAR Market, ACM Shanghai filed with the SSE a Record of November 2022 Investor Relations Activity, or the Record. The SSE posted the Record to the SSE’s website on December 5, 2022. A copy of the Record is included as exhibit 99.01 to this report.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080" w:right="20" w:hanging="888"/>
        <w:spacing w:after="0" w:line="28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8"/>
          <w:szCs w:val="18"/>
          <w:color w:val="auto"/>
        </w:rPr>
        <w:t>Record of November 2022 Investor Relations Activity filed by ACM Research (Shanghai), Inc. with the Shanghai Stock Exchange on December 5, 2022</w:t>
      </w:r>
    </w:p>
    <w:p>
      <w:pPr>
        <w:spacing w:after="0" w:line="162" w:lineRule="exact"/>
        <w:rPr>
          <w:sz w:val="20"/>
          <w:szCs w:val="20"/>
          <w:color w:val="auto"/>
        </w:rPr>
      </w:pPr>
    </w:p>
    <w:p>
      <w:pPr>
        <w:ind w:right="4860" w:firstLine="298"/>
        <w:spacing w:after="0" w:line="578" w:lineRule="auto"/>
        <w:tabs>
          <w:tab w:leader="none" w:pos="1066"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XBRL document) * Unofficial English translation of original document prepared in Mandarin Chinese.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9, 2022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19685</wp:posOffset>
            </wp:positionV>
            <wp:extent cx="42862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900" w:type="dxa"/>
            <w:vAlign w:val="bottom"/>
          </w:tcPr>
          <w:p>
            <w:pPr>
              <w:spacing w:after="0"/>
              <w:rPr>
                <w:sz w:val="20"/>
                <w:szCs w:val="20"/>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Short Name: ACMSH</w:t>
            </w: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6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rPr>
              <w:t>ACM Research (Shanghai), Inc.</w:t>
            </w: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6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Records of Investor Relation Activities in November 2022</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Categories of investor</w:t>
            </w:r>
          </w:p>
        </w:tc>
        <w:tc>
          <w:tcPr>
            <w:tcW w:w="400" w:type="dxa"/>
            <w:vAlign w:val="bottom"/>
            <w:tcBorders>
              <w:right w:val="single" w:sz="8" w:color="auto"/>
            </w:tcBorders>
          </w:tcPr>
          <w:p>
            <w:pPr>
              <w:spacing w:after="0"/>
              <w:rPr>
                <w:sz w:val="14"/>
                <w:szCs w:val="14"/>
                <w:color w:val="auto"/>
              </w:rPr>
            </w:pPr>
          </w:p>
        </w:tc>
        <w:tc>
          <w:tcPr>
            <w:tcW w:w="4360" w:type="dxa"/>
            <w:vAlign w:val="bottom"/>
          </w:tcPr>
          <w:p>
            <w:pPr>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Specific object survey</w:t>
            </w:r>
          </w:p>
        </w:tc>
        <w:tc>
          <w:tcPr>
            <w:tcW w:w="4600" w:type="dxa"/>
            <w:vAlign w:val="bottom"/>
            <w:tcBorders>
              <w:right w:val="single" w:sz="8" w:color="auto"/>
            </w:tcBorders>
            <w:gridSpan w:val="3"/>
          </w:tcPr>
          <w:p>
            <w:pPr>
              <w:ind w:left="100"/>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Performance briefing</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400" w:type="dxa"/>
            <w:vAlign w:val="bottom"/>
            <w:tcBorders>
              <w:right w:val="single" w:sz="8" w:color="auto"/>
            </w:tcBorders>
          </w:tcPr>
          <w:p>
            <w:pPr>
              <w:spacing w:after="0"/>
              <w:rPr>
                <w:sz w:val="18"/>
                <w:szCs w:val="18"/>
                <w:color w:val="auto"/>
              </w:rPr>
            </w:pPr>
          </w:p>
        </w:tc>
        <w:tc>
          <w:tcPr>
            <w:tcW w:w="4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Media interview</w:t>
            </w:r>
          </w:p>
        </w:tc>
        <w:tc>
          <w:tcPr>
            <w:tcW w:w="460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Analyst meeting</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Press conference</w:t>
            </w:r>
          </w:p>
        </w:tc>
        <w:tc>
          <w:tcPr>
            <w:tcW w:w="460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Roadshow</w:t>
            </w:r>
          </w:p>
        </w:tc>
        <w:tc>
          <w:tcPr>
            <w:tcW w:w="0" w:type="dxa"/>
            <w:vAlign w:val="bottom"/>
          </w:tcPr>
          <w:p>
            <w:pPr>
              <w:spacing w:after="0"/>
              <w:rPr>
                <w:sz w:val="1"/>
                <w:szCs w:val="1"/>
                <w:color w:val="auto"/>
              </w:rPr>
            </w:pPr>
          </w:p>
        </w:tc>
      </w:tr>
      <w:tr>
        <w:trPr>
          <w:trHeight w:val="222"/>
        </w:trPr>
        <w:tc>
          <w:tcPr>
            <w:tcW w:w="1880" w:type="dxa"/>
            <w:vAlign w:val="bottom"/>
            <w:tcBorders>
              <w:left w:val="single" w:sz="8" w:color="auto"/>
            </w:tcBorders>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4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Site visit</w:t>
            </w:r>
          </w:p>
        </w:tc>
        <w:tc>
          <w:tcPr>
            <w:tcW w:w="460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Others (investor presentation)</w:t>
            </w:r>
          </w:p>
        </w:tc>
        <w:tc>
          <w:tcPr>
            <w:tcW w:w="0" w:type="dxa"/>
            <w:vAlign w:val="bottom"/>
          </w:tcPr>
          <w:p>
            <w:pPr>
              <w:spacing w:after="0"/>
              <w:rPr>
                <w:sz w:val="1"/>
                <w:szCs w:val="1"/>
                <w:color w:val="auto"/>
              </w:rPr>
            </w:pPr>
          </w:p>
        </w:tc>
      </w:tr>
      <w:tr>
        <w:trPr>
          <w:trHeight w:val="28"/>
        </w:trPr>
        <w:tc>
          <w:tcPr>
            <w:tcW w:w="18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0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2022</w:t>
            </w: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40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Conference calls &amp; In-person meetings</w:t>
            </w: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80" w:type="dxa"/>
            <w:vAlign w:val="bottom"/>
            <w:tcBorders>
              <w:lef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Participants of the</w:t>
            </w:r>
          </w:p>
        </w:tc>
        <w:tc>
          <w:tcPr>
            <w:tcW w:w="400" w:type="dxa"/>
            <w:vAlign w:val="bottom"/>
            <w:tcBorders>
              <w:right w:val="single" w:sz="8" w:color="auto"/>
            </w:tcBorders>
          </w:tcPr>
          <w:p>
            <w:pPr>
              <w:spacing w:after="0"/>
              <w:rPr>
                <w:sz w:val="16"/>
                <w:szCs w:val="16"/>
                <w:color w:val="auto"/>
              </w:rPr>
            </w:pPr>
          </w:p>
        </w:tc>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listed company</w:t>
            </w:r>
          </w:p>
        </w:tc>
        <w:tc>
          <w:tcPr>
            <w:tcW w:w="400" w:type="dxa"/>
            <w:vAlign w:val="bottom"/>
            <w:tcBorders>
              <w:right w:val="single" w:sz="8" w:color="auto"/>
            </w:tcBorders>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 JIAN WANG</w:t>
            </w: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Person in Charge of Financial Matters: LISA YI LU FENG</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tcBorders>
              <w:lef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960" w:type="dxa"/>
            <w:vAlign w:val="bottom"/>
            <w:tcBorders>
              <w:right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Senior Management of ACM Research (Shanghai), Inc. (the “Company”) briefly described the</w:t>
            </w:r>
          </w:p>
        </w:tc>
        <w:tc>
          <w:tcPr>
            <w:tcW w:w="0" w:type="dxa"/>
            <w:vAlign w:val="bottom"/>
          </w:tcPr>
          <w:p>
            <w:pPr>
              <w:spacing w:after="0"/>
              <w:rPr>
                <w:sz w:val="1"/>
                <w:szCs w:val="1"/>
                <w:color w:val="auto"/>
              </w:rPr>
            </w:pPr>
          </w:p>
        </w:tc>
      </w:tr>
      <w:tr>
        <w:trPr>
          <w:trHeight w:val="234"/>
        </w:trPr>
        <w:tc>
          <w:tcPr>
            <w:tcW w:w="188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performance of the Company for the third quarter of 2022, and answered questions of concern by investors.</w:t>
            </w:r>
          </w:p>
        </w:tc>
        <w:tc>
          <w:tcPr>
            <w:tcW w:w="0" w:type="dxa"/>
            <w:vAlign w:val="bottom"/>
          </w:tcPr>
          <w:p>
            <w:pPr>
              <w:spacing w:after="0"/>
              <w:rPr>
                <w:sz w:val="1"/>
                <w:szCs w:val="1"/>
                <w:color w:val="auto"/>
              </w:rPr>
            </w:pPr>
          </w:p>
        </w:tc>
      </w:tr>
      <w:tr>
        <w:trPr>
          <w:trHeight w:val="432"/>
        </w:trPr>
        <w:tc>
          <w:tcPr>
            <w:tcW w:w="188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Summary of investor</w:t>
            </w:r>
          </w:p>
        </w:tc>
        <w:tc>
          <w:tcPr>
            <w:tcW w:w="400" w:type="dxa"/>
            <w:vAlign w:val="bottom"/>
            <w:tcBorders>
              <w:right w:val="single" w:sz="8" w:color="auto"/>
            </w:tcBorders>
          </w:tcPr>
          <w:p>
            <w:pPr>
              <w:spacing w:after="0"/>
              <w:rPr>
                <w:sz w:val="24"/>
                <w:szCs w:val="24"/>
                <w:color w:val="auto"/>
              </w:rPr>
            </w:pPr>
          </w:p>
        </w:tc>
        <w:tc>
          <w:tcPr>
            <w:tcW w:w="8960" w:type="dxa"/>
            <w:vAlign w:val="bottom"/>
            <w:tcBorders>
              <w:right w:val="single" w:sz="8" w:color="auto"/>
            </w:tcBorders>
            <w:gridSpan w:val="4"/>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1. What about the progress of equipment delivery and verification to international customers, as well as the</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400" w:type="dxa"/>
            <w:vAlign w:val="bottom"/>
            <w:tcBorders>
              <w:right w:val="single" w:sz="8" w:color="auto"/>
            </w:tcBorders>
          </w:tcPr>
          <w:p>
            <w:pPr>
              <w:spacing w:after="0"/>
              <w:rPr>
                <w:sz w:val="9"/>
                <w:szCs w:val="9"/>
                <w:color w:val="auto"/>
              </w:rPr>
            </w:pPr>
          </w:p>
        </w:tc>
        <w:tc>
          <w:tcPr>
            <w:tcW w:w="896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80" w:type="dxa"/>
            <w:vAlign w:val="bottom"/>
            <w:tcBorders>
              <w:left w:val="single" w:sz="8" w:color="auto"/>
            </w:tcBorders>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development of new international customers this year?</w:t>
            </w:r>
          </w:p>
        </w:tc>
        <w:tc>
          <w:tcPr>
            <w:tcW w:w="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880" w:type="dxa"/>
            <w:vAlign w:val="bottom"/>
            <w:tcBorders>
              <w:lef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3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A: At present, the Company has delivered 1 set of ECP, 3 sets of PR cleaning equipment and 1 set of single wafer</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cleaning equipment to the fabs of international customers in China, and 2 sets of single wafer cleaning equipment to a</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leading customer in the U.S., with the evaluation effort going smoothly. The international sales team is actively exploring</w:t>
            </w:r>
          </w:p>
        </w:tc>
        <w:tc>
          <w:tcPr>
            <w:tcW w:w="0" w:type="dxa"/>
            <w:vAlign w:val="bottom"/>
          </w:tcPr>
          <w:p>
            <w:pPr>
              <w:spacing w:after="0"/>
              <w:rPr>
                <w:sz w:val="1"/>
                <w:szCs w:val="1"/>
                <w:color w:val="auto"/>
              </w:rPr>
            </w:pPr>
          </w:p>
        </w:tc>
      </w:tr>
      <w:tr>
        <w:trPr>
          <w:trHeight w:val="241"/>
        </w:trPr>
        <w:tc>
          <w:tcPr>
            <w:tcW w:w="188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major additional customer opportunities in Taiwan, China, South Korea and Europe.</w:t>
            </w:r>
          </w:p>
        </w:tc>
        <w:tc>
          <w:tcPr>
            <w:tcW w:w="0" w:type="dxa"/>
            <w:vAlign w:val="bottom"/>
          </w:tcPr>
          <w:p>
            <w:pPr>
              <w:spacing w:after="0"/>
              <w:rPr>
                <w:sz w:val="1"/>
                <w:szCs w:val="1"/>
                <w:color w:val="auto"/>
              </w:rPr>
            </w:pPr>
          </w:p>
        </w:tc>
      </w:tr>
      <w:tr>
        <w:trPr>
          <w:trHeight w:val="425"/>
        </w:trPr>
        <w:tc>
          <w:tcPr>
            <w:tcW w:w="1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9" w:right="339" w:bottom="1440" w:gutter="0" w:footer="0" w:header="0"/>
        </w:sectPr>
      </w:pPr>
    </w:p>
    <w:bookmarkStart w:id="4" w:name="page5"/>
    <w:bookmarkEnd w:id="4"/>
    <w:p>
      <w:pPr>
        <w:ind w:left="1160" w:right="20" w:firstLine="430"/>
        <w:spacing w:after="0" w:line="263" w:lineRule="auto"/>
        <w:tabs>
          <w:tab w:leader="none" w:pos="17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083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083435"/>
                    </a:xfrm>
                    <a:prstGeom prst="rect">
                      <a:avLst/>
                    </a:prstGeom>
                    <a:noFill/>
                  </pic:spPr>
                </pic:pic>
              </a:graphicData>
            </a:graphic>
          </wp:anchor>
        </w:drawing>
        <w:t>What is the reliance of electroplating equipment, ALD and other new and old equipment on parts from the U.S.? Is there any alternative for the parts in Mainland China, Japan, Europe and South Korea?</w:t>
      </w:r>
    </w:p>
    <w:p>
      <w:pPr>
        <w:jc w:val="both"/>
        <w:ind w:left="1160" w:firstLine="43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On the whole, parts from the U.S. account for around 5% to 10% of the bill of materials for Company tools. Among them, at a high level, electroplating equipment has limited reliance on components from the U.S. We believe alternative sources of supply are available for other tools, which will require time for verification on the production line.</w:t>
      </w:r>
    </w:p>
    <w:p>
      <w:pPr>
        <w:spacing w:after="0" w:line="181" w:lineRule="exact"/>
        <w:rPr>
          <w:rFonts w:ascii="Times New Roman" w:cs="Times New Roman" w:eastAsia="Times New Roman" w:hAnsi="Times New Roman"/>
          <w:sz w:val="18"/>
          <w:szCs w:val="18"/>
          <w:b w:val="1"/>
          <w:bCs w:val="1"/>
          <w:color w:val="auto"/>
        </w:rPr>
      </w:pPr>
    </w:p>
    <w:p>
      <w:pPr>
        <w:ind w:left="1160" w:right="20" w:firstLine="430"/>
        <w:spacing w:after="0" w:line="263" w:lineRule="auto"/>
        <w:tabs>
          <w:tab w:leader="none" w:pos="180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roles do plants in Mainland China and South Korea play in R&amp;D and manufacturing, and what further products will be manufactured by the plants in South Korea in the future?</w:t>
      </w:r>
    </w:p>
    <w:p>
      <w:pPr>
        <w:jc w:val="both"/>
        <w:ind w:left="1160" w:firstLine="4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Our biggest plants are in Mainland China, followed by those in South Korea. The Korean plants are set up for the purpose of withstanding natural disaster risks and enhancing the Company’s ability for sustainable operation, which can be used to manufacture single wafer systems, wet bench cleaning equipment and furnace equipment, and to manufacture two brand new categories of equipment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5" w:name="page6"/>
    <w:bookmarkEnd w:id="5"/>
    <w:p>
      <w:pPr>
        <w:ind w:left="1160" w:right="20" w:firstLine="430"/>
        <w:spacing w:after="0" w:line="263" w:lineRule="auto"/>
        <w:tabs>
          <w:tab w:leader="none" w:pos="178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55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55035"/>
                    </a:xfrm>
                    <a:prstGeom prst="rect">
                      <a:avLst/>
                    </a:prstGeom>
                    <a:noFill/>
                  </pic:spPr>
                </pic:pic>
              </a:graphicData>
            </a:graphic>
          </wp:anchor>
        </w:drawing>
        <w:t>How about the verification of ALD equipment at the customer end, and what are the sales expectations for furnace equipment next year?</w:t>
      </w:r>
    </w:p>
    <w:p>
      <w:pPr>
        <w:jc w:val="both"/>
        <w:ind w:left="1160" w:right="20" w:firstLine="4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equipment was delivered to the customer in September this year and is under verification, which is estimated to be completed in 2023. Regarding our expectations for sales of furnace equipment next year: we have both repeat and new customer orders for high-vacuum alloy annealing furnace, LPCVD, high-temperature diffusion-oxidation furnace and ALD equipment. We expect that next year we will see strong growth for sales of furnace equipment.</w:t>
      </w:r>
    </w:p>
    <w:p>
      <w:pPr>
        <w:spacing w:after="0" w:line="184" w:lineRule="exact"/>
        <w:rPr>
          <w:rFonts w:ascii="Times New Roman" w:cs="Times New Roman" w:eastAsia="Times New Roman" w:hAnsi="Times New Roman"/>
          <w:sz w:val="18"/>
          <w:szCs w:val="18"/>
          <w:b w:val="1"/>
          <w:bCs w:val="1"/>
          <w:color w:val="auto"/>
        </w:rPr>
      </w:pPr>
    </w:p>
    <w:p>
      <w:pPr>
        <w:ind w:left="1160" w:firstLine="430"/>
        <w:spacing w:after="0" w:line="263" w:lineRule="auto"/>
        <w:tabs>
          <w:tab w:leader="none" w:pos="177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proportion of wet bench equipment in the Company’s cleaning equipment business? How about the gross margin of such equipment?</w:t>
      </w:r>
    </w:p>
    <w:p>
      <w:pPr>
        <w:jc w:val="both"/>
        <w:ind w:left="1160" w:right="20" w:firstLine="4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sales of wet bench equipment in the Company’s cleaning equipment business have grown rapidly, we believe making the Company a leader in the field of 12-inch wet bench cleaning equipment in China. However, in terms of sales proportion, single wafer equipment is larger than wet bench equipment. Wet bench cleaning equipment has a lower gross margin compared with single wafer cleaning equipment.</w:t>
      </w:r>
    </w:p>
    <w:p>
      <w:pPr>
        <w:spacing w:after="0" w:line="184" w:lineRule="exact"/>
        <w:rPr>
          <w:rFonts w:ascii="Times New Roman" w:cs="Times New Roman" w:eastAsia="Times New Roman" w:hAnsi="Times New Roman"/>
          <w:sz w:val="18"/>
          <w:szCs w:val="18"/>
          <w:b w:val="1"/>
          <w:bCs w:val="1"/>
          <w:color w:val="auto"/>
        </w:rPr>
      </w:pPr>
    </w:p>
    <w:p>
      <w:pPr>
        <w:ind w:left="1160" w:right="20" w:firstLine="430"/>
        <w:spacing w:after="0" w:line="263" w:lineRule="auto"/>
        <w:tabs>
          <w:tab w:leader="none" w:pos="180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the “go global” strategy will be substantially hindered after the new U.S. export controls, for example, whether the development of customers from the U.S. will slow down?</w:t>
      </w:r>
    </w:p>
    <w:p>
      <w:pPr>
        <w:jc w:val="both"/>
        <w:ind w:left="1160" w:right="20" w:firstLine="432"/>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Company will continue to facilitate globalization by actively utilizing the structure of listing in China and the U.S. The Company plans to speed up the construction of its R&amp;D and production center in South Korea, focus on broad/multi-product strategic cooperation with international customers, and accelerate efforts on advanced process semiconductor equipment and process verification with internationally leading customers. At present, we do not believe the new U.S. export regulations impose restrictions on our target customers outside of China, and thus we do not expect a material impact on the Company from the new regulations in developing the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6" w:name="page7"/>
    <w:bookmarkEnd w:id="6"/>
    <w:p>
      <w:pPr>
        <w:jc w:val="both"/>
        <w:ind w:left="1160" w:firstLine="430"/>
        <w:spacing w:after="0" w:line="259" w:lineRule="auto"/>
        <w:tabs>
          <w:tab w:leader="none" w:pos="177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671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71320"/>
                    </a:xfrm>
                    <a:prstGeom prst="rect">
                      <a:avLst/>
                    </a:prstGeom>
                    <a:noFill/>
                  </pic:spPr>
                </pic:pic>
              </a:graphicData>
            </a:graphic>
          </wp:anchor>
        </w:drawing>
        <w:t>What are the technical barriers and difficulties for the Company’s semiconductor equipment? What are the advantages of SAPS cleaning technology, TEBO cleaning technology and TAHOE single wafer and wet bench combined cleaning technology independently developed by the Company? Are they difficult to be imitated?</w:t>
      </w:r>
    </w:p>
    <w:p>
      <w:pPr>
        <w:jc w:val="both"/>
        <w:ind w:left="1160" w:firstLine="432"/>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challenge faced by cleaning technology lies in the increased challenges to scale production and support more advanced production nodes. Moreover, the technology is still advancing and improving through innovation, and the chemical temperature is also increasing. As a result, cleaning equipment suppliers need to have a comprehensive knowledge base. At present, we believe only two or three companies have outstanding performance in cleaning equipment. For cleaning equipment, we believe only a limited number of suppliers will be capable of supporting customers, particularly for more high-end and difficult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79" w:right="379" w:bottom="1440" w:gutter="0" w:footer="0" w:header="0"/>
        </w:sectPr>
      </w:pPr>
    </w:p>
    <w:bookmarkStart w:id="7" w:name="page8"/>
    <w:bookmarkEnd w:id="7"/>
    <w:p>
      <w:pPr>
        <w:jc w:val="both"/>
        <w:ind w:left="1160" w:firstLine="43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3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t>The SAPS cleaning technology and TEBO cleaning technology independently developed by the Company are patented, and we believe without copy so far. In terms of advantage, SAPS cleaning technology can be used to clean the flat structure, which works particularly well for cleaning small particles; TEBO cleaning technology is mainly used for cleaning three-dimensional structures by applying bubble oscillations formed by megasonic waves, with innovation in response to the characteristics of megasonic waves to prevent bubbles from popping or exploding. TAHOE single wafer and wet bench combined or ‘hybrid’ cleaning technology is the first technology that combines wet bench and single wafer, and results in a reduced consumption of sulfuric acid by 50% to 80%, while achieving the same cleaning performance of single wafer using sulfuric acid. Research, development and verification have been completed in Shanghai for this technology. The Company has obtained patents for all of the above cleaning equipment technologies. We believe the increasingly stringent IP rights protections limit the risk of our products being imitated.</w:t>
      </w:r>
    </w:p>
    <w:p>
      <w:pPr>
        <w:spacing w:after="0" w:line="19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8. Will electroplating equipment continue to grow next year? How about customer development?</w:t>
      </w:r>
    </w:p>
    <w:p>
      <w:pPr>
        <w:spacing w:after="0" w:line="31" w:lineRule="exact"/>
        <w:rPr>
          <w:sz w:val="20"/>
          <w:szCs w:val="20"/>
          <w:color w:val="auto"/>
        </w:rPr>
      </w:pPr>
    </w:p>
    <w:p>
      <w:pPr>
        <w:jc w:val="both"/>
        <w:ind w:left="1160" w:right="20" w:firstLine="428"/>
        <w:spacing w:after="0" w:line="253" w:lineRule="auto"/>
        <w:tabs>
          <w:tab w:leader="none" w:pos="18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year, the Company has reported good sales of copper plating equipment, with significantly increased output compared with last year, mainly due to strong orders from a front-end customer and an order of 10 sets in batch from a packaging customer. In terms of customer development, the Company obtained repeated orders from a Taiwan-funded enterprise this year. On the whole, we expect that our copper plating equipment will continue to grow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83" w:right="359" w:bottom="1440" w:gutter="0" w:footer="0" w:header="0"/>
        </w:sectPr>
      </w:pPr>
    </w:p>
    <w:bookmarkStart w:id="8" w:name="page9"/>
    <w:bookmarkEnd w:id="8"/>
    <w:p>
      <w:pPr>
        <w:ind w:left="1160" w:right="20" w:firstLine="430"/>
        <w:spacing w:after="0" w:line="263" w:lineRule="auto"/>
        <w:tabs>
          <w:tab w:leader="none" w:pos="179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4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042920"/>
                    </a:xfrm>
                    <a:prstGeom prst="rect">
                      <a:avLst/>
                    </a:prstGeom>
                    <a:noFill/>
                  </pic:spPr>
                </pic:pic>
              </a:graphicData>
            </a:graphic>
          </wp:anchor>
        </w:drawing>
        <w:t>What is the structure of the Company’s cleaning equipment in the Company’s revenue in the future, and whether it will go overall downward?</w:t>
      </w:r>
    </w:p>
    <w:p>
      <w:pPr>
        <w:jc w:val="both"/>
        <w:ind w:left="1160" w:right="20" w:firstLine="428"/>
        <w:spacing w:after="0" w:line="252" w:lineRule="auto"/>
        <w:tabs>
          <w:tab w:leader="none" w:pos="18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originally only had single wafer cleaning equipment, and subsequently introduced wet bench cleaning equipment in 2019. In October of last year, the Company’s single wafer cleaning equipment had a total output of 2,000 chambers, and in November of this year, it had a total output of 3,000 chambers, showing a rapid growth on single wafer equipment during more than a year. Meanwhile, this year, a certain number of orders for the Company’s cleaning equipment came from wet bench equipment, and the proportion of overall sales of cleaning equipment remains at about 70%.</w:t>
      </w:r>
    </w:p>
    <w:p>
      <w:pPr>
        <w:spacing w:after="0" w:line="185" w:lineRule="exact"/>
        <w:rPr>
          <w:rFonts w:ascii="Times New Roman" w:cs="Times New Roman" w:eastAsia="Times New Roman" w:hAnsi="Times New Roman"/>
          <w:sz w:val="18"/>
          <w:szCs w:val="18"/>
          <w:color w:val="auto"/>
        </w:rPr>
      </w:pPr>
    </w:p>
    <w:p>
      <w:pPr>
        <w:ind w:left="1160" w:right="20" w:firstLine="430"/>
        <w:spacing w:after="0" w:line="263" w:lineRule="auto"/>
        <w:tabs>
          <w:tab w:leader="none" w:pos="189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about the growth of cleaning equipment as primary business in the next two years? Can a high growth rate be maintained? How to drive it?</w:t>
      </w:r>
    </w:p>
    <w:p>
      <w:pPr>
        <w:jc w:val="both"/>
        <w:ind w:left="1160" w:firstLine="428"/>
        <w:spacing w:after="0" w:line="251" w:lineRule="auto"/>
        <w:tabs>
          <w:tab w:leader="none" w:pos="18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two main driving forces for cleaning equipment. The first lies in the throughput of wet bench cleaning equipment in the mature process. Whether from the technology or the customer feedback, the Company’s cleaning equipment leads in the 12-inch area in China, which is expected to keep growing in the future. The other lies in the field of advanced process. The supercritical carbon dioxide drying technology is the most advanced in today’s cleaning equipment, which also represents the peak of the core cleaning technology required for new 3D structures in the future. The Company expects to launch this technology in both domestic and international markets in the future, with broad market space. At the same time, we believe the Company has a complete range of cleaning equipment. In the future, the Company hopes to achieve 50% of the market share domestically in China and about 20% to 30%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9" w:name="page10"/>
    <w:bookmarkEnd w:id="9"/>
    <w:p>
      <w:pPr>
        <w:ind w:left="1840" w:hanging="250"/>
        <w:spacing w:after="0"/>
        <w:tabs>
          <w:tab w:leader="none" w:pos="184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19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t>How do you think of the market size and space for wet bench and single wafer in the next 3 to 5 years?</w:t>
      </w:r>
    </w:p>
    <w:p>
      <w:pPr>
        <w:spacing w:after="0" w:line="31" w:lineRule="exact"/>
        <w:rPr>
          <w:rFonts w:ascii="Times New Roman" w:cs="Times New Roman" w:eastAsia="Times New Roman" w:hAnsi="Times New Roman"/>
          <w:sz w:val="18"/>
          <w:szCs w:val="18"/>
          <w:b w:val="1"/>
          <w:bCs w:val="1"/>
          <w:color w:val="auto"/>
        </w:rPr>
      </w:pPr>
    </w:p>
    <w:p>
      <w:pPr>
        <w:jc w:val="both"/>
        <w:ind w:left="1160" w:firstLine="428"/>
        <w:spacing w:after="0" w:line="253" w:lineRule="auto"/>
        <w:tabs>
          <w:tab w:leader="none" w:pos="18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single wafer equipment will be increasingly used in more advanced nodes. Specifically, for 45nm and above, we believe the wet bench equipment will account for about 80%, and the single wafer about 20%; in return, for 28nm and below, we believe the single wafer will account for about 80%, while the wet bench about 20%. At present, we believe the production line of mature processes in China is still expanding. The Company is optimistic about the development of 45nm and 28nm processes in China in the next 3 to 5 years.</w:t>
      </w:r>
    </w:p>
    <w:p>
      <w:pPr>
        <w:spacing w:after="0" w:line="182" w:lineRule="exact"/>
        <w:rPr>
          <w:rFonts w:ascii="Times New Roman" w:cs="Times New Roman" w:eastAsia="Times New Roman" w:hAnsi="Times New Roman"/>
          <w:sz w:val="18"/>
          <w:szCs w:val="18"/>
          <w:color w:val="auto"/>
        </w:rPr>
      </w:pPr>
    </w:p>
    <w:p>
      <w:pPr>
        <w:ind w:left="1860" w:hanging="270"/>
        <w:spacing w:after="0"/>
        <w:tabs>
          <w:tab w:leader="none" w:pos="18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the Company maintain its competitive advantage in the future packaging market?</w:t>
      </w:r>
    </w:p>
    <w:p>
      <w:pPr>
        <w:spacing w:after="0" w:line="31" w:lineRule="exact"/>
        <w:rPr>
          <w:sz w:val="20"/>
          <w:szCs w:val="20"/>
          <w:color w:val="auto"/>
        </w:rPr>
      </w:pPr>
    </w:p>
    <w:p>
      <w:pPr>
        <w:jc w:val="both"/>
        <w:ind w:left="1160" w:right="20" w:firstLine="428"/>
        <w:spacing w:after="0" w:line="253" w:lineRule="auto"/>
        <w:tabs>
          <w:tab w:leader="none" w:pos="18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by the downturn of the economic environment, the demand for advanced packaging tools has slowed down, resulting in slower growth of the Company in this category. Nevertheless, we expect growth to resume with the economic recovery. The Company offers a comprehensive product line of packaging equipment, and meanwhile has a unique position in the domestic and international markets, with one-stop sales advantages, complete products and strong market competitive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10" w:name="page11"/>
    <w:bookmarkEnd w:id="10"/>
    <w:p>
      <w:pPr>
        <w:ind w:left="1860" w:hanging="270"/>
        <w:spacing w:after="0"/>
        <w:tabs>
          <w:tab w:leader="none" w:pos="18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317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317875"/>
                    </a:xfrm>
                    <a:prstGeom prst="rect">
                      <a:avLst/>
                    </a:prstGeom>
                    <a:noFill/>
                  </pic:spPr>
                </pic:pic>
              </a:graphicData>
            </a:graphic>
          </wp:anchor>
        </w:drawing>
        <w:t>Does the Company have any change in orders from and delivery to customers? Will they be slowed down?</w:t>
      </w:r>
    </w:p>
    <w:p>
      <w:pPr>
        <w:spacing w:after="0" w:line="31" w:lineRule="exact"/>
        <w:rPr>
          <w:rFonts w:ascii="Times New Roman" w:cs="Times New Roman" w:eastAsia="Times New Roman" w:hAnsi="Times New Roman"/>
          <w:sz w:val="18"/>
          <w:szCs w:val="18"/>
          <w:b w:val="1"/>
          <w:bCs w:val="1"/>
          <w:color w:val="auto"/>
        </w:rPr>
      </w:pPr>
    </w:p>
    <w:p>
      <w:pPr>
        <w:jc w:val="both"/>
        <w:ind w:left="1160" w:firstLine="428"/>
        <w:spacing w:after="0" w:line="253" w:lineRule="auto"/>
        <w:tabs>
          <w:tab w:leader="none" w:pos="18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the past several years, ACM Research, Inc., the Company’s controlling shareholder, plans to provide its outlook for annual sales in early January. As discussed on our Q3 investor call, the Company plans for growth due to contribution from new products, incremental contribution from international markets, and our expectation for continued spending on mature nodes in China. In light of the above factors, we do not expect the ups and downs of the overall global market next year to have a material impact on the Company.</w:t>
      </w:r>
    </w:p>
    <w:p>
      <w:pPr>
        <w:spacing w:after="0" w:line="182" w:lineRule="exact"/>
        <w:rPr>
          <w:rFonts w:ascii="Times New Roman" w:cs="Times New Roman" w:eastAsia="Times New Roman" w:hAnsi="Times New Roman"/>
          <w:sz w:val="18"/>
          <w:szCs w:val="18"/>
          <w:color w:val="auto"/>
        </w:rPr>
      </w:pPr>
    </w:p>
    <w:p>
      <w:pPr>
        <w:ind w:left="1160" w:firstLine="430"/>
        <w:spacing w:after="0" w:line="263" w:lineRule="auto"/>
        <w:tabs>
          <w:tab w:leader="none" w:pos="1882"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robotic arms still have stronger performance overall. What is the specific gap between domestic and foreign robotic arms?</w:t>
      </w:r>
    </w:p>
    <w:p>
      <w:pPr>
        <w:jc w:val="both"/>
        <w:ind w:left="1160" w:right="20" w:firstLine="428"/>
        <w:spacing w:after="0" w:line="253" w:lineRule="auto"/>
        <w:tabs>
          <w:tab w:leader="none" w:pos="18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whole, we believe the robotic arms made by China-based firms have been good. The reason for the gap lies in the comparatively later entry into this field by domestic enterprises, and it will require time to verify their products for reliability, accuracy and repeatability. We believe that in the near future, robotic arm products made in China will be able to catch up with those abroad.</w:t>
      </w:r>
    </w:p>
    <w:p>
      <w:pPr>
        <w:spacing w:after="0" w:line="184" w:lineRule="exact"/>
        <w:rPr>
          <w:rFonts w:ascii="Times New Roman" w:cs="Times New Roman" w:eastAsia="Times New Roman" w:hAnsi="Times New Roman"/>
          <w:sz w:val="18"/>
          <w:szCs w:val="18"/>
          <w:color w:val="auto"/>
        </w:rPr>
      </w:pPr>
    </w:p>
    <w:p>
      <w:pPr>
        <w:ind w:left="1880" w:hanging="290"/>
        <w:spacing w:after="0"/>
        <w:tabs>
          <w:tab w:leader="none" w:pos="188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processes are developed under the cooperation between the teams of China and those of South</w:t>
      </w:r>
    </w:p>
    <w:p>
      <w:pPr>
        <w:spacing w:after="0" w:line="31" w:lineRule="exact"/>
        <w:rPr>
          <w:rFonts w:ascii="Times New Roman" w:cs="Times New Roman" w:eastAsia="Times New Roman" w:hAnsi="Times New Roman"/>
          <w:sz w:val="18"/>
          <w:szCs w:val="18"/>
          <w:b w:val="1"/>
          <w:bCs w:val="1"/>
          <w:color w:val="auto"/>
        </w:rPr>
      </w:pPr>
    </w:p>
    <w:p>
      <w:pPr>
        <w:ind w:left="1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Korea?</w:t>
      </w:r>
    </w:p>
    <w:p>
      <w:pPr>
        <w:spacing w:after="0" w:line="9" w:lineRule="exact"/>
        <w:rPr>
          <w:rFonts w:ascii="Times New Roman" w:cs="Times New Roman" w:eastAsia="Times New Roman" w:hAnsi="Times New Roman"/>
          <w:sz w:val="18"/>
          <w:szCs w:val="18"/>
          <w:b w:val="1"/>
          <w:bCs w:val="1"/>
          <w:color w:val="auto"/>
        </w:rPr>
      </w:pPr>
    </w:p>
    <w:p>
      <w:pPr>
        <w:jc w:val="both"/>
        <w:ind w:left="1160" w:firstLine="428"/>
        <w:spacing w:after="0" w:line="253" w:lineRule="auto"/>
        <w:tabs>
          <w:tab w:leader="none" w:pos="18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furnace equipment, Track, and the new product category that has yet to be announced, are all jointly developed by the Korean team and the Chinese team of the Company, which combines the strengths from both teams. In light of the present situation, we believe both teams work quite well with each other on supply chain and talent echelon, with R&amp;D progressing at a relatively satisfactory manner. In addition, ACM Research Korea CO., LTD. is a wholly-owned subsidiary of the Company, which is less subject to import and export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11" w:name="page12"/>
    <w:bookmarkEnd w:id="11"/>
    <w:p>
      <w:pPr>
        <w:ind w:left="1160" w:right="20" w:firstLine="430"/>
        <w:spacing w:after="0" w:line="263" w:lineRule="auto"/>
        <w:tabs>
          <w:tab w:leader="none" w:pos="1903"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20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t>Will the progress be dragged by both R&amp;D teams in China and South Korea when conducting new technology R&amp;D? Are there any problems in management?</w:t>
      </w:r>
    </w:p>
    <w:p>
      <w:pPr>
        <w:jc w:val="both"/>
        <w:ind w:left="1160" w:right="20" w:firstLine="428"/>
        <w:spacing w:after="0" w:line="255" w:lineRule="auto"/>
        <w:tabs>
          <w:tab w:leader="none" w:pos="18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situation has not occurred to the Company. The IP is jointly developed and owned by both teams. Meanwhile, the Korean team is required by the Company to seek to be the best in technology and achieve differentiated innovation, without taking shortcuts by copying.</w:t>
      </w:r>
    </w:p>
    <w:p>
      <w:pPr>
        <w:spacing w:after="0" w:line="181" w:lineRule="exact"/>
        <w:rPr>
          <w:rFonts w:ascii="Times New Roman" w:cs="Times New Roman" w:eastAsia="Times New Roman" w:hAnsi="Times New Roman"/>
          <w:sz w:val="18"/>
          <w:szCs w:val="18"/>
          <w:color w:val="auto"/>
        </w:rPr>
      </w:pPr>
    </w:p>
    <w:p>
      <w:pPr>
        <w:jc w:val="both"/>
        <w:ind w:left="1160" w:firstLine="430"/>
        <w:spacing w:after="0" w:line="259" w:lineRule="auto"/>
        <w:tabs>
          <w:tab w:leader="none" w:pos="1893"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has sped up the development of international customers strategically in response to the Chips Act. Can you give a detailed introduction of the relevant overseas customers? For example, is the production line of megasonic cleaning equipment advanced?</w:t>
      </w:r>
    </w:p>
    <w:p>
      <w:pPr>
        <w:jc w:val="both"/>
        <w:ind w:left="1160" w:firstLine="428"/>
        <w:spacing w:after="0" w:line="253" w:lineRule="auto"/>
        <w:tabs>
          <w:tab w:leader="none" w:pos="18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sold overseas are for advanced production lines. The Company approached overseas customers with the aim of selling advanced process equipment. The international route will need to be broadened to enable the Company’s differentiated equipment to contribute to the most advanced process production line. In the future, the Company plans to accelerate its efforts to develop overseas customers, with 90% of its equipment expected to enter the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12" w:name="page13"/>
    <w:bookmarkEnd w:id="12"/>
    <w:p>
      <w:pPr>
        <w:ind w:left="1160" w:right="20" w:firstLine="430"/>
        <w:spacing w:after="0" w:line="263" w:lineRule="auto"/>
        <w:tabs>
          <w:tab w:leader="none" w:pos="1873"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09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09115"/>
                    </a:xfrm>
                    <a:prstGeom prst="rect">
                      <a:avLst/>
                    </a:prstGeom>
                    <a:noFill/>
                  </pic:spPr>
                </pic:pic>
              </a:graphicData>
            </a:graphic>
          </wp:anchor>
        </w:drawing>
        <w:t>How will the latest restriction act of the U.S. affect the Company’s officers and core technicians as well as its subsequent production? How about the current backlog orders?</w:t>
      </w:r>
    </w:p>
    <w:p>
      <w:pPr>
        <w:jc w:val="both"/>
        <w:ind w:left="1160" w:firstLine="428"/>
        <w:spacing w:after="0" w:line="253" w:lineRule="auto"/>
        <w:tabs>
          <w:tab w:leader="none" w:pos="18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of all, the Company’s technologies are mainly developed in Shanghai, and some of them are jointly developed with the Korean team of ACM Research Korea CO., LTD., the Company’s wholly-owned subsidiary, so the technologies are less subject to the latest U.S. export controls. Secondly, the Company’s R&amp;D team members are all Chinese or Korean. Finally, constant efforts are made to seek new channels for the procurement of components and spare parts. Therefore, we expect the direct impact on the Company to be relatively limited.</w:t>
      </w:r>
    </w:p>
    <w:p>
      <w:pPr>
        <w:spacing w:after="0" w:line="18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For backlog orders, please refer to the announcement on backlog orders disclosed by the Company on October 14,</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Encl.: List of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Balyasny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 Ved Capital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Polo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Pleiad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Point72 Asset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 Teachers’ Pension Plan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Allianz Securities Investment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Yong Hua Ming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Baijia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Aeon Insurance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Baoying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Heju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Suncapital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Hou Xian Investment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Jiusongshanhe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JUHAO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Shennong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Shuiyin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Yutian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Longrising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BlackRock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Bohai Huijin Securities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Brilliance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Chuangjin Hexin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Purekind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Dacheng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Dao Global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Dajia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Tebon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Tebon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Deqing Yuyang Investment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DIJUN Asset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Oriental Alpha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Soochow Securities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DH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FountainCap Research &amp; Investment (Hong Kong) 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Prudence Investment Management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Fengyan Investment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Pramerica Fosun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 Investment Management (Shanghai)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Fullerton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Fullgoal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Templeton SinoAm Investment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Credit Suisse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Pramerica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Fortune Evertop Investment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Securities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CGB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WinTop Investment Consulting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GUODU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Sinolink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Guolian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Sun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Life Capital Investment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Junan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Securities Investment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SDIC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Guoxin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Huarong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Guosen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Guoshi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Evolution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Zexing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Haining Shibei Investment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 Securities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HZBANK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Chonghe Investment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Focusbridge Investments Limited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Hongkang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Investment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Red Earth Innovation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Guizhou Huachuang Securities Broker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Resources Yuanda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Financial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Huaxi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Huaxi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Everwin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Future Capital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Jintrust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Qianhai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BOC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Universal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Huisheng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Financial Asset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Pension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Winfast Investment Holding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YangZheng Private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Invesco Great Wall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Thai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Junyi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Stone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KEYWISE CAPITAL MANAGEMENT (HK)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Asia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 Capital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(China)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Huaxin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Southern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Nanfang Tianchen (Beijing)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Nanjing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High-Flyer Quant Investment Management (Ningbo)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Ningbo Meishan Free Trade Port Haojun Investment Management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Pengyang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Annuity Insurance Company of China,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Bank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AXA SPDB Investment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CloudAlpha Capital Management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Seafront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Picc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Oakwise Capital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China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Asset Management (Shanghai)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Ruixin (Beijing)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 Yuan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Cephei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Binyuan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Chenxiang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Chen Yan Asset Management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Chongyun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Danyi Investment Management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Dingfeng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Dingsa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 Asset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Hillview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Fuying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Perseverance Asset Management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Genxi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Goomoo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Guosheng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Advance Capital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Hongshang Assets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Jinen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Genius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Eureka Investment Partner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Greenwoods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Longlife Investment Co., Ltd.</w:t>
      </w:r>
    </w:p>
    <w:p>
      <w:pPr>
        <w:spacing w:after="0" w:line="9" w:lineRule="exact"/>
        <w:rPr>
          <w:sz w:val="20"/>
          <w:szCs w:val="20"/>
          <w:color w:val="auto"/>
        </w:rPr>
      </w:pPr>
    </w:p>
    <w:p>
      <w:pPr>
        <w:ind w:right="5059"/>
        <w:spacing w:after="0" w:line="250" w:lineRule="auto"/>
        <w:rPr>
          <w:sz w:val="20"/>
          <w:szCs w:val="20"/>
          <w:color w:val="auto"/>
        </w:rPr>
      </w:pPr>
      <w:r>
        <w:rPr>
          <w:rFonts w:ascii="Times New Roman" w:cs="Times New Roman" w:eastAsia="Times New Roman" w:hAnsi="Times New Roman"/>
          <w:sz w:val="18"/>
          <w:szCs w:val="18"/>
          <w:color w:val="auto"/>
        </w:rPr>
        <w:t>Shanghai Jiuyou Equity Investment Fund Management Co., Ltd. Shanghai Lingren Private Equity Fund Management Partnership (L.P.) Shanghai Lingze Private Fund Management Co., Ltd. Shanghai Everlead Private Equity Fund Management Co.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Miyuan Investment Management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Minghe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Muchasset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Panjing Investment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PENGTAI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Pawoof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Shanghai Pertrust Capital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Qingfund Asset Management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Senjin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Shangjin Investment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Elegant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SWS RESEARCH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Shenzhi Asset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Megatrust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Tai Yang Asset Management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Tinny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Tongxiao Investment Development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WATCHDOG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Foresight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Loyal Valley Capital Industrial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Shagnhai Zhongyu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International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WISDOM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Comein Finance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Foxon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Chengshi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Haiya Financial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Country Garden Venture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Bay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Commando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Kunhou Private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Eagle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Kwt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Zhichenghaiwei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China Alpha Investment Research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Zoomtrend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Shengyong Private Equity Fund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SCHRODERS GROUP 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BOCOM Schroder Wealth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Securities 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Suyin Financial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Jifeng Private Investment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Taikang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Tianhong Innovation Assets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Yixinan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Tiansun Investment Management Consulting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Silicon Paradise Asset Management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Dongcai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Hezhong Yisheng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SYNCICAP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Xincheng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Xinghua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Bank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Xingyin Financial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Symbol Investment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Minan Property and Casualty Insurance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Sunlight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Yimi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Infore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Yongan Guofu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Maxwealth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Finsights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MASTERLINK SECURITIES (HONG KONG) CORPORATION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Yuanxin (Zhuhai)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Yuanxin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Sino-Ocean Capital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Changan Xinsheng (Shenzhen) Financial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Greatwall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Changjiang Pension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Changjiang Securities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Changsheng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Changxin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Xuncent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Zheshang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Zhengzhou Yunshan Investment Management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Zhongdianke Investment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Internet Investment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PICC Asset Management Company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Pacific Insurance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Galaxy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Zhonghai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CICC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Zhongqingxinxin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Zhongrongding (Shenzhen)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Zhongrong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 International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 Samsung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Re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CSCI Capital Management Co., Ltd.</w:t>
      </w:r>
    </w:p>
    <w:p>
      <w:pPr>
        <w:spacing w:after="0" w:line="207"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November 2022 Investor Relation Activity of ACM Research (Shanghai), Inc. (“ACMSH”) (the “Record”) pursuant to the Current Report on Form 8-K reporting requirements of ACM Research,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SAPS and TEBO are trademarks of ACM Research, Inc. For convenience, these trademarks appear in the Record without ™ symbols, but that practice does not mean that ACM Research, Inc. will not assert, to the fullest extent under applicable law, its rights to the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decimal"/>
      <w:start w:val="104"/>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upperLetter"/>
      <w:start w:val="1"/>
    </w:lvl>
  </w:abstractNum>
  <w:abstractNum w:abstractNumId="6">
    <w:nsid w:val="DED7263"/>
    <w:multiLevelType w:val="hybridMultilevel"/>
    <w:lvl w:ilvl="0">
      <w:lvlJc w:val="left"/>
      <w:lvlText w:val="%1"/>
      <w:numFmt w:val="upperLetter"/>
      <w:start w:val="1"/>
    </w:lvl>
    <w:lvl w:ilvl="1">
      <w:lvlJc w:val="left"/>
      <w:lvlText w:val="%2."/>
      <w:numFmt w:val="decimal"/>
      <w:start w:val="9"/>
    </w:lvl>
  </w:abstractNum>
  <w:abstractNum w:abstractNumId="7">
    <w:nsid w:val="7FDCC233"/>
    <w:multiLevelType w:val="hybridMultilevel"/>
    <w:lvl w:ilvl="0">
      <w:lvlJc w:val="left"/>
      <w:lvlText w:val="%1:"/>
      <w:numFmt w:val="upperLetter"/>
      <w:start w:val="1"/>
    </w:lvl>
    <w:lvl w:ilvl="1">
      <w:lvlJc w:val="left"/>
      <w:lvlText w:val="%2."/>
      <w:numFmt w:val="decimal"/>
      <w:start w:val="10"/>
    </w:lvl>
  </w:abstractNum>
  <w:abstractNum w:abstractNumId="8">
    <w:nsid w:val="1BEFD79F"/>
    <w:multiLevelType w:val="hybridMultilevel"/>
    <w:lvl w:ilvl="0">
      <w:lvlJc w:val="left"/>
      <w:lvlText w:val="%1:"/>
      <w:numFmt w:val="upperLetter"/>
      <w:start w:val="1"/>
    </w:lvl>
    <w:lvl w:ilvl="1">
      <w:lvlJc w:val="left"/>
      <w:lvlText w:val="%2"/>
      <w:numFmt w:val="decimal"/>
      <w:start w:val="1"/>
    </w:lvl>
  </w:abstractNum>
  <w:abstractNum w:abstractNumId="9">
    <w:nsid w:val="41A7C4C9"/>
    <w:multiLevelType w:val="hybridMultilevel"/>
    <w:lvl w:ilvl="0">
      <w:lvlJc w:val="left"/>
      <w:lvlText w:val="%1"/>
      <w:numFmt w:val="upperLetter"/>
      <w:start w:val="1"/>
    </w:lvl>
    <w:lvl w:ilvl="1">
      <w:lvlJc w:val="left"/>
      <w:lvlText w:val="%2."/>
      <w:numFmt w:val="decimal"/>
      <w:start w:val="11"/>
    </w:lvl>
  </w:abstractNum>
  <w:abstractNum w:abstractNumId="10">
    <w:nsid w:val="6B68079A"/>
    <w:multiLevelType w:val="hybridMultilevel"/>
    <w:lvl w:ilvl="0">
      <w:lvlJc w:val="left"/>
      <w:lvlText w:val="%1:"/>
      <w:numFmt w:val="upperLetter"/>
      <w:start w:val="1"/>
    </w:lvl>
    <w:lvl w:ilvl="1">
      <w:lvlJc w:val="left"/>
      <w:lvlText w:val="%2."/>
      <w:numFmt w:val="decimal"/>
      <w:start w:val="12"/>
    </w:lvl>
  </w:abstractNum>
  <w:abstractNum w:abstractNumId="11">
    <w:nsid w:val="4E6AFB66"/>
    <w:multiLevelType w:val="hybridMultilevel"/>
    <w:lvl w:ilvl="0">
      <w:lvlJc w:val="left"/>
      <w:lvlText w:val="%1:"/>
      <w:numFmt w:val="upperLetter"/>
      <w:start w:val="1"/>
    </w:lvl>
  </w:abstractNum>
  <w:abstractNum w:abstractNumId="12">
    <w:nsid w:val="25E45D32"/>
    <w:multiLevelType w:val="hybridMultilevel"/>
    <w:lvl w:ilvl="0">
      <w:lvlJc w:val="left"/>
      <w:lvlText w:val="%1"/>
      <w:numFmt w:val="upperLetter"/>
      <w:start w:val="1"/>
    </w:lvl>
    <w:lvl w:ilvl="1">
      <w:lvlJc w:val="left"/>
      <w:lvlText w:val="%2."/>
      <w:numFmt w:val="decimal"/>
      <w:start w:val="13"/>
    </w:lvl>
  </w:abstractNum>
  <w:abstractNum w:abstractNumId="13">
    <w:nsid w:val="519B500D"/>
    <w:multiLevelType w:val="hybridMultilevel"/>
    <w:lvl w:ilvl="0">
      <w:lvlJc w:val="left"/>
      <w:lvlText w:val="%1:"/>
      <w:numFmt w:val="upperLetter"/>
      <w:start w:val="1"/>
    </w:lvl>
    <w:lvl w:ilvl="1">
      <w:lvlJc w:val="left"/>
      <w:lvlText w:val="%2."/>
      <w:numFmt w:val="decimal"/>
      <w:start w:val="14"/>
    </w:lvl>
  </w:abstractNum>
  <w:abstractNum w:abstractNumId="14">
    <w:nsid w:val="431BD7B7"/>
    <w:multiLevelType w:val="hybridMultilevel"/>
    <w:lvl w:ilvl="0">
      <w:lvlJc w:val="left"/>
      <w:lvlText w:val="%1:"/>
      <w:numFmt w:val="upperLetter"/>
      <w:start w:val="1"/>
    </w:lvl>
    <w:lvl w:ilvl="1">
      <w:lvlJc w:val="left"/>
      <w:lvlText w:val="%2."/>
      <w:numFmt w:val="decimal"/>
      <w:start w:val="15"/>
    </w:lvl>
  </w:abstractNum>
  <w:abstractNum w:abstractNumId="15">
    <w:nsid w:val="3F2DBA31"/>
    <w:multiLevelType w:val="hybridMultilevel"/>
    <w:lvl w:ilvl="0">
      <w:lvlJc w:val="left"/>
      <w:lvlText w:val="%1:"/>
      <w:numFmt w:val="upperLetter"/>
      <w:start w:val="1"/>
    </w:lvl>
    <w:lvl w:ilvl="1">
      <w:lvlJc w:val="left"/>
      <w:lvlText w:val="%2"/>
      <w:numFmt w:val="decimal"/>
      <w:start w:val="1"/>
    </w:lvl>
  </w:abstractNum>
  <w:abstractNum w:abstractNumId="16">
    <w:nsid w:val="7C83E458"/>
    <w:multiLevelType w:val="hybridMultilevel"/>
    <w:lvl w:ilvl="0">
      <w:lvlJc w:val="left"/>
      <w:lvlText w:val="%1"/>
      <w:numFmt w:val="upperLetter"/>
      <w:start w:val="1"/>
    </w:lvl>
    <w:lvl w:ilvl="1">
      <w:lvlJc w:val="left"/>
      <w:lvlText w:val="%2."/>
      <w:numFmt w:val="decimal"/>
      <w:start w:val="16"/>
    </w:lvl>
  </w:abstractNum>
  <w:abstractNum w:abstractNumId="17">
    <w:nsid w:val="257130A3"/>
    <w:multiLevelType w:val="hybridMultilevel"/>
    <w:lvl w:ilvl="0">
      <w:lvlJc w:val="left"/>
      <w:lvlText w:val="%1:"/>
      <w:numFmt w:val="upperLetter"/>
      <w:start w:val="1"/>
    </w:lvl>
    <w:lvl w:ilvl="1">
      <w:lvlJc w:val="left"/>
      <w:lvlText w:val="%2."/>
      <w:numFmt w:val="decimal"/>
      <w:start w:val="17"/>
    </w:lvl>
  </w:abstractNum>
  <w:abstractNum w:abstractNumId="18">
    <w:nsid w:val="62BBD95A"/>
    <w:multiLevelType w:val="hybridMultilevel"/>
    <w:lvl w:ilvl="0">
      <w:lvlJc w:val="left"/>
      <w:lvlText w:val="%1:"/>
      <w:numFmt w:val="upperLetter"/>
      <w:start w:val="1"/>
    </w:lvl>
    <w:lvl w:ilvl="1">
      <w:lvlJc w:val="left"/>
      <w:lvlText w:val="%2"/>
      <w:numFmt w:val="decimal"/>
      <w:start w:val="1"/>
    </w:lvl>
  </w:abstractNum>
  <w:abstractNum w:abstractNumId="19">
    <w:nsid w:val="436C6125"/>
    <w:multiLevelType w:val="hybridMultilevel"/>
    <w:lvl w:ilvl="0">
      <w:lvlJc w:val="left"/>
      <w:lvlText w:val="%1"/>
      <w:numFmt w:val="upperLetter"/>
      <w:start w:val="1"/>
    </w:lvl>
    <w:lvl w:ilvl="1">
      <w:lvlJc w:val="left"/>
      <w:lvlText w:val="%2."/>
      <w:numFmt w:val="decimal"/>
      <w:start w:val="18"/>
    </w:lvl>
  </w:abstractNum>
  <w:abstractNum w:abstractNumId="20">
    <w:nsid w:val="628C895D"/>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2022-12-09T16:21:31Z</dcterms:created>
  <dcterms:modified xsi:type="dcterms:W3CDTF">2022-12-09T16:21:31Z</dcterms:modified>
</cp:coreProperties>
</file>