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30,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29"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498"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Market</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30, 2023, we issued a press release entitled “ACM Research’s Operating Subsidiary ACM Research (Shanghai) Provides Preliminary Financial Results for Fiscal Year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full text of the press release is furnished as Exhibit 99.01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80" w:type="dxa"/>
            <w:vAlign w:val="bottom"/>
          </w:tcPr>
          <w:p>
            <w:pPr>
              <w:spacing w:after="0"/>
              <w:rPr>
                <w:sz w:val="20"/>
                <w:szCs w:val="20"/>
                <w:color w:val="auto"/>
              </w:rPr>
            </w:pPr>
          </w:p>
        </w:tc>
      </w:tr>
      <w:tr>
        <w:trPr>
          <w:trHeight w:val="439"/>
        </w:trPr>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86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01</w:t>
            </w:r>
          </w:p>
        </w:tc>
        <w:tc>
          <w:tcPr>
            <w:tcW w:w="30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ACM Research, Inc. dated January 30, 2023</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r>
        <w:trPr>
          <w:trHeight w:val="584"/>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2023</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5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Research’s Operating Subsidiary ACM Research (Shanghai) Provides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Financial Results for Fiscal Year 2022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FREMONT, Calif., Jan. 30, 2023 (GlobeNewswire) – </w:t>
      </w:r>
      <w:r>
        <w:rPr>
          <w:rFonts w:ascii="Times New Roman" w:cs="Times New Roman" w:eastAsia="Times New Roman" w:hAnsi="Times New Roman"/>
          <w:sz w:val="18"/>
          <w:szCs w:val="18"/>
          <w:color w:val="333333"/>
        </w:rPr>
        <w:t>ACM Research, Inc. (ACM) (NASDAQ: ACMR), a leading supplier of wafer processing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for semiconductor and advanced wafer-level packaging applications, </w:t>
      </w:r>
      <w:r>
        <w:rPr>
          <w:rFonts w:ascii="Times New Roman" w:cs="Times New Roman" w:eastAsia="Times New Roman" w:hAnsi="Times New Roman"/>
          <w:sz w:val="18"/>
          <w:szCs w:val="18"/>
          <w:color w:val="000000"/>
        </w:rPr>
        <w:t>today announced that its operating subsidiary ACM Research (Shanghai), Inc. (“ACM</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Shanghai”) posted preliminary unaudited financial results for the year ended December 31, 2022 on the Shanghai Stock Exchange website [</w:t>
      </w:r>
      <w:r>
        <w:rPr>
          <w:rFonts w:ascii="Times New Roman" w:cs="Times New Roman" w:eastAsia="Times New Roman" w:hAnsi="Times New Roman"/>
          <w:sz w:val="18"/>
          <w:szCs w:val="18"/>
          <w:u w:val="single" w:color="auto"/>
          <w:color w:val="000000"/>
        </w:rPr>
        <w:t>link to China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Disclosure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ACM Shanghai Preliminary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ACM Shanghai’s preliminary revenue, net profit, and total shipments for 2022 are as follows. All figures are determined in accordance with the Accounting Standards for Business Enterprises under Chinese generally accepted accounting principles (“Chinese GAAP”).</w:t>
      </w:r>
    </w:p>
    <w:p>
      <w:pPr>
        <w:spacing w:after="0" w:line="16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ACM Shanghai is expected to be in a range of RMB 2.70 billion to RMB 2.90 billion versus revenue of RMB 1.62 billion in 2021.</w:t>
      </w:r>
    </w:p>
    <w:p>
      <w:pPr>
        <w:spacing w:after="0" w:line="225"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attributable to the shareholders of ACM Shanghai is expected to be in a range of RMB 600.0 million to RMB 720.0 million versus net profit of RMB 266.2 million in 2021. Net profit excluding certain non-operating items attributable to the shareholders of ACM Shanghai is expected to be in a range of RMB 620.0 million to RMB 740.0 million versus RMB 194.7 million in 2021.</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shipments are expected to be in a range of RMB 3.88 billion to RMB 3.96 billion versus total shipments of RMB 2.41 billion in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2022 results of ACM Shanghai are subject to the completion of ACM Shanghai’s quarter end closing procedures.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ACM currently owns an 82.5% equity interest in ACM Shanghai, and a substantial majority of ACM’s consolidated revenue and net profit is contributed by ACM Shanghai. The stand-alone financial results of ACM Shanghai are reported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Dates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ACM and its operating subsidiary ACM Shanghai both plan to release financial results for the fourth quarter and fiscal year 2022 on Friday, February 24, 2023. ACM plans to release its results before the U.S. market open, and ACM Shanghai plans to release its results after the market close in China.</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ACM plans to conduct a corresponding conference call at 8:00 a.m. U.S. Eastern Time (9:00 p.m. China Time) to discuss the results. Details of the conference call will be released at a later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Information presented in this press release includes forward-looking statements for purposes of the safe harbor provisions of the Private Securities Litigation Reform Act of 1995. All statements contained in this press release that do not relate to matters of historical fact should be considered forward-looking statements. The preliminary financial results included in this press release are unaudited and remain subject to review and adjustment.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and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6" w:lineRule="exact"/>
        <w:rPr>
          <w:sz w:val="20"/>
          <w:szCs w:val="20"/>
          <w:color w:val="auto"/>
        </w:rPr>
      </w:pPr>
    </w:p>
    <w:p>
      <w:pPr>
        <w:ind w:right="380" w:firstLine="8"/>
        <w:spacing w:after="0" w:line="282"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are trademarks of ACM Research, Inc. For convenience, these trademarks appear in this press release without ™ symbols, but that practice does not mean that ACM will not assert, to the fullest extent under applicable law, its rights to such trademarks.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yujia@blueshirtgroup.com</w:t>
            </w:r>
          </w:p>
        </w:tc>
      </w:tr>
      <w:tr>
        <w:trPr>
          <w:trHeight w:val="392"/>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6"/>
        </w:trPr>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533"/>
        </w:trPr>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2023-01-30T16:43:47Z</dcterms:created>
  <dcterms:modified xsi:type="dcterms:W3CDTF">2023-01-30T16:43:47Z</dcterms:modified>
</cp:coreProperties>
</file>