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19, 2025</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November 2025 Investor Relations Activity (the “Record”). The SSE posted the Record to the SSE’s website on November 19, 2025. A copy of the Record is attached as Exhibit 99.1 hereto.</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09" w:lineRule="exact"/>
        <w:rPr>
          <w:sz w:val="20"/>
          <w:szCs w:val="20"/>
          <w:color w:val="auto"/>
        </w:rPr>
      </w:pPr>
    </w:p>
    <w:p>
      <w:pPr>
        <w:ind w:left="200"/>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Record of November 2025 Investor Relations Activity filed by ACM Research (Shanghai), Inc. with the Shanghai Stock Exchange on</w:t>
      </w:r>
    </w:p>
    <w:p>
      <w:pPr>
        <w:spacing w:after="0" w:line="16" w:lineRule="exact"/>
        <w:rPr>
          <w:sz w:val="20"/>
          <w:szCs w:val="20"/>
          <w:color w:val="auto"/>
        </w:rPr>
      </w:pPr>
    </w:p>
    <w:p>
      <w:pPr>
        <w:ind w:left="28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November 19, 2025</w:t>
      </w:r>
    </w:p>
    <w:p>
      <w:pPr>
        <w:spacing w:after="0" w:line="97" w:lineRule="exact"/>
        <w:rPr>
          <w:sz w:val="20"/>
          <w:szCs w:val="20"/>
          <w:color w:val="auto"/>
        </w:rPr>
      </w:pPr>
    </w:p>
    <w:p>
      <w:pPr>
        <w:ind w:left="1220" w:hanging="922"/>
        <w:spacing w:after="0"/>
        <w:tabs>
          <w:tab w:leader="none" w:pos="1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w:t>
      </w:r>
    </w:p>
    <w:p>
      <w:pPr>
        <w:spacing w:after="0" w:line="2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Stock Code: 688082 Short Name: ACMSH</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ACM Research (Shanghai), Inc.</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Records of Investor Relation Activities</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3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No.: 2025-04</w:t>
            </w:r>
          </w:p>
        </w:tc>
      </w:tr>
      <w:tr>
        <w:trPr>
          <w:trHeight w:val="325"/>
        </w:trPr>
        <w:tc>
          <w:tcPr>
            <w:tcW w:w="32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gridSpan w:val="2"/>
          </w:tcPr>
          <w:p>
            <w:pPr>
              <w:spacing w:after="0"/>
              <w:rPr>
                <w:sz w:val="24"/>
                <w:szCs w:val="24"/>
                <w:color w:val="auto"/>
              </w:rPr>
            </w:pPr>
          </w:p>
        </w:tc>
      </w:tr>
      <w:tr>
        <w:trPr>
          <w:trHeight w:val="343"/>
        </w:trPr>
        <w:tc>
          <w:tcPr>
            <w:tcW w:w="3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Type of investor relation</w:t>
            </w:r>
          </w:p>
        </w:tc>
        <w:tc>
          <w:tcPr>
            <w:tcW w:w="80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 Targeted investor research  □ Analyst meeting</w:t>
            </w:r>
          </w:p>
        </w:tc>
      </w:tr>
      <w:tr>
        <w:trPr>
          <w:trHeight w:val="364"/>
        </w:trPr>
        <w:tc>
          <w:tcPr>
            <w:tcW w:w="3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activities</w:t>
            </w:r>
          </w:p>
        </w:tc>
        <w:tc>
          <w:tcPr>
            <w:tcW w:w="1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 Media interview</w:t>
            </w:r>
          </w:p>
        </w:tc>
        <w:tc>
          <w:tcPr>
            <w:tcW w:w="6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 Earnings Call</w:t>
            </w:r>
          </w:p>
        </w:tc>
      </w:tr>
      <w:tr>
        <w:trPr>
          <w:trHeight w:val="378"/>
        </w:trPr>
        <w:tc>
          <w:tcPr>
            <w:tcW w:w="326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 Press conference</w:t>
            </w:r>
          </w:p>
        </w:tc>
        <w:tc>
          <w:tcPr>
            <w:tcW w:w="62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2"/>
                <w:szCs w:val="22"/>
                <w:color w:val="auto"/>
              </w:rPr>
              <w:t>□ Roadshow</w:t>
            </w:r>
          </w:p>
        </w:tc>
      </w:tr>
      <w:tr>
        <w:trPr>
          <w:trHeight w:val="378"/>
        </w:trPr>
        <w:tc>
          <w:tcPr>
            <w:tcW w:w="3260" w:type="dxa"/>
            <w:vAlign w:val="bottom"/>
            <w:tcBorders>
              <w:left w:val="single" w:sz="8" w:color="auto"/>
              <w:right w:val="single" w:sz="8" w:color="auto"/>
            </w:tcBorders>
          </w:tcPr>
          <w:p>
            <w:pPr>
              <w:spacing w:after="0"/>
              <w:rPr>
                <w:sz w:val="24"/>
                <w:szCs w:val="24"/>
                <w:color w:val="auto"/>
              </w:rPr>
            </w:pPr>
          </w:p>
        </w:tc>
        <w:tc>
          <w:tcPr>
            <w:tcW w:w="80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 On-site visit  □ Others</w:t>
            </w:r>
          </w:p>
        </w:tc>
      </w:tr>
      <w:tr>
        <w:trPr>
          <w:trHeight w:val="83"/>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8000" w:type="dxa"/>
            <w:vAlign w:val="bottom"/>
            <w:tcBorders>
              <w:bottom w:val="single" w:sz="8" w:color="auto"/>
              <w:right w:val="single" w:sz="8" w:color="auto"/>
            </w:tcBorders>
            <w:gridSpan w:val="2"/>
          </w:tcPr>
          <w:p>
            <w:pPr>
              <w:spacing w:after="0"/>
              <w:rPr>
                <w:sz w:val="7"/>
                <w:szCs w:val="7"/>
                <w:color w:val="auto"/>
              </w:rPr>
            </w:pPr>
          </w:p>
        </w:tc>
      </w:tr>
      <w:tr>
        <w:trPr>
          <w:trHeight w:val="343"/>
        </w:trPr>
        <w:tc>
          <w:tcPr>
            <w:tcW w:w="3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Date</w:t>
            </w:r>
          </w:p>
        </w:tc>
        <w:tc>
          <w:tcPr>
            <w:tcW w:w="80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November 13, 2025</w:t>
            </w:r>
          </w:p>
        </w:tc>
      </w:tr>
      <w:tr>
        <w:trPr>
          <w:trHeight w:val="83"/>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6260" w:type="dxa"/>
            <w:vAlign w:val="bottom"/>
            <w:tcBorders>
              <w:bottom w:val="single" w:sz="8" w:color="auto"/>
              <w:right w:val="single" w:sz="8" w:color="auto"/>
            </w:tcBorders>
          </w:tcPr>
          <w:p>
            <w:pPr>
              <w:spacing w:after="0"/>
              <w:rPr>
                <w:sz w:val="7"/>
                <w:szCs w:val="7"/>
                <w:color w:val="auto"/>
              </w:rPr>
            </w:pPr>
          </w:p>
        </w:tc>
      </w:tr>
      <w:tr>
        <w:trPr>
          <w:trHeight w:val="343"/>
        </w:trPr>
        <w:tc>
          <w:tcPr>
            <w:tcW w:w="3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Venue</w:t>
            </w:r>
          </w:p>
        </w:tc>
        <w:tc>
          <w:tcPr>
            <w:tcW w:w="1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Conference call</w:t>
            </w:r>
          </w:p>
        </w:tc>
        <w:tc>
          <w:tcPr>
            <w:tcW w:w="6260" w:type="dxa"/>
            <w:vAlign w:val="bottom"/>
            <w:tcBorders>
              <w:right w:val="single" w:sz="8" w:color="auto"/>
            </w:tcBorders>
          </w:tcPr>
          <w:p>
            <w:pPr>
              <w:spacing w:after="0"/>
              <w:rPr>
                <w:sz w:val="24"/>
                <w:szCs w:val="24"/>
                <w:color w:val="auto"/>
              </w:rPr>
            </w:pPr>
          </w:p>
        </w:tc>
      </w:tr>
      <w:tr>
        <w:trPr>
          <w:trHeight w:val="83"/>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8000" w:type="dxa"/>
            <w:vAlign w:val="bottom"/>
            <w:tcBorders>
              <w:bottom w:val="single" w:sz="8" w:color="auto"/>
              <w:right w:val="single" w:sz="8" w:color="auto"/>
            </w:tcBorders>
            <w:gridSpan w:val="2"/>
          </w:tcPr>
          <w:p>
            <w:pPr>
              <w:spacing w:after="0"/>
              <w:rPr>
                <w:sz w:val="7"/>
                <w:szCs w:val="7"/>
                <w:color w:val="auto"/>
              </w:rPr>
            </w:pPr>
          </w:p>
        </w:tc>
      </w:tr>
      <w:tr>
        <w:trPr>
          <w:trHeight w:val="343"/>
        </w:trPr>
        <w:tc>
          <w:tcPr>
            <w:tcW w:w="3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Representatives of the listed</w:t>
            </w:r>
          </w:p>
        </w:tc>
        <w:tc>
          <w:tcPr>
            <w:tcW w:w="80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Chairman: HUI WANG</w:t>
            </w:r>
          </w:p>
        </w:tc>
      </w:tr>
      <w:tr>
        <w:trPr>
          <w:trHeight w:val="365"/>
        </w:trPr>
        <w:tc>
          <w:tcPr>
            <w:tcW w:w="3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80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General Manager: JIAN WANG</w:t>
            </w:r>
          </w:p>
        </w:tc>
      </w:tr>
      <w:tr>
        <w:trPr>
          <w:trHeight w:val="378"/>
        </w:trPr>
        <w:tc>
          <w:tcPr>
            <w:tcW w:w="3260" w:type="dxa"/>
            <w:vAlign w:val="bottom"/>
            <w:tcBorders>
              <w:left w:val="single" w:sz="8" w:color="auto"/>
              <w:right w:val="single" w:sz="8" w:color="auto"/>
            </w:tcBorders>
          </w:tcPr>
          <w:p>
            <w:pPr>
              <w:spacing w:after="0"/>
              <w:rPr>
                <w:sz w:val="24"/>
                <w:szCs w:val="24"/>
                <w:color w:val="auto"/>
              </w:rPr>
            </w:pPr>
          </w:p>
        </w:tc>
        <w:tc>
          <w:tcPr>
            <w:tcW w:w="80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Chief Financial Officer: LISA YI LU FENG</w:t>
            </w:r>
          </w:p>
        </w:tc>
      </w:tr>
      <w:tr>
        <w:trPr>
          <w:trHeight w:val="378"/>
        </w:trPr>
        <w:tc>
          <w:tcPr>
            <w:tcW w:w="3260" w:type="dxa"/>
            <w:vAlign w:val="bottom"/>
            <w:tcBorders>
              <w:left w:val="single" w:sz="8" w:color="auto"/>
              <w:right w:val="single" w:sz="8" w:color="auto"/>
            </w:tcBorders>
          </w:tcPr>
          <w:p>
            <w:pPr>
              <w:spacing w:after="0"/>
              <w:rPr>
                <w:sz w:val="24"/>
                <w:szCs w:val="24"/>
                <w:color w:val="auto"/>
              </w:rPr>
            </w:pPr>
          </w:p>
        </w:tc>
        <w:tc>
          <w:tcPr>
            <w:tcW w:w="80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Board Secretary: MINGZHU LUO</w:t>
            </w:r>
          </w:p>
        </w:tc>
      </w:tr>
      <w:tr>
        <w:trPr>
          <w:trHeight w:val="83"/>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626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1604176392.2</w:t>
      </w:r>
    </w:p>
    <w:p>
      <w:pPr>
        <w:sectPr>
          <w:pgSz w:w="11900" w:h="16838" w:orient="portrait"/>
          <w:cols w:equalWidth="0" w:num="1">
            <w:col w:w="11260"/>
          </w:cols>
          <w:pgMar w:left="320" w:top="172" w:right="319" w:bottom="1440" w:gutter="0" w:footer="0" w:header="0"/>
        </w:sectPr>
      </w:pPr>
    </w:p>
    <w:bookmarkStart w:id="4" w:name="page5"/>
    <w:bookmarkEnd w:id="4"/>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39370</wp:posOffset>
            </wp:positionV>
            <wp:extent cx="7140575" cy="10309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030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200" w:right="20"/>
        <w:spacing w:after="0" w:line="374" w:lineRule="auto"/>
        <w:rPr>
          <w:sz w:val="20"/>
          <w:szCs w:val="20"/>
          <w:color w:val="auto"/>
        </w:rPr>
      </w:pPr>
      <w:r>
        <w:rPr>
          <w:rFonts w:ascii="Times New Roman" w:cs="Times New Roman" w:eastAsia="Times New Roman" w:hAnsi="Times New Roman"/>
          <w:sz w:val="22"/>
          <w:szCs w:val="22"/>
          <w:b w:val="1"/>
          <w:bCs w:val="1"/>
          <w:color w:val="auto"/>
        </w:rPr>
        <w:t xml:space="preserve">I. Company Introduction: </w:t>
      </w:r>
      <w:r>
        <w:rPr>
          <w:rFonts w:ascii="Times New Roman" w:cs="Times New Roman" w:eastAsia="Times New Roman" w:hAnsi="Times New Roman"/>
          <w:sz w:val="22"/>
          <w:szCs w:val="22"/>
          <w:color w:val="auto"/>
        </w:rPr>
        <w:t>Management of the ACM Research (Shanghai), Inc.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gave a brief introduction to the results and financial performance of the Company for the third quarter of 2025 and answered questions raised by investors.</w:t>
      </w:r>
    </w:p>
    <w:p>
      <w:pPr>
        <w:spacing w:after="0" w:line="18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II. Q&amp;A</w:t>
      </w:r>
    </w:p>
    <w:p>
      <w:pPr>
        <w:spacing w:after="0" w:line="116" w:lineRule="exact"/>
        <w:rPr>
          <w:sz w:val="20"/>
          <w:szCs w:val="20"/>
          <w:color w:val="auto"/>
        </w:rPr>
      </w:pPr>
    </w:p>
    <w:p>
      <w:pPr>
        <w:ind w:left="2200" w:firstLine="9"/>
        <w:spacing w:after="0" w:line="361" w:lineRule="auto"/>
        <w:tabs>
          <w:tab w:leader="none" w:pos="2436"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the breakdown between memory and logic in the Company’s disclosed order backlog? What is the delivery lead time for these orders?</w:t>
      </w:r>
    </w:p>
    <w:p>
      <w:pPr>
        <w:ind w:left="2200" w:right="20"/>
        <w:spacing w:after="0" w:line="39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Based on our sales performance this year, memory accounts for a higher portion of our order backlog compared with logic. The average delivery lead time for these orders is around 6 months.</w:t>
      </w:r>
    </w:p>
    <w:p>
      <w:pPr>
        <w:spacing w:after="0" w:line="170" w:lineRule="exact"/>
        <w:rPr>
          <w:rFonts w:ascii="Times New Roman" w:cs="Times New Roman" w:eastAsia="Times New Roman" w:hAnsi="Times New Roman"/>
          <w:sz w:val="20"/>
          <w:szCs w:val="20"/>
          <w:b w:val="1"/>
          <w:bCs w:val="1"/>
          <w:color w:val="auto"/>
        </w:rPr>
      </w:pPr>
    </w:p>
    <w:p>
      <w:pPr>
        <w:jc w:val="both"/>
        <w:ind w:left="2200" w:firstLine="9"/>
        <w:spacing w:after="0" w:line="362" w:lineRule="auto"/>
        <w:tabs>
          <w:tab w:leader="none" w:pos="239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 progress in the Company’s cleaning equipment business and optimization of business structures such as memory, which products are expected to see increased demand in the future?</w:t>
      </w:r>
    </w:p>
    <w:p>
      <w:pPr>
        <w:spacing w:after="0" w:line="2" w:lineRule="exact"/>
        <w:rPr>
          <w:rFonts w:ascii="Times New Roman" w:cs="Times New Roman" w:eastAsia="Times New Roman" w:hAnsi="Times New Roman"/>
          <w:sz w:val="20"/>
          <w:szCs w:val="20"/>
          <w:b w:val="1"/>
          <w:bCs w:val="1"/>
          <w:color w:val="auto"/>
        </w:rPr>
      </w:pPr>
    </w:p>
    <w:p>
      <w:pPr>
        <w:jc w:val="both"/>
        <w:ind w:left="2200" w:right="20"/>
        <w:spacing w:after="0" w:line="35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For 3D NAND, our cleaning equipment now provides near-full process coverage, with only a few remaining steps undergoing validation. Our Ultra C wb wet cleaning system has also been significantly upgraded with our patented nitrogen bubbling technology, which enhances wet-etch uniformity and reduces secondary by-product deposition. We believe this technology has strong application potential next generation 3D NAND, 3D DRAM, and 3D logic devices, and expect it to support a steadily expanding market opportunity.</w:t>
      </w:r>
    </w:p>
    <w:p>
      <w:pPr>
        <w:spacing w:after="0" w:line="1" w:lineRule="exact"/>
        <w:rPr>
          <w:rFonts w:ascii="Times New Roman" w:cs="Times New Roman" w:eastAsia="Times New Roman" w:hAnsi="Times New Roman"/>
          <w:sz w:val="20"/>
          <w:szCs w:val="20"/>
          <w:b w:val="1"/>
          <w:bCs w:val="1"/>
          <w:color w:val="auto"/>
        </w:rPr>
      </w:pPr>
    </w:p>
    <w:p>
      <w:pPr>
        <w:jc w:val="both"/>
        <w:ind w:left="2200" w:right="20"/>
        <w:spacing w:after="0" w:line="3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DRAM, our proprietary SAPS technology is currently applied at the 28nm logic node, advanced DRAM nodes, and has been stably adopted across nearly 30 process steps on SK Hynix production lines.</w:t>
      </w:r>
    </w:p>
    <w:p>
      <w:pPr>
        <w:spacing w:after="0" w:line="1" w:lineRule="exact"/>
        <w:rPr>
          <w:rFonts w:ascii="Times New Roman" w:cs="Times New Roman" w:eastAsia="Times New Roman" w:hAnsi="Times New Roman"/>
          <w:sz w:val="20"/>
          <w:szCs w:val="20"/>
          <w:b w:val="1"/>
          <w:bCs w:val="1"/>
          <w:color w:val="auto"/>
        </w:rPr>
      </w:pPr>
    </w:p>
    <w:p>
      <w:pPr>
        <w:jc w:val="both"/>
        <w:ind w:left="2200" w:right="20"/>
        <w:spacing w:after="0" w:line="3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high-temperature sulfuric-acid cleaning, our patented nozzle design enables particle-removal performance down to 19nm, with particle counts reduced to single digits. This improves customer yields and significantly lowers maintenance requirements by eliminating the need for external chamber cleaning. We believe this product is globally industry-leading. We have also defined a performance-enhancement roadmap to further extend particle-size capability to 17nm, 15nm, and</w:t>
      </w:r>
    </w:p>
    <w:p>
      <w:pPr>
        <w:spacing w:after="0" w:line="4" w:lineRule="exact"/>
        <w:rPr>
          <w:rFonts w:ascii="Times New Roman" w:cs="Times New Roman" w:eastAsia="Times New Roman" w:hAnsi="Times New Roman"/>
          <w:sz w:val="20"/>
          <w:szCs w:val="20"/>
          <w:b w:val="1"/>
          <w:bCs w:val="1"/>
          <w:color w:val="auto"/>
        </w:rPr>
      </w:pPr>
    </w:p>
    <w:p>
      <w:pPr>
        <w:ind w:left="22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even 13nm to support future advanced nodes.</w:t>
      </w:r>
    </w:p>
    <w:p>
      <w:pPr>
        <w:spacing w:after="0" w:line="45" w:lineRule="exact"/>
        <w:rPr>
          <w:rFonts w:ascii="Times New Roman" w:cs="Times New Roman" w:eastAsia="Times New Roman" w:hAnsi="Times New Roman"/>
          <w:sz w:val="20"/>
          <w:szCs w:val="20"/>
          <w:b w:val="1"/>
          <w:bCs w:val="1"/>
          <w:color w:val="auto"/>
        </w:rPr>
      </w:pPr>
    </w:p>
    <w:p>
      <w:pPr>
        <w:jc w:val="both"/>
        <w:ind w:left="2200"/>
        <w:spacing w:after="0" w:line="33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supercritical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drying and cleaning, our self-developed system has reached a world-leading performance level. Its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consumption is more than 40% lower than comparable international systems, significantly reducing customers’ consumable costs. We are confident in the system’s competitiveness and expect it to capture meaningful market share.</w:t>
      </w:r>
    </w:p>
    <w:p>
      <w:pPr>
        <w:spacing w:after="0" w:line="3" w:lineRule="exact"/>
        <w:rPr>
          <w:rFonts w:ascii="Times New Roman" w:cs="Times New Roman" w:eastAsia="Times New Roman" w:hAnsi="Times New Roman"/>
          <w:sz w:val="20"/>
          <w:szCs w:val="20"/>
          <w:b w:val="1"/>
          <w:bCs w:val="1"/>
          <w:color w:val="auto"/>
        </w:rPr>
      </w:pPr>
    </w:p>
    <w:p>
      <w:pPr>
        <w:jc w:val="both"/>
        <w:ind w:left="2200"/>
        <w:spacing w:after="0" w:line="3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Our furnace systems continue to make solid progress in customer expansion. As of September 30, 2025, we had secured 18 furnace customers. We expect incremental revenue contributions from furnace in future periods.</w:t>
      </w:r>
    </w:p>
    <w:p>
      <w:pPr>
        <w:spacing w:after="0" w:line="2" w:lineRule="exact"/>
        <w:rPr>
          <w:rFonts w:ascii="Times New Roman" w:cs="Times New Roman" w:eastAsia="Times New Roman" w:hAnsi="Times New Roman"/>
          <w:sz w:val="20"/>
          <w:szCs w:val="20"/>
          <w:b w:val="1"/>
          <w:bCs w:val="1"/>
          <w:color w:val="auto"/>
        </w:rPr>
      </w:pPr>
    </w:p>
    <w:p>
      <w:pPr>
        <w:jc w:val="both"/>
        <w:ind w:left="2200" w:right="20"/>
        <w:spacing w:after="0" w:line="37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Looking ahead, we will continue to pursue breakthroughs in process technologies and customer validation, further strengthening our market competitiveness. We remain committed to advancing next-generation wafer- and panel-level packaging technologies globally and contributing to the development of the global AI semiconductor industry.</w:t>
      </w:r>
    </w:p>
    <w:p>
      <w:pPr>
        <w:spacing w:after="0" w:line="193" w:lineRule="exact"/>
        <w:rPr>
          <w:rFonts w:ascii="Times New Roman" w:cs="Times New Roman" w:eastAsia="Times New Roman" w:hAnsi="Times New Roman"/>
          <w:sz w:val="20"/>
          <w:szCs w:val="20"/>
          <w:b w:val="1"/>
          <w:bCs w:val="1"/>
          <w:color w:val="auto"/>
        </w:rPr>
      </w:pPr>
    </w:p>
    <w:p>
      <w:pPr>
        <w:jc w:val="both"/>
        <w:ind w:left="2200" w:firstLine="9"/>
        <w:spacing w:after="0" w:line="362" w:lineRule="auto"/>
        <w:tabs>
          <w:tab w:leader="none" w:pos="2423"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From the perspective of new order intake, what is the current status of the Company’s order backlog? What is the outlook for next year? Which types of customers are expected to contribute more to order growth ?</w:t>
      </w:r>
    </w:p>
    <w:p>
      <w:pPr>
        <w:spacing w:after="0" w:line="2" w:lineRule="exact"/>
        <w:rPr>
          <w:rFonts w:ascii="Times New Roman" w:cs="Times New Roman" w:eastAsia="Times New Roman" w:hAnsi="Times New Roman"/>
          <w:sz w:val="20"/>
          <w:szCs w:val="20"/>
          <w:b w:val="1"/>
          <w:bCs w:val="1"/>
          <w:color w:val="auto"/>
        </w:rPr>
      </w:pPr>
    </w:p>
    <w:p>
      <w:pPr>
        <w:jc w:val="both"/>
        <w:ind w:left="2200" w:right="20"/>
        <w:spacing w:after="0" w:line="3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According to our disclosure on September 30, our order backlog as of September 29, 2025 amounted to approximately RMB 9.072 billion, representing a 34.10% year-on-year increase</w:t>
      </w:r>
    </w:p>
    <w:p>
      <w:pPr>
        <w:sectPr>
          <w:pgSz w:w="11900" w:h="17038" w:orient="portrait"/>
          <w:cols w:equalWidth="0" w:num="1">
            <w:col w:w="10060"/>
          </w:cols>
          <w:pgMar w:left="1440" w:top="172" w:right="399" w:bottom="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9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390" w:lineRule="auto"/>
        <w:rPr>
          <w:sz w:val="20"/>
          <w:szCs w:val="20"/>
          <w:color w:val="auto"/>
        </w:rPr>
      </w:pPr>
      <w:r>
        <w:rPr>
          <w:rFonts w:ascii="Times New Roman" w:cs="Times New Roman" w:eastAsia="Times New Roman" w:hAnsi="Times New Roman"/>
          <w:sz w:val="22"/>
          <w:szCs w:val="22"/>
          <w:b w:val="1"/>
          <w:bCs w:val="1"/>
          <w:color w:val="auto"/>
        </w:rPr>
        <w:t>Summary of investor relation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compared with the voluntarily disclosed backlog for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5029200</wp:posOffset>
            </wp:positionH>
            <wp:positionV relativeFrom="paragraph">
              <wp:posOffset>-233680</wp:posOffset>
            </wp:positionV>
            <wp:extent cx="825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051560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-233680</wp:posOffset>
            </wp:positionV>
            <wp:extent cx="889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0515600"/>
                    </a:xfrm>
                    <a:prstGeom prst="rect">
                      <a:avLst/>
                    </a:prstGeom>
                    <a:noFill/>
                  </pic:spPr>
                </pic:pic>
              </a:graphicData>
            </a:graphic>
          </wp:anchor>
        </w:drawing>
      </w:r>
    </w:p>
    <w:p>
      <w:pPr>
        <w:spacing w:after="0" w:line="88"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0"/>
          <w:szCs w:val="20"/>
          <w:color w:val="auto"/>
        </w:rPr>
        <w:t>Looking ahead to next year, we expect to continue delivering growth in both output and revenue. On the supply side, we are achieving continued breakthroughs in single-wafer high-temperature cleaning as well as medium- and low-temperature sulfuric-acid cleaning. On the demand side, we believe the ongoing investments of China’s memory and logic industries will drive continued demand for our tools.</w:t>
      </w:r>
    </w:p>
    <w:p>
      <w:pPr>
        <w:spacing w:after="0" w:line="3"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0"/>
          <w:szCs w:val="20"/>
          <w:color w:val="auto"/>
        </w:rPr>
        <w:t>For new equipment, we see additional growth opportunities for our electroplating. Furnace systems—leveraging our world-first ultra-high temperature capability (above 1,250°C)—are expected to drive increasing contributions in the IGBT sector. We also expect meaningful progress in LPCVD and vertical-furnace ALD systems. For Track systems, we expect to continue securing additional customers, supporting our growth objectives. For PECVD, we expect the shipment of two systems by year-end.</w:t>
      </w:r>
    </w:p>
    <w:p>
      <w:pPr>
        <w:spacing w:after="0" w:line="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We have also introduced the world’s first panel-level horizontal electroplating system, highlighting ACM’s differentiated technology advantages. This system is expected to be shipped to customers in the near term. Overall, we expect our new equipment portfolio to contribute meaningfully to our shipments next year.</w:t>
      </w:r>
    </w:p>
    <w:p>
      <w:pPr>
        <w:spacing w:after="0" w:line="194" w:lineRule="exact"/>
        <w:rPr>
          <w:sz w:val="20"/>
          <w:szCs w:val="20"/>
          <w:color w:val="auto"/>
        </w:rPr>
      </w:pPr>
    </w:p>
    <w:p>
      <w:pPr>
        <w:ind w:right="20" w:firstLine="9"/>
        <w:spacing w:after="0" w:line="361" w:lineRule="auto"/>
        <w:tabs>
          <w:tab w:leader="none" w:pos="205"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gross margin of some equipment companies experienced quarter-on-quarter pressure in Q3. What is the Company’s view on this?</w:t>
      </w:r>
    </w:p>
    <w:p>
      <w:pPr>
        <w:jc w:val="both"/>
        <w:ind w:right="20"/>
        <w:spacing w:after="0" w:line="3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Gross margin is an important indicator of a company’s overall competitiveness. Our core strengths lie in our globally proprietary equipment technologies and our differentiated competitive positioning. We expect our gross margin to remain in the 42%-48% range on a sustainable basis. Going forward, we will continue advancing technology upgrades and product innovation, addressing customers’ process challenges, and strengthening our competitive moat, thereby supporting healthy and stable gross margin performance.</w:t>
      </w:r>
    </w:p>
    <w:p>
      <w:pPr>
        <w:spacing w:after="0" w:line="200" w:lineRule="exact"/>
        <w:rPr>
          <w:rFonts w:ascii="Times New Roman" w:cs="Times New Roman" w:eastAsia="Times New Roman" w:hAnsi="Times New Roman"/>
          <w:sz w:val="20"/>
          <w:szCs w:val="20"/>
          <w:b w:val="1"/>
          <w:bCs w:val="1"/>
          <w:color w:val="auto"/>
        </w:rPr>
      </w:pPr>
    </w:p>
    <w:p>
      <w:pPr>
        <w:jc w:val="both"/>
        <w:ind w:firstLine="9"/>
        <w:spacing w:after="0" w:line="362" w:lineRule="auto"/>
        <w:tabs>
          <w:tab w:leader="none" w:pos="203"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Based on customer interactions, have you observed a clear trend of increasing adoption of domestic Chinese equipment in logic and memory, especially DRAM? Also, does the Company expect to capture greater market share internationally?</w:t>
      </w:r>
    </w:p>
    <w:p>
      <w:pPr>
        <w:spacing w:after="0" w:line="2" w:lineRule="exact"/>
        <w:rPr>
          <w:rFonts w:ascii="Times New Roman" w:cs="Times New Roman" w:eastAsia="Times New Roman" w:hAnsi="Times New Roman"/>
          <w:sz w:val="20"/>
          <w:szCs w:val="20"/>
          <w:b w:val="1"/>
          <w:bCs w:val="1"/>
          <w:color w:val="auto"/>
        </w:rPr>
      </w:pPr>
    </w:p>
    <w:p>
      <w:pPr>
        <w:jc w:val="both"/>
        <w:spacing w:after="0" w:line="3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We have observed increasing customer shifts toward domestic equipment. As the quality and performance of domestic tools continue to improve, we believe customer adoption will continue to rise next year. Internationally, we remain committed to long-term market development. Supported by differentiated technologies and globally competitive products, we will continue to promote our equipment in international markets, expand our global market share, and contribute to the development of the worldwide semiconductor industry.</w:t>
      </w:r>
    </w:p>
    <w:p>
      <w:pPr>
        <w:spacing w:after="0" w:line="217" w:lineRule="exact"/>
        <w:rPr>
          <w:rFonts w:ascii="Times New Roman" w:cs="Times New Roman" w:eastAsia="Times New Roman" w:hAnsi="Times New Roman"/>
          <w:sz w:val="20"/>
          <w:szCs w:val="20"/>
          <w:b w:val="1"/>
          <w:bCs w:val="1"/>
          <w:color w:val="auto"/>
        </w:rPr>
      </w:pPr>
    </w:p>
    <w:p>
      <w:pPr>
        <w:ind w:firstLine="9"/>
        <w:spacing w:after="0" w:line="361" w:lineRule="auto"/>
        <w:tabs>
          <w:tab w:leader="none" w:pos="2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Looking ahead to next year, where will the primary demand for advanced packaging come from?</w:t>
      </w:r>
    </w:p>
    <w:p>
      <w:pPr>
        <w:jc w:val="both"/>
        <w:ind w:right="20"/>
        <w:spacing w:after="0" w:line="36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Based on current market trends, we believe demand for advanced packaging will continue to increase. Our advanced packaging equipment performed well in Q3, and we expect this momentum to continue into next year. We offer one of the most comprehensive portfolios of advanced wafer wet-process equipment globally, covering coating, developing, stripping, etching, cleaning, and electroplating. Panel-level packaging is also emerging as a key industry trend. In this area, we have introduced several core systems—including electroplating, wet bevel etch, and vacuum cleaning—and plan to roll out additional products over time. We believe we are positioned at the forefront globally in supporting the industry’s transition from wafer-level to panel-level packaging.</w:t>
      </w:r>
    </w:p>
    <w:p>
      <w:pPr>
        <w:spacing w:after="0" w:line="222" w:lineRule="exact"/>
        <w:rPr>
          <w:rFonts w:ascii="Times New Roman" w:cs="Times New Roman" w:eastAsia="Times New Roman" w:hAnsi="Times New Roman"/>
          <w:sz w:val="20"/>
          <w:szCs w:val="20"/>
          <w:b w:val="1"/>
          <w:bCs w:val="1"/>
          <w:color w:val="auto"/>
        </w:rPr>
      </w:pPr>
    </w:p>
    <w:p>
      <w:pPr>
        <w:ind w:left="220" w:hanging="211"/>
        <w:spacing w:after="0"/>
        <w:tabs>
          <w:tab w:leader="none" w:pos="22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adjusted net profit attributable to the parent reported by the Company differs from</w:t>
      </w:r>
    </w:p>
    <w:p>
      <w:pPr>
        <w:sectPr>
          <w:pgSz w:w="11900" w:h="16838" w:orient="portrait"/>
          <w:cols w:equalWidth="0" w:num="2">
            <w:col w:w="2720" w:space="520"/>
            <w:col w:w="7860"/>
          </w:cols>
          <w:pgMar w:left="400" w:top="279" w:right="399" w:bottom="0" w:gutter="0" w:footer="0" w:header="0"/>
        </w:sectPr>
      </w:pPr>
    </w:p>
    <w:bookmarkStart w:id="6" w:name="page7"/>
    <w:bookmarkEnd w:id="6"/>
    <w:p>
      <w:pPr>
        <w:ind w:left="3300" w:right="20"/>
        <w:spacing w:after="0" w:line="361"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0575" cy="3240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3240405"/>
                    </a:xfrm>
                    <a:prstGeom prst="rect">
                      <a:avLst/>
                    </a:prstGeom>
                    <a:noFill/>
                  </pic:spPr>
                </pic:pic>
              </a:graphicData>
            </a:graphic>
          </wp:anchor>
        </w:drawing>
        <w:t>the figures disclosed by the U.S.-listed parent company in the past two quarters. What are the reasons? Which accounting items are affected?</w:t>
      </w:r>
    </w:p>
    <w:p>
      <w:pPr>
        <w:spacing w:after="0" w:line="1" w:lineRule="exact"/>
        <w:rPr>
          <w:sz w:val="20"/>
          <w:szCs w:val="20"/>
          <w:color w:val="auto"/>
        </w:rPr>
      </w:pPr>
    </w:p>
    <w:p>
      <w:pPr>
        <w:jc w:val="both"/>
        <w:ind w:left="3300" w:right="20" w:firstLine="9"/>
        <w:spacing w:after="0" w:line="361" w:lineRule="auto"/>
        <w:tabs>
          <w:tab w:leader="none" w:pos="357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difference between the financial results of ACMSH and those of our U.S.-listed parent company, ACMR, primarily arise from the different accounting standards applied. Under ACMSH’s accounting policies, revenue is recognized after installation and commissioning.</w:t>
      </w:r>
    </w:p>
    <w:p>
      <w:pPr>
        <w:spacing w:after="0" w:line="1" w:lineRule="exact"/>
        <w:rPr>
          <w:rFonts w:ascii="Times New Roman" w:cs="Times New Roman" w:eastAsia="Times New Roman" w:hAnsi="Times New Roman"/>
          <w:sz w:val="20"/>
          <w:szCs w:val="20"/>
          <w:color w:val="auto"/>
        </w:rPr>
      </w:pPr>
    </w:p>
    <w:p>
      <w:pPr>
        <w:jc w:val="both"/>
        <w:ind w:left="3300"/>
        <w:spacing w:after="0" w:line="40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Under U.S. GAAP, revenue for first-time equipment deliveries to a specific customer is recognized after customer technical qualification /acceptance per contractual obligations; however, for repeat orders with an established transaction history, revenue may be recognized upon shipment.</w:t>
      </w:r>
    </w:p>
    <w:p>
      <w:pPr>
        <w:spacing w:after="0" w:line="173" w:lineRule="exact"/>
        <w:rPr>
          <w:sz w:val="20"/>
          <w:szCs w:val="20"/>
          <w:color w:val="auto"/>
        </w:rPr>
      </w:pPr>
    </w:p>
    <w:p>
      <w:pPr>
        <w:ind w:left="3300" w:right="20" w:firstLine="9"/>
        <w:spacing w:after="0" w:line="361" w:lineRule="auto"/>
        <w:tabs>
          <w:tab w:leader="none" w:pos="3506"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Could you provide further insights into the outlook for the Chinese market next year and the Company’s expected growth?</w:t>
      </w:r>
    </w:p>
    <w:p>
      <w:pPr>
        <w:jc w:val="both"/>
        <w:ind w:left="3300"/>
        <w:spacing w:after="0" w:line="37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We believe the overall Chinese market will remain stable next year. We also believe that the continued rollout of new products will provide a strong foundation for growth in the years ahead. In line with past practice, we plan to voluntarily disclose our 2026 revenue outlook in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1604176392.2</w:t>
      </w:r>
    </w:p>
    <w:p>
      <w:pPr>
        <w:sectPr>
          <w:pgSz w:w="11900" w:h="16838" w:orient="portrait"/>
          <w:cols w:equalWidth="0" w:num="1">
            <w:col w:w="11160"/>
          </w:cols>
          <w:pgMar w:left="340" w:top="167" w:right="39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1604176392.2</w:t>
      </w:r>
    </w:p>
    <w:p>
      <w:pPr>
        <w:sectPr>
          <w:pgSz w:w="11900" w:h="16838" w:orient="portrait"/>
          <w:cols w:equalWidth="0" w:num="1">
            <w:col w:w="11160"/>
          </w:cols>
          <w:pgMar w:left="340" w:top="172"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Encl.: List of Participants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HeWeek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IGWT Investment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JKCapitalManagementLimited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Beijing General Trend Investment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Bosera Fund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Caitong Fund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Caitong Securities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Chongqing Yuhui Investment (Group)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Dajian Investment Management (Shanghai)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Dehua Venture Capital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Orient Fund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Dongxing Securities Corporation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Fuzhou Development Zone Sanxin Asset Management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Fubon Bank (China)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Gengji (Shanghai) Investment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Gongqingcheng Dingrui Asset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Granford (Beijing) Capital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Guangdong Bozhong Intelligent Technology Investment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Guangdong Xianjin Industrial Investment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Guangdong Zheng Yuan Private Fund Investment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Guangzhou Industrial Control Capital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Guangzhou Yunxi Private Placement Securities Fund Management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 Life Insurance Security Fund Management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Guotai Haitong Securities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Guotai Asset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Guosen Securities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Harmony Capital Group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Hongyun Private Equity Fund Management (Hainan)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Huafu Securities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Huatai Securities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Huatai Asset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HSBC Jintrust Fund Management Company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GF Venture CAPITAL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Kaiyuan Securities Co., Ltd.</w:t>
      </w:r>
    </w:p>
    <w:p>
      <w:pPr>
        <w:spacing w:after="0" w:line="5" w:lineRule="exact"/>
        <w:rPr>
          <w:sz w:val="20"/>
          <w:szCs w:val="20"/>
          <w:color w:val="auto"/>
        </w:rPr>
      </w:pPr>
    </w:p>
    <w:p>
      <w:pPr>
        <w:ind w:right="3719"/>
        <w:spacing w:after="0" w:line="246" w:lineRule="auto"/>
        <w:rPr>
          <w:sz w:val="20"/>
          <w:szCs w:val="20"/>
          <w:color w:val="auto"/>
        </w:rPr>
      </w:pPr>
      <w:r>
        <w:rPr>
          <w:rFonts w:ascii="Times New Roman" w:cs="Times New Roman" w:eastAsia="Times New Roman" w:hAnsi="Times New Roman"/>
          <w:sz w:val="22"/>
          <w:szCs w:val="22"/>
          <w:color w:val="auto"/>
        </w:rPr>
        <w:t>ORCHID ASIA HONG KONG MANAGEMENT COMPANY LIMITED Lanhai Qicheng (Beijing) Investment Management Co., Ltd. Lanzhong Investment Management Co., Ltd.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Securities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 Bank Asia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Penghua Fund Management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Penghua Asset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Ping An Fund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Ping An Securities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Qingdao Yinglong Asset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PICC Capital Equity Investment Company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UBS Group AG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1604176392.2</w:t>
      </w:r>
    </w:p>
    <w:p>
      <w:pPr>
        <w:sectPr>
          <w:pgSz w:w="11900" w:h="16838" w:orient="portrait"/>
          <w:cols w:equalWidth="0" w:num="1">
            <w:col w:w="10139"/>
          </w:cols>
          <w:pgMar w:left="320" w:top="141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UBS Securities Co.,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Shandong Centrin Rise Technology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Bodu Investment Management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Daoren Asset Management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Dehui Group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Dushi Investment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International Trust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Jiashi Private Fund Management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Jinen Investment Co., Ltd.</w:t>
      </w:r>
    </w:p>
    <w:p>
      <w:pPr>
        <w:spacing w:after="0" w:line="15" w:lineRule="exact"/>
        <w:rPr>
          <w:sz w:val="20"/>
          <w:szCs w:val="20"/>
          <w:color w:val="auto"/>
        </w:rPr>
      </w:pPr>
    </w:p>
    <w:p>
      <w:pPr>
        <w:ind w:right="4759"/>
        <w:spacing w:after="0" w:line="255" w:lineRule="auto"/>
        <w:rPr>
          <w:sz w:val="20"/>
          <w:szCs w:val="20"/>
          <w:color w:val="auto"/>
        </w:rPr>
      </w:pPr>
      <w:r>
        <w:rPr>
          <w:rFonts w:ascii="Times New Roman" w:cs="Times New Roman" w:eastAsia="Times New Roman" w:hAnsi="Times New Roman"/>
          <w:sz w:val="21"/>
          <w:szCs w:val="21"/>
          <w:color w:val="auto"/>
        </w:rPr>
        <w:t>Shanghai Kandao Asset Management Co., Ltd. Shanghai Lianshi Investment Management Co., Ltd. Shanghai Mingshi Private Equity Fund Management Co., Ltd. Shanghai Qinmu Asset Management Partnership (L.P.) Shanghai Qiuyang Yuliang Investment Management Co., Ltd.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SWS RESEARCH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Xiaoyong Private Equity Fund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Yiheyuan Asset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Foresight Investment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Zhaoyun Investment Management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Shanghai Securities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SWS MU Fund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SHENZHEN WISDOM ASSET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Shenzhen Foxon Investment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Shenzhen Qianhai Hui Jie Da Li Capital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Shenzhen Qianhai Xuxin Asset Management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Shenzhen Guohui Investment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Shenzhen Yujin Investment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Shenzhen Zhongtian Fortune Fund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Sanford C. Bernstein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Sichuan Zhenxing Jiajie Private Equity Securities Investment Fund Management Co., Ltd.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Tianfeng Securities Co., Ltd. Shanghai Securities Self-operated Branch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 Nature Asset Management Co., Ltd.</w:t>
      </w:r>
    </w:p>
    <w:p>
      <w:pPr>
        <w:spacing w:after="0" w:line="4" w:lineRule="exact"/>
        <w:rPr>
          <w:sz w:val="20"/>
          <w:szCs w:val="20"/>
          <w:color w:val="auto"/>
        </w:rPr>
      </w:pPr>
    </w:p>
    <w:p>
      <w:pPr>
        <w:jc w:val="both"/>
        <w:ind w:right="4999"/>
        <w:spacing w:after="0" w:line="243" w:lineRule="auto"/>
        <w:rPr>
          <w:sz w:val="20"/>
          <w:szCs w:val="20"/>
          <w:color w:val="auto"/>
        </w:rPr>
      </w:pPr>
      <w:r>
        <w:rPr>
          <w:rFonts w:ascii="Times New Roman" w:cs="Times New Roman" w:eastAsia="Times New Roman" w:hAnsi="Times New Roman"/>
          <w:sz w:val="22"/>
          <w:szCs w:val="22"/>
          <w:color w:val="auto"/>
        </w:rPr>
        <w:t>Xi’an Jiangyue Private Equity Fund Management Co.,Ltd. MELCO INTERNATIONAL DEVELOPMENT LIMITED New China Fund Management Co., Ltd.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Symbol Investment (Shanghai)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Nomura Oriental International Securities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Yinhua Fund Management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Yong’an Property Insurance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Yuefo Private Equity Fund Management (Wuhan)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Chang'an Fund Management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Changjiang Securities Company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 Merchants Securities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Zheshang Securities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AVIC Securities 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 United Insurance Group Company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Zhongtai Securities Co., Ltd.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1604176392.2</w:t>
      </w:r>
    </w:p>
    <w:p>
      <w:pPr>
        <w:sectPr>
          <w:pgSz w:w="11900" w:h="16838" w:orient="portrait"/>
          <w:cols w:equalWidth="0" w:num="1">
            <w:col w:w="10139"/>
          </w:cols>
          <w:pgMar w:left="320" w:top="142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CITIC Securities Co.,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Generali China Asset Management Company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 Post Securities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Central China Securities Co., Ltd.</w:t>
      </w:r>
    </w:p>
    <w:p>
      <w:pPr>
        <w:spacing w:after="0" w:line="200" w:lineRule="exact"/>
        <w:rPr>
          <w:sz w:val="20"/>
          <w:szCs w:val="20"/>
          <w:color w:val="auto"/>
        </w:rPr>
      </w:pPr>
    </w:p>
    <w:p>
      <w:pPr>
        <w:spacing w:after="0" w:line="277" w:lineRule="exact"/>
        <w:rPr>
          <w:sz w:val="20"/>
          <w:szCs w:val="20"/>
          <w:color w:val="auto"/>
        </w:rPr>
      </w:pPr>
    </w:p>
    <w:p>
      <w:pPr>
        <w:jc w:val="center"/>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i w:val="1"/>
          <w:iCs w:val="1"/>
          <w:color w:val="auto"/>
        </w:rPr>
        <w:t>The following information is provided in connection with the furnishing of the above Record of November 2025 Investor Relation Activity of ACM Research (Shanghai), Inc. (“ACMSH”) (the “Record”) pursuant to the Current Report on Form 8-K reporting requirements of ACM Research,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1604176392.2</w:t>
      </w:r>
    </w:p>
    <w:p>
      <w:pPr>
        <w:sectPr>
          <w:pgSz w:w="11900" w:h="16838" w:orient="portrait"/>
          <w:cols w:equalWidth="0" w:num="1">
            <w:col w:w="11240"/>
          </w:cols>
          <w:pgMar w:left="320" w:top="1422" w:right="339" w:bottom="1440" w:gutter="0" w:footer="0" w:header="0"/>
        </w:sectPr>
      </w:pPr>
    </w:p>
    <w:bookmarkStart w:id="11" w:name="page12"/>
    <w:bookmarkEnd w:id="11"/>
    <w:p>
      <w:pPr>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the date hereof or to reflect any change in its expectations with regard to these forward-looking statements or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1604176392.2</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10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2025-11-21T15:09:44Z</dcterms:created>
  <dcterms:modified xsi:type="dcterms:W3CDTF">2025-11-21T15:09:44Z</dcterms:modified>
</cp:coreProperties>
</file>