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 SECURITIES AND EXCHANGE COMMISSION</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jc w:val="center"/>
        <w:spacing w:after="0"/>
        <w:rPr>
          <w:sz w:val="20"/>
          <w:szCs w:val="20"/>
          <w:color w:val="auto"/>
        </w:rPr>
      </w:pPr>
      <w:r>
        <w:rPr>
          <w:rFonts w:ascii="Arial" w:cs="Arial" w:eastAsia="Arial" w:hAnsi="Arial"/>
          <w:sz w:val="25"/>
          <w:szCs w:val="25"/>
          <w:b w:val="1"/>
          <w:bCs w:val="1"/>
          <w:color w:val="auto"/>
        </w:rPr>
        <w:t>SCHEDULE 14A</w:t>
      </w:r>
    </w:p>
    <w:p>
      <w:pPr>
        <w:jc w:val="center"/>
        <w:spacing w:after="0" w:line="231" w:lineRule="auto"/>
        <w:rPr>
          <w:sz w:val="20"/>
          <w:szCs w:val="20"/>
          <w:color w:val="auto"/>
        </w:rPr>
      </w:pPr>
      <w:r>
        <w:rPr>
          <w:rFonts w:ascii="Arial" w:cs="Arial" w:eastAsia="Arial" w:hAnsi="Arial"/>
          <w:sz w:val="22"/>
          <w:szCs w:val="22"/>
          <w:b w:val="1"/>
          <w:bCs w:val="1"/>
          <w:color w:val="auto"/>
        </w:rPr>
        <w:t>Proxy Statement Pursuant to</w:t>
      </w:r>
    </w:p>
    <w:p>
      <w:pPr>
        <w:jc w:val="center"/>
        <w:spacing w:after="0" w:line="231" w:lineRule="auto"/>
        <w:rPr>
          <w:sz w:val="20"/>
          <w:szCs w:val="20"/>
          <w:color w:val="auto"/>
        </w:rPr>
      </w:pPr>
      <w:r>
        <w:rPr>
          <w:rFonts w:ascii="Arial" w:cs="Arial" w:eastAsia="Arial" w:hAnsi="Arial"/>
          <w:sz w:val="22"/>
          <w:szCs w:val="22"/>
          <w:b w:val="1"/>
          <w:bCs w:val="1"/>
          <w:color w:val="auto"/>
        </w:rPr>
        <w:t>Section 14(a) of the Securities Exchange Act of 1934</w:t>
      </w:r>
    </w:p>
    <w:p>
      <w:pPr>
        <w:jc w:val="center"/>
        <w:spacing w:after="0"/>
        <w:rPr>
          <w:sz w:val="20"/>
          <w:szCs w:val="20"/>
          <w:color w:val="auto"/>
        </w:rPr>
      </w:pPr>
      <w:r>
        <w:rPr>
          <w:rFonts w:ascii="Arial" w:cs="Arial" w:eastAsia="Arial" w:hAnsi="Arial"/>
          <w:sz w:val="22"/>
          <w:szCs w:val="22"/>
          <w:b w:val="1"/>
          <w:bCs w:val="1"/>
          <w:color w:val="auto"/>
        </w:rPr>
        <w:t>(Amendment No. 1)</w:t>
      </w:r>
    </w:p>
    <w:p>
      <w:pPr>
        <w:spacing w:after="0" w:line="189" w:lineRule="exact"/>
        <w:rPr>
          <w:sz w:val="24"/>
          <w:szCs w:val="24"/>
          <w:color w:val="auto"/>
        </w:rPr>
      </w:pPr>
    </w:p>
    <w:p>
      <w:pPr>
        <w:spacing w:after="0" w:line="207" w:lineRule="exact"/>
        <w:tabs>
          <w:tab w:leader="none" w:pos="804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41"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w:t>
      </w:r>
    </w:p>
    <w:p>
      <w:pPr>
        <w:ind w:left="420" w:hanging="408"/>
        <w:spacing w:after="0"/>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5" w:lineRule="exact"/>
        <w:rPr>
          <w:rFonts w:ascii="MS PGothic" w:cs="MS PGothic" w:eastAsia="MS PGothic" w:hAnsi="MS PGothic"/>
          <w:sz w:val="18"/>
          <w:szCs w:val="18"/>
          <w:color w:val="auto"/>
        </w:rPr>
      </w:pPr>
    </w:p>
    <w:p>
      <w:pPr>
        <w:ind w:left="420" w:hanging="408"/>
        <w:spacing w:after="0"/>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9"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2" w:lineRule="exact"/>
        <w:rPr>
          <w:sz w:val="24"/>
          <w:szCs w:val="24"/>
          <w:color w:val="auto"/>
        </w:rPr>
      </w:pPr>
    </w:p>
    <w:p>
      <w:pPr>
        <w:ind w:left="420" w:hanging="408"/>
        <w:spacing w:after="0"/>
        <w:tabs>
          <w:tab w:leader="none" w:pos="4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 w:lineRule="exact"/>
        <w:rPr>
          <w:sz w:val="24"/>
          <w:szCs w:val="24"/>
          <w:color w:val="auto"/>
        </w:rPr>
      </w:pPr>
    </w:p>
    <w:p>
      <w:pPr>
        <w:ind w:left="420" w:hanging="408"/>
        <w:spacing w:after="0"/>
        <w:tabs>
          <w:tab w:leader="none" w:pos="4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3074035</wp:posOffset>
            </wp:positionH>
            <wp:positionV relativeFrom="paragraph">
              <wp:posOffset>163195</wp:posOffset>
            </wp:positionV>
            <wp:extent cx="994410"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94410" cy="6343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6"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ACM Research, Inc.</w:t>
      </w:r>
    </w:p>
    <w:p>
      <w:pPr>
        <w:spacing w:after="0" w:line="35" w:lineRule="exact"/>
        <w:rPr>
          <w:sz w:val="24"/>
          <w:szCs w:val="24"/>
          <w:color w:val="auto"/>
        </w:rPr>
      </w:pPr>
    </w:p>
    <w:p>
      <w:pPr>
        <w:ind w:left="3540"/>
        <w:spacing w:after="0"/>
        <w:rPr>
          <w:sz w:val="20"/>
          <w:szCs w:val="20"/>
          <w:color w:val="auto"/>
        </w:rPr>
      </w:pPr>
      <w:r>
        <w:rPr>
          <w:rFonts w:ascii="Arial" w:cs="Arial" w:eastAsia="Arial" w:hAnsi="Arial"/>
          <w:sz w:val="22"/>
          <w:szCs w:val="22"/>
          <w:i w:val="1"/>
          <w:iCs w:val="1"/>
          <w:color w:val="auto"/>
        </w:rPr>
        <w:t>(Name of Registrant as Specified In Its Charter)</w:t>
      </w:r>
    </w:p>
    <w:p>
      <w:pPr>
        <w:spacing w:after="0" w:line="229" w:lineRule="auto"/>
        <w:rPr>
          <w:sz w:val="20"/>
          <w:szCs w:val="20"/>
          <w:color w:val="auto"/>
        </w:rPr>
      </w:pPr>
      <w:r>
        <w:rPr>
          <w:rFonts w:ascii="Arial" w:cs="Arial" w:eastAsia="Arial" w:hAnsi="Arial"/>
          <w:sz w:val="22"/>
          <w:szCs w:val="22"/>
          <w:color w:val="auto"/>
        </w:rPr>
        <w:t>Payment of Filing Fee (Check the appropriate box):</w:t>
      </w:r>
    </w:p>
    <w:p>
      <w:pPr>
        <w:ind w:left="420" w:hanging="412"/>
        <w:spacing w:after="0"/>
        <w:tabs>
          <w:tab w:leader="none" w:pos="42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5" w:lineRule="exact"/>
        <w:rPr>
          <w:rFonts w:ascii="MS PGothic" w:cs="MS PGothic" w:eastAsia="MS PGothic" w:hAnsi="MS PGothic"/>
          <w:sz w:val="18"/>
          <w:szCs w:val="18"/>
          <w:color w:val="auto"/>
        </w:rPr>
      </w:pPr>
    </w:p>
    <w:p>
      <w:pPr>
        <w:ind w:left="420" w:hanging="408"/>
        <w:spacing w:after="0"/>
        <w:tabs>
          <w:tab w:leader="none" w:pos="420" w:val="left"/>
        </w:tabs>
        <w:numPr>
          <w:ilvl w:val="1"/>
          <w:numId w:val="4"/>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9" w:lineRule="exact"/>
        <w:rPr>
          <w:rFonts w:ascii="MS PGothic" w:cs="MS PGothic" w:eastAsia="MS PGothic" w:hAnsi="MS PGothic"/>
          <w:sz w:val="18"/>
          <w:szCs w:val="18"/>
          <w:color w:val="auto"/>
        </w:rPr>
      </w:pPr>
    </w:p>
    <w:p>
      <w:pPr>
        <w:ind w:left="840" w:hanging="414"/>
        <w:spacing w:after="0"/>
        <w:tabs>
          <w:tab w:leader="none" w:pos="840" w:val="left"/>
        </w:tabs>
        <w:numPr>
          <w:ilvl w:val="2"/>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49" w:lineRule="exact"/>
        <w:rPr>
          <w:rFonts w:ascii="Arial" w:cs="Arial" w:eastAsia="Arial" w:hAnsi="Arial"/>
          <w:sz w:val="18"/>
          <w:szCs w:val="18"/>
          <w:color w:val="auto"/>
        </w:rPr>
      </w:pPr>
    </w:p>
    <w:p>
      <w:pPr>
        <w:ind w:left="840" w:hanging="414"/>
        <w:spacing w:after="0"/>
        <w:tabs>
          <w:tab w:leader="none" w:pos="840" w:val="left"/>
        </w:tabs>
        <w:numPr>
          <w:ilvl w:val="2"/>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65" w:lineRule="exact"/>
        <w:rPr>
          <w:rFonts w:ascii="Arial" w:cs="Arial" w:eastAsia="Arial" w:hAnsi="Arial"/>
          <w:sz w:val="18"/>
          <w:szCs w:val="18"/>
          <w:color w:val="auto"/>
        </w:rPr>
      </w:pPr>
    </w:p>
    <w:p>
      <w:pPr>
        <w:ind w:left="840" w:hanging="414"/>
        <w:spacing w:after="0" w:line="277" w:lineRule="auto"/>
        <w:tabs>
          <w:tab w:leader="none" w:pos="840" w:val="left"/>
        </w:tabs>
        <w:numPr>
          <w:ilvl w:val="2"/>
          <w:numId w:val="4"/>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10" w:lineRule="exact"/>
        <w:rPr>
          <w:rFonts w:ascii="Arial" w:cs="Arial" w:eastAsia="Arial" w:hAnsi="Arial"/>
          <w:sz w:val="18"/>
          <w:szCs w:val="18"/>
          <w:color w:val="auto"/>
        </w:rPr>
      </w:pPr>
    </w:p>
    <w:p>
      <w:pPr>
        <w:ind w:left="840" w:hanging="414"/>
        <w:spacing w:after="0"/>
        <w:tabs>
          <w:tab w:leader="none" w:pos="840" w:val="left"/>
        </w:tabs>
        <w:numPr>
          <w:ilvl w:val="2"/>
          <w:numId w:val="4"/>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65" w:lineRule="exact"/>
        <w:rPr>
          <w:rFonts w:ascii="Arial" w:cs="Arial" w:eastAsia="Arial" w:hAnsi="Arial"/>
          <w:sz w:val="18"/>
          <w:szCs w:val="18"/>
          <w:color w:val="auto"/>
        </w:rPr>
      </w:pPr>
    </w:p>
    <w:p>
      <w:pPr>
        <w:ind w:left="840" w:hanging="414"/>
        <w:spacing w:after="0"/>
        <w:tabs>
          <w:tab w:leader="none" w:pos="840" w:val="left"/>
        </w:tabs>
        <w:numPr>
          <w:ilvl w:val="2"/>
          <w:numId w:val="4"/>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52" w:lineRule="exact"/>
        <w:rPr>
          <w:rFonts w:ascii="Arial" w:cs="Arial" w:eastAsia="Arial" w:hAnsi="Arial"/>
          <w:sz w:val="18"/>
          <w:szCs w:val="18"/>
          <w:color w:val="auto"/>
        </w:rPr>
      </w:pPr>
    </w:p>
    <w:p>
      <w:pPr>
        <w:ind w:left="420" w:hanging="408"/>
        <w:spacing w:after="0"/>
        <w:tabs>
          <w:tab w:leader="none" w:pos="420" w:val="left"/>
        </w:tabs>
        <w:numPr>
          <w:ilvl w:val="1"/>
          <w:numId w:val="4"/>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5" w:lineRule="exact"/>
        <w:rPr>
          <w:rFonts w:ascii="MS PGothic" w:cs="MS PGothic" w:eastAsia="MS PGothic" w:hAnsi="MS PGothic"/>
          <w:sz w:val="18"/>
          <w:szCs w:val="18"/>
          <w:color w:val="auto"/>
        </w:rPr>
      </w:pPr>
    </w:p>
    <w:p>
      <w:pPr>
        <w:ind w:left="420" w:hanging="408"/>
        <w:spacing w:after="0" w:line="249" w:lineRule="auto"/>
        <w:tabs>
          <w:tab w:leader="none" w:pos="420" w:val="left"/>
        </w:tabs>
        <w:numPr>
          <w:ilvl w:val="1"/>
          <w:numId w:val="4"/>
        </w:numPr>
        <w:rPr>
          <w:rFonts w:ascii="MS PGothic" w:cs="MS PGothic" w:eastAsia="MS PGothic" w:hAnsi="MS PGothic"/>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840" w:hanging="414"/>
        <w:spacing w:after="0"/>
        <w:tabs>
          <w:tab w:leader="none" w:pos="840" w:val="left"/>
        </w:tabs>
        <w:numPr>
          <w:ilvl w:val="2"/>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51" w:lineRule="exact"/>
        <w:rPr>
          <w:rFonts w:ascii="Arial" w:cs="Arial" w:eastAsia="Arial" w:hAnsi="Arial"/>
          <w:sz w:val="18"/>
          <w:szCs w:val="18"/>
          <w:color w:val="auto"/>
        </w:rPr>
      </w:pPr>
    </w:p>
    <w:p>
      <w:pPr>
        <w:ind w:left="840" w:hanging="414"/>
        <w:spacing w:after="0"/>
        <w:tabs>
          <w:tab w:leader="none" w:pos="840" w:val="left"/>
        </w:tabs>
        <w:numPr>
          <w:ilvl w:val="2"/>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65" w:lineRule="exact"/>
        <w:rPr>
          <w:rFonts w:ascii="Arial" w:cs="Arial" w:eastAsia="Arial" w:hAnsi="Arial"/>
          <w:sz w:val="18"/>
          <w:szCs w:val="18"/>
          <w:color w:val="auto"/>
        </w:rPr>
      </w:pPr>
    </w:p>
    <w:p>
      <w:pPr>
        <w:ind w:left="840" w:hanging="414"/>
        <w:spacing w:after="0"/>
        <w:tabs>
          <w:tab w:leader="none" w:pos="840" w:val="left"/>
        </w:tabs>
        <w:numPr>
          <w:ilvl w:val="2"/>
          <w:numId w:val="4"/>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65" w:lineRule="exact"/>
        <w:rPr>
          <w:rFonts w:ascii="Arial" w:cs="Arial" w:eastAsia="Arial" w:hAnsi="Arial"/>
          <w:sz w:val="18"/>
          <w:szCs w:val="18"/>
          <w:color w:val="auto"/>
        </w:rPr>
      </w:pPr>
    </w:p>
    <w:p>
      <w:pPr>
        <w:ind w:left="840" w:hanging="414"/>
        <w:spacing w:after="0"/>
        <w:tabs>
          <w:tab w:leader="none" w:pos="840" w:val="left"/>
        </w:tabs>
        <w:numPr>
          <w:ilvl w:val="2"/>
          <w:numId w:val="4"/>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527685</wp:posOffset>
            </wp:positionH>
            <wp:positionV relativeFrom="paragraph">
              <wp:posOffset>160655</wp:posOffset>
            </wp:positionV>
            <wp:extent cx="660908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09080" cy="17145"/>
                    </a:xfrm>
                    <a:prstGeom prst="rect">
                      <a:avLst/>
                    </a:prstGeom>
                    <a:noFill/>
                  </pic:spPr>
                </pic:pic>
              </a:graphicData>
            </a:graphic>
          </wp:anchor>
        </w:drawing>
        <w:drawing>
          <wp:anchor simplePos="0" relativeHeight="251657728" behindDoc="1" locked="0" layoutInCell="0" allowOverlap="1">
            <wp:simplePos x="0" y="0"/>
            <wp:positionH relativeFrom="column">
              <wp:posOffset>527685</wp:posOffset>
            </wp:positionH>
            <wp:positionV relativeFrom="paragraph">
              <wp:posOffset>-139065</wp:posOffset>
            </wp:positionV>
            <wp:extent cx="66090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09080" cy="17145"/>
                    </a:xfrm>
                    <a:prstGeom prst="rect">
                      <a:avLst/>
                    </a:prstGeom>
                    <a:noFill/>
                  </pic:spPr>
                </pic:pic>
              </a:graphicData>
            </a:graphic>
          </wp:anchor>
        </w:drawing>
        <w:drawing>
          <wp:anchor simplePos="0" relativeHeight="251657728" behindDoc="1" locked="0" layoutInCell="0" allowOverlap="1">
            <wp:simplePos x="0" y="0"/>
            <wp:positionH relativeFrom="column">
              <wp:posOffset>527685</wp:posOffset>
            </wp:positionH>
            <wp:positionV relativeFrom="paragraph">
              <wp:posOffset>-438785</wp:posOffset>
            </wp:positionV>
            <wp:extent cx="660908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09080" cy="17145"/>
                    </a:xfrm>
                    <a:prstGeom prst="rect">
                      <a:avLst/>
                    </a:prstGeom>
                    <a:noFill/>
                  </pic:spPr>
                </pic:pic>
              </a:graphicData>
            </a:graphic>
          </wp:anchor>
        </w:drawing>
        <w:drawing>
          <wp:anchor simplePos="0" relativeHeight="251657728" behindDoc="1" locked="0" layoutInCell="0" allowOverlap="1">
            <wp:simplePos x="0" y="0"/>
            <wp:positionH relativeFrom="column">
              <wp:posOffset>527685</wp:posOffset>
            </wp:positionH>
            <wp:positionV relativeFrom="paragraph">
              <wp:posOffset>-739140</wp:posOffset>
            </wp:positionV>
            <wp:extent cx="660908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09080" cy="17145"/>
                    </a:xfrm>
                    <a:prstGeom prst="rect">
                      <a:avLst/>
                    </a:prstGeom>
                    <a:noFill/>
                  </pic:spPr>
                </pic:pic>
              </a:graphicData>
            </a:graphic>
          </wp:anchor>
        </w:drawing>
        <w:drawing>
          <wp:anchor simplePos="0" relativeHeight="251657728" behindDoc="1" locked="0" layoutInCell="0" allowOverlap="1">
            <wp:simplePos x="0" y="0"/>
            <wp:positionH relativeFrom="column">
              <wp:posOffset>527685</wp:posOffset>
            </wp:positionH>
            <wp:positionV relativeFrom="paragraph">
              <wp:posOffset>-1442085</wp:posOffset>
            </wp:positionV>
            <wp:extent cx="660908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09080" cy="17145"/>
                    </a:xfrm>
                    <a:prstGeom prst="rect">
                      <a:avLst/>
                    </a:prstGeom>
                    <a:noFill/>
                  </pic:spPr>
                </pic:pic>
              </a:graphicData>
            </a:graphic>
          </wp:anchor>
        </w:drawing>
        <w:drawing>
          <wp:anchor simplePos="0" relativeHeight="251657728" behindDoc="1" locked="0" layoutInCell="0" allowOverlap="1">
            <wp:simplePos x="0" y="0"/>
            <wp:positionH relativeFrom="column">
              <wp:posOffset>527685</wp:posOffset>
            </wp:positionH>
            <wp:positionV relativeFrom="paragraph">
              <wp:posOffset>-1741805</wp:posOffset>
            </wp:positionV>
            <wp:extent cx="660908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09080" cy="17145"/>
                    </a:xfrm>
                    <a:prstGeom prst="rect">
                      <a:avLst/>
                    </a:prstGeom>
                    <a:noFill/>
                  </pic:spPr>
                </pic:pic>
              </a:graphicData>
            </a:graphic>
          </wp:anchor>
        </w:drawing>
        <w:drawing>
          <wp:anchor simplePos="0" relativeHeight="251657728" behindDoc="1" locked="0" layoutInCell="0" allowOverlap="1">
            <wp:simplePos x="0" y="0"/>
            <wp:positionH relativeFrom="column">
              <wp:posOffset>527685</wp:posOffset>
            </wp:positionH>
            <wp:positionV relativeFrom="paragraph">
              <wp:posOffset>-2042160</wp:posOffset>
            </wp:positionV>
            <wp:extent cx="660908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09080" cy="17145"/>
                    </a:xfrm>
                    <a:prstGeom prst="rect">
                      <a:avLst/>
                    </a:prstGeom>
                    <a:noFill/>
                  </pic:spPr>
                </pic:pic>
              </a:graphicData>
            </a:graphic>
          </wp:anchor>
        </w:drawing>
        <w:drawing>
          <wp:anchor simplePos="0" relativeHeight="251657728" behindDoc="1" locked="0" layoutInCell="0" allowOverlap="1">
            <wp:simplePos x="0" y="0"/>
            <wp:positionH relativeFrom="column">
              <wp:posOffset>527685</wp:posOffset>
            </wp:positionH>
            <wp:positionV relativeFrom="paragraph">
              <wp:posOffset>-2479040</wp:posOffset>
            </wp:positionV>
            <wp:extent cx="660908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09080" cy="17145"/>
                    </a:xfrm>
                    <a:prstGeom prst="rect">
                      <a:avLst/>
                    </a:prstGeom>
                    <a:noFill/>
                  </pic:spPr>
                </pic:pic>
              </a:graphicData>
            </a:graphic>
          </wp:anchor>
        </w:drawing>
        <w:drawing>
          <wp:anchor simplePos="0" relativeHeight="251657728" behindDoc="1" locked="0" layoutInCell="0" allowOverlap="1">
            <wp:simplePos x="0" y="0"/>
            <wp:positionH relativeFrom="column">
              <wp:posOffset>527685</wp:posOffset>
            </wp:positionH>
            <wp:positionV relativeFrom="paragraph">
              <wp:posOffset>-2779395</wp:posOffset>
            </wp:positionV>
            <wp:extent cx="660908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0908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400685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494665</wp:posOffset>
            </wp:positionV>
            <wp:extent cx="7132320" cy="34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640715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3277235</wp:posOffset>
            </wp:positionH>
            <wp:positionV relativeFrom="page">
              <wp:posOffset>88900</wp:posOffset>
            </wp:positionV>
            <wp:extent cx="994410" cy="6343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994410" cy="634365"/>
                    </a:xfrm>
                    <a:prstGeom prst="rect">
                      <a:avLst/>
                    </a:prstGeom>
                    <a:noFill/>
                  </pic:spPr>
                </pic:pic>
              </a:graphicData>
            </a:graphic>
          </wp:anchor>
        </w:drawing>
        <w:t>S</w:t>
      </w:r>
      <w:r>
        <w:rPr>
          <w:rFonts w:ascii="Arial" w:cs="Arial" w:eastAsia="Arial" w:hAnsi="Arial"/>
          <w:sz w:val="16"/>
          <w:szCs w:val="16"/>
          <w:b w:val="1"/>
          <w:bCs w:val="1"/>
          <w:color w:val="auto"/>
        </w:rPr>
        <w:t>UPPLEMENT TO</w:t>
      </w:r>
      <w:r>
        <w:rPr>
          <w:rFonts w:ascii="Arial" w:cs="Arial" w:eastAsia="Arial" w:hAnsi="Arial"/>
          <w:sz w:val="22"/>
          <w:szCs w:val="22"/>
          <w:b w:val="1"/>
          <w:bCs w:val="1"/>
          <w:color w:val="auto"/>
        </w:rPr>
        <w:t xml:space="preserve"> P</w:t>
      </w:r>
      <w:r>
        <w:rPr>
          <w:rFonts w:ascii="Arial" w:cs="Arial" w:eastAsia="Arial" w:hAnsi="Arial"/>
          <w:sz w:val="16"/>
          <w:szCs w:val="16"/>
          <w:b w:val="1"/>
          <w:bCs w:val="1"/>
          <w:color w:val="auto"/>
        </w:rPr>
        <w:t>ROXY</w:t>
      </w:r>
      <w:r>
        <w:rPr>
          <w:rFonts w:ascii="Arial" w:cs="Arial" w:eastAsia="Arial" w:hAnsi="Arial"/>
          <w:sz w:val="22"/>
          <w:szCs w:val="22"/>
          <w:b w:val="1"/>
          <w:bCs w:val="1"/>
          <w:color w:val="auto"/>
        </w:rPr>
        <w:t xml:space="preserve"> S</w:t>
      </w:r>
      <w:r>
        <w:rPr>
          <w:rFonts w:ascii="Arial" w:cs="Arial" w:eastAsia="Arial" w:hAnsi="Arial"/>
          <w:sz w:val="16"/>
          <w:szCs w:val="16"/>
          <w:b w:val="1"/>
          <w:bCs w:val="1"/>
          <w:color w:val="auto"/>
        </w:rPr>
        <w:t>TATEMENT</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w:t>
      </w:r>
      <w:r>
        <w:rPr>
          <w:rFonts w:ascii="Arial" w:cs="Arial" w:eastAsia="Arial" w:hAnsi="Arial"/>
          <w:sz w:val="16"/>
          <w:szCs w:val="16"/>
          <w:b w:val="1"/>
          <w:bCs w:val="1"/>
          <w:color w:val="auto"/>
        </w:rPr>
        <w:t>OR</w:t>
      </w:r>
      <w:r>
        <w:rPr>
          <w:rFonts w:ascii="Arial" w:cs="Arial" w:eastAsia="Arial" w:hAnsi="Arial"/>
          <w:sz w:val="22"/>
          <w:szCs w:val="22"/>
          <w:b w:val="1"/>
          <w:bCs w:val="1"/>
          <w:color w:val="auto"/>
        </w:rPr>
        <w:t xml:space="preserve"> 2022 A</w:t>
      </w:r>
      <w:r>
        <w:rPr>
          <w:rFonts w:ascii="Arial" w:cs="Arial" w:eastAsia="Arial" w:hAnsi="Arial"/>
          <w:sz w:val="16"/>
          <w:szCs w:val="16"/>
          <w:b w:val="1"/>
          <w:bCs w:val="1"/>
          <w:color w:val="auto"/>
        </w:rPr>
        <w:t>NNUAL</w:t>
      </w:r>
      <w:r>
        <w:rPr>
          <w:rFonts w:ascii="Arial" w:cs="Arial" w:eastAsia="Arial" w:hAnsi="Arial"/>
          <w:sz w:val="22"/>
          <w:szCs w:val="22"/>
          <w:b w:val="1"/>
          <w:bCs w:val="1"/>
          <w:color w:val="auto"/>
        </w:rPr>
        <w:t xml:space="preserve"> M</w:t>
      </w:r>
      <w:r>
        <w:rPr>
          <w:rFonts w:ascii="Arial" w:cs="Arial" w:eastAsia="Arial" w:hAnsi="Arial"/>
          <w:sz w:val="16"/>
          <w:szCs w:val="16"/>
          <w:b w:val="1"/>
          <w:bCs w:val="1"/>
          <w:color w:val="auto"/>
        </w:rPr>
        <w:t>EETING OF</w:t>
      </w:r>
      <w:r>
        <w:rPr>
          <w:rFonts w:ascii="Arial" w:cs="Arial" w:eastAsia="Arial" w:hAnsi="Arial"/>
          <w:sz w:val="22"/>
          <w:szCs w:val="22"/>
          <w:b w:val="1"/>
          <w:bCs w:val="1"/>
          <w:color w:val="auto"/>
        </w:rPr>
        <w:t xml:space="preserve"> S</w:t>
      </w:r>
      <w:r>
        <w:rPr>
          <w:rFonts w:ascii="Arial" w:cs="Arial" w:eastAsia="Arial" w:hAnsi="Arial"/>
          <w:sz w:val="16"/>
          <w:szCs w:val="16"/>
          <w:b w:val="1"/>
          <w:bCs w:val="1"/>
          <w:color w:val="auto"/>
        </w:rPr>
        <w:t>TOCKHOLDERS TO BE</w:t>
      </w:r>
      <w:r>
        <w:rPr>
          <w:rFonts w:ascii="Arial" w:cs="Arial" w:eastAsia="Arial" w:hAnsi="Arial"/>
          <w:sz w:val="22"/>
          <w:szCs w:val="22"/>
          <w:b w:val="1"/>
          <w:bCs w:val="1"/>
          <w:color w:val="auto"/>
        </w:rPr>
        <w:t xml:space="preserve"> H</w:t>
      </w:r>
      <w:r>
        <w:rPr>
          <w:rFonts w:ascii="Arial" w:cs="Arial" w:eastAsia="Arial" w:hAnsi="Arial"/>
          <w:sz w:val="16"/>
          <w:szCs w:val="16"/>
          <w:b w:val="1"/>
          <w:bCs w:val="1"/>
          <w:color w:val="auto"/>
        </w:rPr>
        <w:t>ELD ON</w:t>
      </w:r>
      <w:r>
        <w:rPr>
          <w:rFonts w:ascii="Arial" w:cs="Arial" w:eastAsia="Arial" w:hAnsi="Arial"/>
          <w:sz w:val="22"/>
          <w:szCs w:val="22"/>
          <w:b w:val="1"/>
          <w:bCs w:val="1"/>
          <w:color w:val="auto"/>
        </w:rPr>
        <w:t xml:space="preserve"> J</w:t>
      </w:r>
      <w:r>
        <w:rPr>
          <w:rFonts w:ascii="Arial" w:cs="Arial" w:eastAsia="Arial" w:hAnsi="Arial"/>
          <w:sz w:val="16"/>
          <w:szCs w:val="16"/>
          <w:b w:val="1"/>
          <w:bCs w:val="1"/>
          <w:color w:val="auto"/>
        </w:rPr>
        <w:t>UNE</w:t>
      </w:r>
      <w:r>
        <w:rPr>
          <w:rFonts w:ascii="Arial" w:cs="Arial" w:eastAsia="Arial" w:hAnsi="Arial"/>
          <w:sz w:val="22"/>
          <w:szCs w:val="22"/>
          <w:b w:val="1"/>
          <w:bCs w:val="1"/>
          <w:color w:val="auto"/>
        </w:rPr>
        <w:t xml:space="preserve"> 30, 2022</w:t>
      </w:r>
    </w:p>
    <w:p>
      <w:pPr>
        <w:spacing w:after="0" w:line="215"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following information relates to the proxy statement of ACM Research, Inc. filed with the Securities and Exchange Commission on May 20, 2022, or the Proxy Statement, in connection with the 2022 Annual Meeting of Stockholders, or the Annual Meeting, to be held via live audio webcast on June 30, 2022 at 7:00 a.m., Pacific time.</w:t>
      </w:r>
    </w:p>
    <w:p>
      <w:pPr>
        <w:spacing w:after="0" w:line="213"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information in this Supplement modifies and supersedes any inconsistent information contained in, or filed with, the Proxy Statement. We urge you to read this Supplement, together with the Proxy Statement, carefully.</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EXPLANATORY STATEMENT</w:t>
      </w:r>
    </w:p>
    <w:p>
      <w:pPr>
        <w:spacing w:after="0" w:line="239"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Due to a printer error, an incorrect proxy card accompanied the Proxy Statement when filed with the Securities and Exchange Commission. The proxy card presented on the following page replaces the incorrect proxy card previously filed with the Proxy Statement. This Supplement does not reflect any other events occurring after the date of the Proxy Statement or modify or update disclosures that may have been affected by subsequent events. From and after the date of this Supplement, any references to the “proxy card” in the Proxy Statement or other proxy materials for the Annual Meeting are to the proxy card being filed with this Supplement.</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The board of directors recommends a vote in favor of all proposals set forth in the accompanying proxy card.</w:t>
      </w:r>
    </w:p>
    <w:p>
      <w:pPr>
        <w:spacing w:after="0" w:line="251"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If you have already voted by means other than the proxy card that accompanied the Proxy Statement as filed with the Securities and Exchange Commission on May 20, 2022, you do not need to vote again unless you would like to change your prior vote on any proposal. If you have already properly submitted your proxy and would like to change your vote, you may revoke your proxy before it is voted at the Annual Meeting by:</w:t>
      </w:r>
    </w:p>
    <w:p>
      <w:pPr>
        <w:spacing w:after="0" w:line="219" w:lineRule="exact"/>
        <w:rPr>
          <w:sz w:val="20"/>
          <w:szCs w:val="20"/>
          <w:color w:val="auto"/>
        </w:rPr>
      </w:pPr>
    </w:p>
    <w:p>
      <w:pPr>
        <w:ind w:left="660" w:hanging="359"/>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voting via the Internet or telephone at a later time;</w:t>
      </w:r>
    </w:p>
    <w:p>
      <w:pPr>
        <w:spacing w:after="0" w:line="252" w:lineRule="exact"/>
        <w:rPr>
          <w:rFonts w:ascii="Arial" w:cs="Arial" w:eastAsia="Arial" w:hAnsi="Arial"/>
          <w:sz w:val="18"/>
          <w:szCs w:val="18"/>
          <w:color w:val="auto"/>
        </w:rPr>
      </w:pPr>
    </w:p>
    <w:p>
      <w:pPr>
        <w:ind w:left="660" w:hanging="359"/>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submitting a completed and signed proxy card in the form accompanying this Supplement;</w:t>
      </w:r>
    </w:p>
    <w:p>
      <w:pPr>
        <w:spacing w:after="0" w:line="252" w:lineRule="exact"/>
        <w:rPr>
          <w:rFonts w:ascii="Arial" w:cs="Arial" w:eastAsia="Arial" w:hAnsi="Arial"/>
          <w:sz w:val="18"/>
          <w:szCs w:val="18"/>
          <w:color w:val="auto"/>
        </w:rPr>
      </w:pPr>
    </w:p>
    <w:p>
      <w:pPr>
        <w:ind w:left="660" w:hanging="359"/>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sending a timely written notice that you are revoking your proxy to our Corporate Secretary at ACM Research, Inc., 42307 Osgood Road, Suite I, Fremont, California 94539; or</w:t>
      </w:r>
    </w:p>
    <w:p>
      <w:pPr>
        <w:spacing w:after="0" w:line="197" w:lineRule="exact"/>
        <w:rPr>
          <w:rFonts w:ascii="Arial" w:cs="Arial" w:eastAsia="Arial" w:hAnsi="Arial"/>
          <w:sz w:val="18"/>
          <w:szCs w:val="18"/>
          <w:color w:val="auto"/>
        </w:rPr>
      </w:pPr>
    </w:p>
    <w:p>
      <w:pPr>
        <w:ind w:left="660" w:hanging="359"/>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voting via the Internet at the Annual Meeting (simply attending the Annual Meeting will not, by itself, revoke your proxy).</w:t>
      </w:r>
    </w:p>
    <w:p>
      <w:pPr>
        <w:spacing w:after="0" w:line="245"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Your most current proxy card or telephone or Internet proxy is the one that is counted. If your shares are held by your broker or bank as a nominee or agent, you should follow the instructions provided by your broker or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1315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131570"/>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jc w:val="center"/>
        <w:spacing w:after="0" w:line="258" w:lineRule="auto"/>
        <w:rPr>
          <w:sz w:val="20"/>
          <w:szCs w:val="20"/>
          <w:color w:val="auto"/>
        </w:rPr>
      </w:pPr>
      <w:r>
        <w:rPr>
          <w:rFonts w:ascii="Arial" w:cs="Arial" w:eastAsia="Arial" w:hAnsi="Arial"/>
          <w:sz w:val="18"/>
          <w:szCs w:val="18"/>
          <w:b w:val="1"/>
          <w:bCs w:val="1"/>
          <w:i w:val="1"/>
          <w:iCs w:val="1"/>
          <w:color w:val="auto"/>
        </w:rPr>
        <w:t>Important Notice Regarding the Availability of Proxy Materials for the Annual Meeting of Stockholders to be Held on June 30, 2022 at www.virtualshareholdermeeting.com/ACMR2022:</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Proxy Statement, as amended by this Supplement, our form of proxy card and our 2021 Annual Report to Stockholders are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available in the “Investors” section of our website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at www.acmrcsh.com and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with our current proxy materials at www.proxyvote.com.</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269875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54" w:right="339" w:bottom="1440"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87782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7782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88893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8936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lvl w:ilvl="1">
      <w:lvlJc w:val="left"/>
      <w:lvlText w:val="☐"/>
      <w:numFmt w:val="bullet"/>
      <w:start w:val="1"/>
    </w:lvl>
    <w:lvl w:ilvl="2">
      <w:lvlJc w:val="left"/>
      <w:lvlText w:val="(%3)"/>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2022-05-23T05:13:35Z</dcterms:created>
  <dcterms:modified xsi:type="dcterms:W3CDTF">2022-05-23T05:13:35Z</dcterms:modified>
</cp:coreProperties>
</file>