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25, 2022</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2"/>
        </w:trPr>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Class A Common Stock,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 Act of 1934:</w:t>
      </w:r>
    </w:p>
    <w:p>
      <w:pPr>
        <w:spacing w:after="0" w:line="4" w:lineRule="exact"/>
        <w:rPr>
          <w:sz w:val="24"/>
          <w:szCs w:val="24"/>
          <w:color w:val="auto"/>
        </w:rPr>
      </w:pPr>
    </w:p>
    <w:p>
      <w:pPr>
        <w:ind w:left="90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25, 2022, we issued a press release announcing financial results for the fourth quarter and fiscal year ended December 31, 2021. The full text of the press release is furnished as Exhibit 99.01 hereto and is incorporated herein by reference</w:t>
      </w:r>
      <w:r>
        <w:rPr>
          <w:rFonts w:ascii="Arial" w:cs="Arial" w:eastAsia="Arial" w:hAnsi="Arial"/>
          <w:sz w:val="18"/>
          <w:szCs w:val="18"/>
          <w:i w:val="1"/>
          <w:iCs w:val="1"/>
          <w:color w:val="auto"/>
        </w:rPr>
        <w: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60"/>
        <w:spacing w:after="0"/>
        <w:tabs>
          <w:tab w:leader="none" w:pos="56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90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r>
      <w:r>
        <w:rPr>
          <w:rFonts w:ascii="Arial" w:cs="Arial" w:eastAsia="Arial" w:hAnsi="Arial"/>
          <w:sz w:val="16"/>
          <w:szCs w:val="16"/>
          <w:color w:val="0000EE"/>
        </w:rPr>
        <w:t>Press Release of ACM Research, Inc. dated February 25, 2022</w:t>
      </w:r>
    </w:p>
    <w:p>
      <w:pPr>
        <w:spacing w:after="0" w:line="23"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XBRL document)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25, 2022</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165100</wp:posOffset>
            </wp:positionV>
            <wp:extent cx="72009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Fourth Quarter and Fiscal Year 2021 Results</w:t>
      </w:r>
    </w:p>
    <w:p>
      <w:pPr>
        <w:spacing w:after="0" w:line="25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FREMONT, California, February 25, 2022 (Globe Newswire) – ACM Research, Inc. (“ACM” or the “Company”) (NASDAQ: ACMR), a leading supplier of wafer processing solutions for semiconductor and advanced wafer-level packaging applications, today reported financial results for its fourth quarter and fiscal year ended December 31, 2021.</w:t>
      </w:r>
    </w:p>
    <w:p>
      <w:pPr>
        <w:spacing w:after="0" w:line="21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“2021 was an exceptional and transformative year for ACM, with solid financial performance, operational excellence, and execution of our strategic plan,” said ACM’s President and Chief Executive Officer Dr. David Wang. “Our results demonstrate the effectiveness of ACM’s multi-product strategy, with strong growth from our flagship cleaning tools, and significant increases from electrochemical plating and advanced packaging products.”</w:t>
      </w:r>
    </w:p>
    <w:p>
      <w:pPr>
        <w:spacing w:after="0" w:line="17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Dr. Wang continued, “We expanded our customer base, ramped production of new products, and secured orders for evaluation tools from several major semiconductor manufacturers. In November, we raised $545 million in net proceeds through the STAR Market IPO of our subsidiary ACM Research Shanghai. We plan to deploy this capital to accelerate the introduction of new products, add resources to win new major global customers, and continue construction of our Lingang R&amp;D center and production facility. We believe that the STAR Market listing, combined with the listing of ACM’s Class A common stock on the Nasdaq Global Market, provides a strong foundation to achieve our mission to become a global player in the semiconductor equipment industry.”</w:t>
      </w:r>
    </w:p>
    <w:p>
      <w:pPr>
        <w:spacing w:after="0" w:line="219"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“Looking forward to 2022, we anticipate solid growth from our core cleaning products, a continuation of our strong electrochemical plating product cycle, and the initial ramp of our furnace products. We are committed to gaining additional share of the $8 billion market addressed by our current product offerings, and we believe we are on track to double our addressable market opportunity with the upcoming introduction of two new product categories.”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8"/>
                <w:szCs w:val="18"/>
                <w:b w:val="1"/>
                <w:bCs w:val="1"/>
                <w:color w:val="auto"/>
                <w:w w:val="92"/>
              </w:rPr>
              <w:t>Three Months Ended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Arial" w:cs="Arial" w:eastAsia="Arial" w:hAnsi="Arial"/>
                <w:sz w:val="18"/>
                <w:szCs w:val="18"/>
                <w:i w:val="1"/>
                <w:iCs w:val="1"/>
                <w:color w:val="auto"/>
                <w:w w:val="99"/>
              </w:rPr>
              <w:t>(dollars in thousands, execpt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95,142</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45,562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95,142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45,562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19,126</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20,420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15,565</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8,529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18,069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6,230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0.80</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 (2)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0.70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0.81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2"/>
              </w:rPr>
              <w:t>Year Ended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rPr>
              <w:t>GAAP</w:t>
            </w: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gridSpan w:val="6"/>
          </w:tcPr>
          <w:p>
            <w:pPr>
              <w:spacing w:after="0"/>
              <w:rPr>
                <w:sz w:val="20"/>
                <w:szCs w:val="20"/>
                <w:color w:val="auto"/>
              </w:rPr>
            </w:pPr>
            <w:r>
              <w:rPr>
                <w:rFonts w:ascii="Arial" w:cs="Arial" w:eastAsia="Arial" w:hAnsi="Arial"/>
                <w:sz w:val="18"/>
                <w:szCs w:val="18"/>
                <w:i w:val="1"/>
                <w:iCs w:val="1"/>
                <w:color w:val="auto"/>
                <w:w w:val="99"/>
              </w:rPr>
              <w:t>(dollars in thousands, execpt EPS)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259,751</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156,624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259,751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156,624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38,702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21,492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43,819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27,120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37,757</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18,780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42,267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23,798</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 (2)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0.89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r>
    </w:tbl>
    <w:p>
      <w:pPr>
        <w:spacing w:after="0" w:line="214" w:lineRule="exact"/>
        <w:rPr>
          <w:sz w:val="20"/>
          <w:szCs w:val="20"/>
          <w:color w:val="auto"/>
        </w:rPr>
      </w:pPr>
    </w:p>
    <w:p>
      <w:pPr>
        <w:ind w:left="340" w:right="6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EPS, also exclude non-cash change in fair value of financial liabilities and unrealized gain on trading securities.</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Diluted EPS includes an impact of $108,000 in the fourth quarter and the full year 2021 from dilutive shares of ACM Research (Shanghai),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ind w:right="480"/>
        <w:spacing w:after="0" w:line="257" w:lineRule="auto"/>
        <w:rPr>
          <w:sz w:val="20"/>
          <w:szCs w:val="20"/>
          <w:color w:val="auto"/>
        </w:rPr>
      </w:pPr>
      <w:r>
        <w:rPr>
          <w:rFonts w:ascii="Arial" w:cs="Arial" w:eastAsia="Arial" w:hAnsi="Arial"/>
          <w:sz w:val="18"/>
          <w:szCs w:val="18"/>
          <w:color w:val="auto"/>
        </w:rPr>
        <w:t>For fiscal year 2022, the Company expects revenue to be in the range of $365 million to $405 million, an increase from guidance provided in a press release announcement made on January 4, 2022. This expectation assumes, among other factors, improvement with respect to the global COVID-19 pandemic and stability in US-China trade policy. The range of ACM’s 2022 outlook reflects, among other things, various spending scenarios for the production ramps of key customers, the absence of unexpected disruptions in ACM’s supply chain, and the timing of acceptances for first tools under evaluation in the field.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Highlights and Recent Announcements</w:t>
      </w:r>
    </w:p>
    <w:p>
      <w:pPr>
        <w:spacing w:after="0" w:line="252" w:lineRule="exact"/>
        <w:rPr>
          <w:sz w:val="20"/>
          <w:szCs w:val="20"/>
          <w:color w:val="auto"/>
        </w:rPr>
      </w:pPr>
    </w:p>
    <w:p>
      <w:pPr>
        <w:ind w:left="340" w:right="80" w:hanging="332"/>
        <w:spacing w:after="0" w:line="289"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Shipments. </w:t>
      </w:r>
      <w:r>
        <w:rPr>
          <w:rFonts w:ascii="Arial" w:cs="Arial" w:eastAsia="Arial" w:hAnsi="Arial"/>
          <w:sz w:val="17"/>
          <w:szCs w:val="17"/>
          <w:color w:val="auto"/>
        </w:rPr>
        <w:t>Total shipments in 2021 were $372 million, versus $182 million in 2020. Total shipments in the fourth quarter of 2021 were $117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versus $67 million in the fourth quarter of 2020 and $99 million in the third quarter of 2021. Total shipments include deliveries for revenue in the quarter and deliveries of first tool systems awaiting customer acceptance for potential revenue in future quarters.</w:t>
      </w:r>
    </w:p>
    <w:p>
      <w:pPr>
        <w:spacing w:after="0" w:line="184" w:lineRule="exact"/>
        <w:rPr>
          <w:rFonts w:ascii="Arial" w:cs="Arial" w:eastAsia="Arial" w:hAnsi="Arial"/>
          <w:sz w:val="17"/>
          <w:szCs w:val="17"/>
          <w:color w:val="auto"/>
        </w:rPr>
      </w:pPr>
    </w:p>
    <w:p>
      <w:pPr>
        <w:ind w:left="340" w:right="120" w:hanging="332"/>
        <w:spacing w:after="0" w:line="30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Orders for Ultra ECP map and Ultra ECP ap copper plating systems. </w:t>
      </w:r>
      <w:r>
        <w:rPr>
          <w:rFonts w:ascii="Arial" w:cs="Arial" w:eastAsia="Arial" w:hAnsi="Arial"/>
          <w:sz w:val="16"/>
          <w:szCs w:val="16"/>
          <w:color w:val="auto"/>
        </w:rPr>
        <w:t>In February 2022 ACM announced it had received volume purchase orders</w:t>
      </w:r>
      <w:r>
        <w:rPr>
          <w:rFonts w:ascii="Arial" w:cs="Arial" w:eastAsia="Arial" w:hAnsi="Arial"/>
          <w:sz w:val="16"/>
          <w:szCs w:val="16"/>
          <w:b w:val="1"/>
          <w:bCs w:val="1"/>
          <w:color w:val="auto"/>
        </w:rPr>
        <w:t xml:space="preserve"> </w:t>
      </w:r>
      <w:r>
        <w:rPr>
          <w:rFonts w:ascii="Arial" w:cs="Arial" w:eastAsia="Arial" w:hAnsi="Arial"/>
          <w:sz w:val="16"/>
          <w:szCs w:val="16"/>
          <w:color w:val="auto"/>
        </w:rPr>
        <w:t>for 13 Ultra ECP map and 8 Ultra ECP ap copper plating systems, of which 10 tools are repeat orders from a top-tier Chinese foundry. The orders represent the first volume purchase order of ACM’s Ultra ECP map systems. The customer has qualified the Ultra ECP map tool in 65 nm to 28 nm processes, where its performance met or exceeded requirements, and has ordered a significant number of tools for its production lines.</w:t>
      </w:r>
    </w:p>
    <w:p>
      <w:pPr>
        <w:spacing w:after="0" w:line="177" w:lineRule="exact"/>
        <w:rPr>
          <w:rFonts w:ascii="Arial" w:cs="Arial" w:eastAsia="Arial" w:hAnsi="Arial"/>
          <w:sz w:val="16"/>
          <w:szCs w:val="16"/>
          <w:color w:val="auto"/>
        </w:rPr>
      </w:pPr>
    </w:p>
    <w:p>
      <w:pPr>
        <w:jc w:val="both"/>
        <w:ind w:left="340" w:right="280" w:hanging="332"/>
        <w:spacing w:after="0" w:line="314"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Orders for Ultra C wb Wet bench Tools. </w:t>
      </w:r>
      <w:r>
        <w:rPr>
          <w:rFonts w:ascii="Arial" w:cs="Arial" w:eastAsia="Arial" w:hAnsi="Arial"/>
          <w:sz w:val="16"/>
          <w:szCs w:val="16"/>
          <w:color w:val="auto"/>
        </w:rPr>
        <w:t>In February 2022 ACM announced it had received volume purchase orders for 29 Ultra C wb wet bench</w:t>
      </w:r>
      <w:r>
        <w:rPr>
          <w:rFonts w:ascii="Arial" w:cs="Arial" w:eastAsia="Arial" w:hAnsi="Arial"/>
          <w:sz w:val="16"/>
          <w:szCs w:val="16"/>
          <w:b w:val="1"/>
          <w:bCs w:val="1"/>
          <w:color w:val="auto"/>
        </w:rPr>
        <w:t xml:space="preserve"> </w:t>
      </w:r>
      <w:r>
        <w:rPr>
          <w:rFonts w:ascii="Arial" w:cs="Arial" w:eastAsia="Arial" w:hAnsi="Arial"/>
          <w:sz w:val="16"/>
          <w:szCs w:val="16"/>
          <w:color w:val="auto"/>
        </w:rPr>
        <w:t>tools for 300 mm wafer applications. The orders are from multiple China-based customers, and include repeat orders for 16 tools from an emerging foundry customer to support its ongoing fab expansion. Shipments are scheduled in two phases, beginning in the first half of 2022.</w:t>
      </w:r>
    </w:p>
    <w:p>
      <w:pPr>
        <w:spacing w:after="0" w:line="168" w:lineRule="exact"/>
        <w:rPr>
          <w:rFonts w:ascii="Arial" w:cs="Arial" w:eastAsia="Arial" w:hAnsi="Arial"/>
          <w:sz w:val="16"/>
          <w:szCs w:val="16"/>
          <w:color w:val="auto"/>
        </w:rPr>
      </w:pPr>
    </w:p>
    <w:p>
      <w:pPr>
        <w:ind w:left="340" w:right="120" w:hanging="332"/>
        <w:spacing w:after="0" w:line="294"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Introduced Compound Semiconductor Tools. </w:t>
      </w:r>
      <w:r>
        <w:rPr>
          <w:rFonts w:ascii="Arial" w:cs="Arial" w:eastAsia="Arial" w:hAnsi="Arial"/>
          <w:sz w:val="16"/>
          <w:szCs w:val="16"/>
          <w:color w:val="auto"/>
        </w:rPr>
        <w:t>This new comprehensive tool set supports compound semiconductor manufacturing, which addresses</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demand from electric vehicle, 5G communication and AI markets. ACM’s 150mm-200mm bridge systems support front-end cleaning and a wide range of advanced wafer-level packaging applications for compound semiconductors, including gallium arsenide (GaAs), gallium nitride (GaN) and silicon carbide (SiC) processes. The wet process portfolio includes coater, developer, photoresist (PR) stripper, wet etcher, cleaner and metal plating tools. In January 2022 ACM announced it had delivered one Ultra C wet etch tool and two electrochemical plating (ECP) GIII tools and received a purchase order for two Ultra C PR wet stripping systems from a leading global integrated device manufacturer.</w:t>
      </w:r>
    </w:p>
    <w:p>
      <w:pPr>
        <w:spacing w:after="0" w:line="186" w:lineRule="exact"/>
        <w:rPr>
          <w:rFonts w:ascii="Arial" w:cs="Arial" w:eastAsia="Arial" w:hAnsi="Arial"/>
          <w:sz w:val="16"/>
          <w:szCs w:val="16"/>
          <w:color w:val="auto"/>
        </w:rPr>
      </w:pPr>
    </w:p>
    <w:p>
      <w:pPr>
        <w:ind w:left="340" w:hanging="332"/>
        <w:spacing w:after="0" w:line="281"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Orders for SAPS Single-Wafer-Cleaning Tools</w:t>
      </w:r>
      <w:r>
        <w:rPr>
          <w:rFonts w:ascii="Arial" w:cs="Arial" w:eastAsia="Arial" w:hAnsi="Arial"/>
          <w:sz w:val="17"/>
          <w:szCs w:val="17"/>
          <w:color w:val="auto"/>
        </w:rPr>
        <w:t>. In December 2021 ACM announced it had received orders for Ultra C SAPS V 12-chamber cleaning</w:t>
      </w:r>
      <w:r>
        <w:rPr>
          <w:rFonts w:ascii="Arial" w:cs="Arial" w:eastAsia="Arial" w:hAnsi="Arial"/>
          <w:sz w:val="17"/>
          <w:szCs w:val="17"/>
          <w:b w:val="1"/>
          <w:bCs w:val="1"/>
          <w:color w:val="auto"/>
        </w:rPr>
        <w:t xml:space="preserve"> </w:t>
      </w:r>
      <w:r>
        <w:rPr>
          <w:rFonts w:ascii="Arial" w:cs="Arial" w:eastAsia="Arial" w:hAnsi="Arial"/>
          <w:sz w:val="17"/>
          <w:szCs w:val="17"/>
          <w:color w:val="auto"/>
        </w:rPr>
        <w:t>tools from a major U.S.-based global semiconductor manufacturer. Both tools are expected to be installed in the prospective customer’s U.S. facilities for use in its advanced processes. The orders, scheduled for delivery in the first half of 2022, include an evaluation tool to further confirm the tool’s cleaning performance and a production tool intended for a high-volume manufacturing line.</w:t>
      </w:r>
    </w:p>
    <w:p>
      <w:pPr>
        <w:spacing w:after="0" w:line="191" w:lineRule="exact"/>
        <w:rPr>
          <w:rFonts w:ascii="Arial" w:cs="Arial" w:eastAsia="Arial" w:hAnsi="Arial"/>
          <w:sz w:val="17"/>
          <w:szCs w:val="17"/>
          <w:color w:val="auto"/>
        </w:rPr>
      </w:pPr>
    </w:p>
    <w:p>
      <w:pPr>
        <w:ind w:left="340" w:right="22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Completion of ACM Shanghai’s STAR Market IPO and Shares Listing. </w:t>
      </w:r>
      <w:r>
        <w:rPr>
          <w:rFonts w:ascii="Arial" w:cs="Arial" w:eastAsia="Arial" w:hAnsi="Arial"/>
          <w:sz w:val="18"/>
          <w:szCs w:val="18"/>
          <w:color w:val="auto"/>
        </w:rPr>
        <w:t>ACM Shanghai completed its IPO process and started trading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Shanghai Stock Exchange's Sci-Tech innovAtion boaRd (the STAR Market), under the stock code: 688082, on November 18, 2021. In its IPO ACM Shanghai issued 43,355,753 shares, representing 10% of the total 433,557,100 shares outstanding after the IPO. The shares were issued at a public offering price of RMB 85.00 per share, and the gross proceeds of the IPO totaled RMB 3.685 billion (US$577 million based on November 17, 2021 currency exchange 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 2021 Financial Summary</w:t>
      </w:r>
    </w:p>
    <w:p>
      <w:pPr>
        <w:spacing w:after="0" w:line="252" w:lineRule="exact"/>
        <w:rPr>
          <w:sz w:val="20"/>
          <w:szCs w:val="20"/>
          <w:color w:val="auto"/>
        </w:rPr>
      </w:pPr>
    </w:p>
    <w:p>
      <w:pPr>
        <w:ind w:left="340" w:right="10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2021 was $259.8 million, up 66% from 2020, reflecting a 44% increase in revenue from single wafer cleaning, Tahoe and semi-critical</w:t>
      </w:r>
      <w:r>
        <w:rPr>
          <w:rFonts w:ascii="Arial" w:cs="Arial" w:eastAsia="Arial" w:hAnsi="Arial"/>
          <w:sz w:val="18"/>
          <w:szCs w:val="18"/>
          <w:b w:val="1"/>
          <w:bCs w:val="1"/>
          <w:color w:val="auto"/>
        </w:rPr>
        <w:t xml:space="preserve"> </w:t>
      </w:r>
      <w:r>
        <w:rPr>
          <w:rFonts w:ascii="Arial" w:cs="Arial" w:eastAsia="Arial" w:hAnsi="Arial"/>
          <w:sz w:val="18"/>
          <w:szCs w:val="18"/>
          <w:color w:val="auto"/>
        </w:rPr>
        <w:t>cleaning equipment, a 149% increase in revenue from ECP, furnace and other technologies, and a 210% increase in revenue from advanced packaging (excluding ECP), services and spares.</w:t>
      </w:r>
    </w:p>
    <w:p>
      <w:pPr>
        <w:spacing w:after="0" w:line="202" w:lineRule="exact"/>
        <w:rPr>
          <w:rFonts w:ascii="Arial" w:cs="Arial" w:eastAsia="Arial" w:hAnsi="Arial"/>
          <w:sz w:val="18"/>
          <w:szCs w:val="18"/>
          <w:color w:val="auto"/>
        </w:rPr>
      </w:pPr>
    </w:p>
    <w:p>
      <w:pPr>
        <w:ind w:left="340" w:right="10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for 2021 was 44.2%, versus 44.4% in 2020. Non-GAAP gross margin, which excludes stock-based compensation, was 44.4%, versus</w:t>
      </w:r>
      <w:r>
        <w:rPr>
          <w:rFonts w:ascii="Arial" w:cs="Arial" w:eastAsia="Arial" w:hAnsi="Arial"/>
          <w:sz w:val="18"/>
          <w:szCs w:val="18"/>
          <w:b w:val="1"/>
          <w:bCs w:val="1"/>
          <w:color w:val="auto"/>
        </w:rPr>
        <w:t xml:space="preserve"> </w:t>
      </w:r>
      <w:r>
        <w:rPr>
          <w:rFonts w:ascii="Arial" w:cs="Arial" w:eastAsia="Arial" w:hAnsi="Arial"/>
          <w:sz w:val="18"/>
          <w:szCs w:val="18"/>
          <w:color w:val="auto"/>
        </w:rPr>
        <w:t>44.5% in 2020. Gross margin was within the range of 40% to 45% reflected in the Company’s long-term business model. The Company expects gross margin to vary from period to period due to a variety of factors, such as sales volume and product mix.</w:t>
      </w:r>
    </w:p>
    <w:p>
      <w:pPr>
        <w:spacing w:after="0" w:line="202" w:lineRule="exact"/>
        <w:rPr>
          <w:rFonts w:ascii="Arial" w:cs="Arial" w:eastAsia="Arial" w:hAnsi="Arial"/>
          <w:sz w:val="18"/>
          <w:szCs w:val="18"/>
          <w:color w:val="auto"/>
        </w:rPr>
      </w:pPr>
    </w:p>
    <w:p>
      <w:pPr>
        <w:jc w:val="both"/>
        <w:ind w:left="340" w:right="340" w:hanging="332"/>
        <w:spacing w:after="0" w:line="26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for 2021 were $76.2 million, compared to $48.1 million in 2020. Non-GAAP operating expenses, which exclude the effect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were $71.4 million, compared to $42.7 million in 2020. The increase in operating expenses for 2021 was due to higher research and development spending on new products.</w:t>
      </w:r>
    </w:p>
    <w:p>
      <w:pPr>
        <w:spacing w:after="0" w:line="377" w:lineRule="exact"/>
        <w:rPr>
          <w:rFonts w:ascii="Arial" w:cs="Arial" w:eastAsia="Arial" w:hAnsi="Arial"/>
          <w:sz w:val="18"/>
          <w:szCs w:val="18"/>
          <w:color w:val="auto"/>
        </w:rPr>
      </w:pPr>
    </w:p>
    <w:p>
      <w:pPr>
        <w:ind w:left="5580" w:hanging="76"/>
        <w:spacing w:after="0"/>
        <w:tabs>
          <w:tab w:leader="none" w:pos="5580" w:val="left"/>
        </w:tabs>
        <w:numPr>
          <w:ilvl w:val="1"/>
          <w:numId w:val="4"/>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340" w:right="14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for 2021 was $38.7 million, compared to $21.5 million in 2020. Operating income as a percent of revenue was 14.9% in 2021</w:t>
      </w:r>
      <w:r>
        <w:rPr>
          <w:rFonts w:ascii="Arial" w:cs="Arial" w:eastAsia="Arial" w:hAnsi="Arial"/>
          <w:sz w:val="18"/>
          <w:szCs w:val="18"/>
          <w:b w:val="1"/>
          <w:bCs w:val="1"/>
          <w:color w:val="auto"/>
        </w:rPr>
        <w:t xml:space="preserve"> </w:t>
      </w:r>
      <w:r>
        <w:rPr>
          <w:rFonts w:ascii="Arial" w:cs="Arial" w:eastAsia="Arial" w:hAnsi="Arial"/>
          <w:sz w:val="18"/>
          <w:szCs w:val="18"/>
          <w:color w:val="auto"/>
        </w:rPr>
        <w:t>versus 13.7% in 2020. Non-GAAP operating income, which excludes the effect of stock-based compensation, was $43.8 million, compared to $27.1 million in 2020.</w:t>
      </w:r>
    </w:p>
    <w:p>
      <w:pPr>
        <w:spacing w:after="0" w:line="202" w:lineRule="exact"/>
        <w:rPr>
          <w:rFonts w:ascii="Arial" w:cs="Arial" w:eastAsia="Arial" w:hAnsi="Arial"/>
          <w:sz w:val="18"/>
          <w:szCs w:val="18"/>
          <w:color w:val="auto"/>
        </w:rPr>
      </w:pPr>
    </w:p>
    <w:p>
      <w:pPr>
        <w:ind w:left="340" w:right="20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Unrealized gain on trading securities </w:t>
      </w:r>
      <w:r>
        <w:rPr>
          <w:rFonts w:ascii="Arial" w:cs="Arial" w:eastAsia="Arial" w:hAnsi="Arial"/>
          <w:sz w:val="18"/>
          <w:szCs w:val="18"/>
          <w:color w:val="auto"/>
        </w:rPr>
        <w:t>for 2021 was $0.6 million. The gain reflects the change in market value of ACM Shanghai’s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STAR Market IPO shares of Semiconductor Manufacturing International Corporation (SMIC), which began trading in mid-July 2020. The value was marked-to-market at year-end and is excluded from non-GAAP results.</w:t>
      </w:r>
    </w:p>
    <w:p>
      <w:pPr>
        <w:spacing w:after="0" w:line="202" w:lineRule="exact"/>
        <w:rPr>
          <w:rFonts w:ascii="Arial" w:cs="Arial" w:eastAsia="Arial" w:hAnsi="Arial"/>
          <w:sz w:val="18"/>
          <w:szCs w:val="18"/>
          <w:color w:val="auto"/>
        </w:rPr>
      </w:pPr>
    </w:p>
    <w:p>
      <w:pPr>
        <w:ind w:left="340" w:right="20" w:hanging="332"/>
        <w:spacing w:after="0" w:line="30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Net income attributable to ACM Research, Inc. </w:t>
      </w:r>
      <w:r>
        <w:rPr>
          <w:rFonts w:ascii="Arial" w:cs="Arial" w:eastAsia="Arial" w:hAnsi="Arial"/>
          <w:sz w:val="16"/>
          <w:szCs w:val="16"/>
          <w:color w:val="auto"/>
        </w:rPr>
        <w:t>for 2021 was $37.8 million, compared to $18.8 million in 2020. Non-GAAP net income</w:t>
      </w:r>
      <w:r>
        <w:rPr>
          <w:rFonts w:ascii="Arial" w:cs="Arial" w:eastAsia="Arial" w:hAnsi="Arial"/>
          <w:sz w:val="16"/>
          <w:szCs w:val="16"/>
          <w:b w:val="1"/>
          <w:bCs w:val="1"/>
          <w:color w:val="auto"/>
        </w:rPr>
        <w:t xml:space="preserve"> </w:t>
      </w:r>
      <w:r>
        <w:rPr>
          <w:rFonts w:ascii="Arial" w:cs="Arial" w:eastAsia="Arial" w:hAnsi="Arial"/>
          <w:sz w:val="16"/>
          <w:szCs w:val="16"/>
          <w:color w:val="auto"/>
        </w:rPr>
        <w:t>attributable to ACM Research, Inc. in 2021, excluding the effect of stock-based compensation, non-cash change in fair value of financial liabilities, and unrealized gain on trading securities, was $42.3 million as compared to $23.8 million in 2020. Tax items (compared to a normalized tax rate), and the effects of foreign-exchange fluctuations on operating results provided net benefits of $4.9 million and $0.9 million in 2021 and 2020, respectively.</w:t>
      </w:r>
    </w:p>
    <w:p>
      <w:pPr>
        <w:spacing w:after="0" w:line="177"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per diluted share attributable to ACM Research, Inc. </w:t>
      </w:r>
      <w:r>
        <w:rPr>
          <w:rFonts w:ascii="Arial" w:cs="Arial" w:eastAsia="Arial" w:hAnsi="Arial"/>
          <w:sz w:val="18"/>
          <w:szCs w:val="18"/>
          <w:color w:val="auto"/>
        </w:rPr>
        <w:t>for 2021 was $1.73, compared to $0.89 in 2020. Non-GAAP net income per</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share, which excludes the effect of stock-based compensation, non-cash change in fair value of financial liabilities, and unrealized gain on trading securities, was $1.94 in 2021, compared to $1.12 in 2020. Tax items and effects of foreign-exchange fluctuations on operating results provided net benefits per share of $0.23 and $0.04 in 2021 and 2020, respectively.</w:t>
      </w:r>
    </w:p>
    <w:p>
      <w:pPr>
        <w:spacing w:after="0" w:line="206" w:lineRule="exact"/>
        <w:rPr>
          <w:rFonts w:ascii="Arial" w:cs="Arial" w:eastAsia="Arial" w:hAnsi="Arial"/>
          <w:sz w:val="18"/>
          <w:szCs w:val="18"/>
          <w:color w:val="auto"/>
        </w:rPr>
      </w:pPr>
    </w:p>
    <w:p>
      <w:pPr>
        <w:ind w:left="340" w:right="320" w:hanging="332"/>
        <w:spacing w:after="0" w:line="312"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at December 31, 2021 were $563.1 million, versus $71.8 million at December 31, 2020. In addition, at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2021, ACM Shanghai’s STAR Market equity investment in SMIC at December 31, 2021 had a fair value of $29.5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2021 Financial Summary</w:t>
      </w:r>
    </w:p>
    <w:p>
      <w:pPr>
        <w:spacing w:after="0" w:line="252" w:lineRule="exact"/>
        <w:rPr>
          <w:sz w:val="20"/>
          <w:szCs w:val="20"/>
          <w:color w:val="auto"/>
        </w:rPr>
      </w:pPr>
    </w:p>
    <w:p>
      <w:pPr>
        <w:jc w:val="both"/>
        <w:ind w:left="340" w:right="220" w:hanging="332"/>
        <w:spacing w:after="0" w:line="26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in the fourth quarter of 2021 was $95.1 million, up 109% year over year, reflecting a 68% increase in revenue from single wafer cleaning,</w:t>
      </w:r>
      <w:r>
        <w:rPr>
          <w:rFonts w:ascii="Arial" w:cs="Arial" w:eastAsia="Arial" w:hAnsi="Arial"/>
          <w:sz w:val="18"/>
          <w:szCs w:val="18"/>
          <w:b w:val="1"/>
          <w:bCs w:val="1"/>
          <w:color w:val="auto"/>
        </w:rPr>
        <w:t xml:space="preserve"> </w:t>
      </w:r>
      <w:r>
        <w:rPr>
          <w:rFonts w:ascii="Arial" w:cs="Arial" w:eastAsia="Arial" w:hAnsi="Arial"/>
          <w:sz w:val="18"/>
          <w:szCs w:val="18"/>
          <w:color w:val="auto"/>
        </w:rPr>
        <w:t>Tahoe and semi-critical cleaning equipment, a 386% increase in revenue from ECP, furnace and other technologies, and a 189% increase in revenue from advanced packaging (excluding ECP), services and spares.</w:t>
      </w:r>
    </w:p>
    <w:p>
      <w:pPr>
        <w:spacing w:after="0" w:line="202" w:lineRule="exact"/>
        <w:rPr>
          <w:rFonts w:ascii="Arial" w:cs="Arial" w:eastAsia="Arial" w:hAnsi="Arial"/>
          <w:sz w:val="18"/>
          <w:szCs w:val="18"/>
          <w:color w:val="auto"/>
        </w:rPr>
      </w:pPr>
    </w:p>
    <w:p>
      <w:pPr>
        <w:ind w:left="340" w:right="1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in the fourth quarter of 2021 was 47.8%, up from 43.2% in the same period of 2020. Non-GAAP gross margin, which excludes stock-based compensation, was 47.9%, versus 43.3% in 2020. Gross margin exceeded the high end of the range of 40% to 45% set forth in the Company’s long-term business model. The Company expects gross margin to vary from period to period due to a variety of factors, such as sales volume and product mix.</w:t>
      </w:r>
    </w:p>
    <w:p>
      <w:pPr>
        <w:spacing w:after="0" w:line="206" w:lineRule="exact"/>
        <w:rPr>
          <w:rFonts w:ascii="Arial" w:cs="Arial" w:eastAsia="Arial" w:hAnsi="Arial"/>
          <w:sz w:val="18"/>
          <w:szCs w:val="18"/>
          <w:color w:val="auto"/>
        </w:rPr>
      </w:pPr>
    </w:p>
    <w:p>
      <w:pPr>
        <w:ind w:left="340" w:right="260" w:hanging="332"/>
        <w:spacing w:after="0" w:line="314"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in the fourth quarter of 2021 were $26.3 million, up from $14.2 million in the fourth quarter of 2020. Non-GAAP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which exclude the effects of stock-based compensation, were $25.1 million, compared to $13.0 million in the fourth quarter of 2020. The increase in operating expenses for the fourth quarter of 2021 was due to higher research and development spending on new products.</w:t>
      </w:r>
    </w:p>
    <w:p>
      <w:pPr>
        <w:spacing w:after="0" w:line="168" w:lineRule="exact"/>
        <w:rPr>
          <w:rFonts w:ascii="Arial" w:cs="Arial" w:eastAsia="Arial" w:hAnsi="Arial"/>
          <w:sz w:val="16"/>
          <w:szCs w:val="16"/>
          <w:color w:val="auto"/>
        </w:rPr>
      </w:pPr>
    </w:p>
    <w:p>
      <w:pPr>
        <w:jc w:val="both"/>
        <w:ind w:left="340" w:hanging="332"/>
        <w:spacing w:after="0" w:line="289"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Operating income </w:t>
      </w:r>
      <w:r>
        <w:rPr>
          <w:rFonts w:ascii="Arial" w:cs="Arial" w:eastAsia="Arial" w:hAnsi="Arial"/>
          <w:sz w:val="17"/>
          <w:szCs w:val="17"/>
          <w:color w:val="auto"/>
        </w:rPr>
        <w:t>in the fourth quarter of 2021 was $19.1 million, up from $5.4 million in the fourth quarter of 2020. Operating income as a percent</w:t>
      </w:r>
      <w:r>
        <w:rPr>
          <w:rFonts w:ascii="Arial" w:cs="Arial" w:eastAsia="Arial" w:hAnsi="Arial"/>
          <w:sz w:val="17"/>
          <w:szCs w:val="17"/>
          <w:b w:val="1"/>
          <w:bCs w:val="1"/>
          <w:color w:val="auto"/>
        </w:rPr>
        <w:t xml:space="preserve"> </w:t>
      </w:r>
      <w:r>
        <w:rPr>
          <w:rFonts w:ascii="Arial" w:cs="Arial" w:eastAsia="Arial" w:hAnsi="Arial"/>
          <w:sz w:val="17"/>
          <w:szCs w:val="17"/>
          <w:color w:val="auto"/>
        </w:rPr>
        <w:t>of revenue was 20.1% in the fourth quarter of 2021 versus 11.9% in the same period of 2020. Non-GAAP operating income, which excludes the effect of stock-based compensation, was $20.4 million, compared to $6.7 million in the fourth quarter of 2020.</w:t>
      </w:r>
    </w:p>
    <w:p>
      <w:pPr>
        <w:spacing w:after="0" w:line="184" w:lineRule="exact"/>
        <w:rPr>
          <w:rFonts w:ascii="Arial" w:cs="Arial" w:eastAsia="Arial" w:hAnsi="Arial"/>
          <w:sz w:val="17"/>
          <w:szCs w:val="17"/>
          <w:color w:val="auto"/>
        </w:rPr>
      </w:pPr>
    </w:p>
    <w:p>
      <w:pPr>
        <w:jc w:val="both"/>
        <w:ind w:left="340" w:right="20" w:hanging="332"/>
        <w:spacing w:after="0" w:line="26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Unrealized loss on trading securities </w:t>
      </w:r>
      <w:r>
        <w:rPr>
          <w:rFonts w:ascii="Arial" w:cs="Arial" w:eastAsia="Arial" w:hAnsi="Arial"/>
          <w:sz w:val="18"/>
          <w:szCs w:val="18"/>
          <w:color w:val="auto"/>
        </w:rPr>
        <w:t>was $1.2 million in the fourth quarter of 2021. The loss reflects the change in market value of ACM Shanghai’s</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investment in STAR Market IPO shares of SMIC, which began trading in mid-July 2020. The value was marked-to-market at quarter-end and is excluded from non-GAAP results.</w:t>
      </w:r>
    </w:p>
    <w:p>
      <w:pPr>
        <w:spacing w:after="0" w:line="202" w:lineRule="exact"/>
        <w:rPr>
          <w:rFonts w:ascii="Arial" w:cs="Arial" w:eastAsia="Arial" w:hAnsi="Arial"/>
          <w:sz w:val="18"/>
          <w:szCs w:val="18"/>
          <w:color w:val="auto"/>
        </w:rPr>
      </w:pPr>
    </w:p>
    <w:p>
      <w:pPr>
        <w:ind w:left="340" w:hanging="332"/>
        <w:spacing w:after="0" w:line="294"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Net income attributable to ACM Research, Inc. </w:t>
      </w:r>
      <w:r>
        <w:rPr>
          <w:rFonts w:ascii="Arial" w:cs="Arial" w:eastAsia="Arial" w:hAnsi="Arial"/>
          <w:sz w:val="16"/>
          <w:szCs w:val="16"/>
          <w:color w:val="auto"/>
        </w:rPr>
        <w:t>in the fourth quarter of 2021 was $15.6 million, compared to $8.5 million in the fourth quarter of</w:t>
      </w:r>
      <w:r>
        <w:rPr>
          <w:rFonts w:ascii="Arial" w:cs="Arial" w:eastAsia="Arial" w:hAnsi="Arial"/>
          <w:sz w:val="16"/>
          <w:szCs w:val="16"/>
          <w:b w:val="1"/>
          <w:bCs w:val="1"/>
          <w:color w:val="auto"/>
        </w:rPr>
        <w:t xml:space="preserve"> </w:t>
      </w:r>
      <w:r>
        <w:rPr>
          <w:rFonts w:ascii="Arial" w:cs="Arial" w:eastAsia="Arial" w:hAnsi="Arial"/>
          <w:sz w:val="16"/>
          <w:szCs w:val="16"/>
          <w:color w:val="auto"/>
        </w:rPr>
        <w:t>2020. Non-GAAP net income attributable to ACM Research, Inc. in the fourth quarter of 2021, excluding the effect of stock-based compensation, and unrealized gain on trading securities, was $18.1 million as compared to $6.2 in the fourth quarter of 2020. Equity income in net income of affiliates contributed $3.6 million in the fourth quarter of 2021, due in part to an investment-related gain from ACM Shanghai’s participation in a limited partnership, as compared to $0.1 million in the fourth quarter of 2020. Tax-related items (compared to a normalized tax rate) and the effects of foreign-exchange fluctuations on operating results provided a net benefit of $0.2 million and $0.9 million in the fourth quarters of 2021 and 2020, respectively.</w:t>
      </w:r>
    </w:p>
    <w:p>
      <w:pPr>
        <w:spacing w:after="0" w:line="361" w:lineRule="exact"/>
        <w:rPr>
          <w:rFonts w:ascii="Arial" w:cs="Arial" w:eastAsia="Arial" w:hAnsi="Arial"/>
          <w:sz w:val="16"/>
          <w:szCs w:val="16"/>
          <w:color w:val="auto"/>
        </w:rPr>
      </w:pPr>
    </w:p>
    <w:p>
      <w:pPr>
        <w:ind w:left="5580" w:hanging="76"/>
        <w:spacing w:after="0"/>
        <w:tabs>
          <w:tab w:leader="none" w:pos="5580" w:val="left"/>
        </w:tabs>
        <w:numPr>
          <w:ilvl w:val="1"/>
          <w:numId w:val="6"/>
        </w:numPr>
        <w:rPr>
          <w:rFonts w:ascii="Arial" w:cs="Arial" w:eastAsia="Arial" w:hAnsi="Arial"/>
          <w:sz w:val="14"/>
          <w:szCs w:val="14"/>
          <w:color w:val="auto"/>
        </w:rPr>
      </w:pPr>
      <w:r>
        <w:rPr>
          <w:rFonts w:ascii="Arial" w:cs="Arial" w:eastAsia="Arial" w:hAnsi="Arial"/>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340" w:right="140" w:hanging="332"/>
        <w:spacing w:after="0" w:line="30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Net income per diluted share attributable to ACM Research, Inc. </w:t>
      </w:r>
      <w:r>
        <w:rPr>
          <w:rFonts w:ascii="Arial" w:cs="Arial" w:eastAsia="Arial" w:hAnsi="Arial"/>
          <w:sz w:val="16"/>
          <w:szCs w:val="16"/>
          <w:color w:val="auto"/>
        </w:rPr>
        <w:t>in the fourth quarter of 2021 was $0.70, compared to $0.39 in the fourth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of 2020. Non-GAAP net income per diluted share, which excludes the effect of stock-based compensation and unrealized gain on trading securities, was $0.81 in the fourth quarter of 2021, compared to $0.29 in the fourth quarter of 2020. Tax items and effects of foreign-exchange fluctuations on operating results provided a net benefit per share of $0.01 and $0.04 in the fourth quarters of 2021 and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 conference call to discuss results will be held on Friday, February 25, 2021, at 8:00 a.m. Eastern Time (9:00 p.m. China Time). Dial-in details for the call are as follows. Please reference conference ID </w:t>
      </w:r>
      <w:r>
        <w:rPr>
          <w:rFonts w:ascii="Arial" w:cs="Arial" w:eastAsia="Arial" w:hAnsi="Arial"/>
          <w:sz w:val="18"/>
          <w:szCs w:val="18"/>
          <w:b w:val="1"/>
          <w:bCs w:val="1"/>
          <w:color w:val="auto"/>
        </w:rPr>
        <w:t>9396606</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3780" w:type="dxa"/>
            <w:vAlign w:val="bottom"/>
          </w:tcPr>
          <w:p>
            <w:pPr>
              <w:ind w:left="1260"/>
              <w:spacing w:after="0"/>
              <w:rPr>
                <w:sz w:val="20"/>
                <w:szCs w:val="20"/>
                <w:color w:val="auto"/>
              </w:rPr>
            </w:pPr>
            <w:r>
              <w:rPr>
                <w:rFonts w:ascii="Arial" w:cs="Arial" w:eastAsia="Arial" w:hAnsi="Arial"/>
                <w:sz w:val="18"/>
                <w:szCs w:val="18"/>
                <w:color w:val="auto"/>
              </w:rPr>
              <w:t>Phone Number</w:t>
            </w:r>
          </w:p>
        </w:tc>
        <w:tc>
          <w:tcPr>
            <w:tcW w:w="2520" w:type="dxa"/>
            <w:vAlign w:val="bottom"/>
          </w:tcPr>
          <w:p>
            <w:pPr>
              <w:ind w:left="1160"/>
              <w:spacing w:after="0"/>
              <w:rPr>
                <w:sz w:val="20"/>
                <w:szCs w:val="20"/>
                <w:color w:val="auto"/>
              </w:rPr>
            </w:pPr>
            <w:r>
              <w:rPr>
                <w:rFonts w:ascii="Arial" w:cs="Arial" w:eastAsia="Arial" w:hAnsi="Arial"/>
                <w:sz w:val="18"/>
                <w:szCs w:val="18"/>
                <w:color w:val="auto"/>
                <w:w w:val="94"/>
              </w:rPr>
              <w:t>Toll-Free Number</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United States</w:t>
            </w:r>
          </w:p>
        </w:tc>
        <w:tc>
          <w:tcPr>
            <w:tcW w:w="3780" w:type="dxa"/>
            <w:vAlign w:val="bottom"/>
          </w:tcPr>
          <w:p>
            <w:pPr>
              <w:ind w:left="1260"/>
              <w:spacing w:after="0"/>
              <w:rPr>
                <w:sz w:val="20"/>
                <w:szCs w:val="20"/>
                <w:color w:val="auto"/>
              </w:rPr>
            </w:pPr>
            <w:r>
              <w:rPr>
                <w:rFonts w:ascii="Arial" w:cs="Arial" w:eastAsia="Arial" w:hAnsi="Arial"/>
                <w:sz w:val="18"/>
                <w:szCs w:val="18"/>
                <w:color w:val="auto"/>
              </w:rPr>
              <w:t>+1 (661) 567-1217</w:t>
            </w:r>
          </w:p>
        </w:tc>
        <w:tc>
          <w:tcPr>
            <w:tcW w:w="2520" w:type="dxa"/>
            <w:vAlign w:val="bottom"/>
          </w:tcPr>
          <w:p>
            <w:pPr>
              <w:ind w:left="1160"/>
              <w:spacing w:after="0"/>
              <w:rPr>
                <w:sz w:val="20"/>
                <w:szCs w:val="20"/>
                <w:color w:val="auto"/>
              </w:rPr>
            </w:pPr>
            <w:r>
              <w:rPr>
                <w:rFonts w:ascii="Arial" w:cs="Arial" w:eastAsia="Arial" w:hAnsi="Arial"/>
                <w:sz w:val="18"/>
                <w:szCs w:val="18"/>
                <w:color w:val="auto"/>
                <w:w w:val="90"/>
              </w:rPr>
              <w:t>+1 (833) 562-0137</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Hong Kong</w:t>
            </w:r>
          </w:p>
        </w:tc>
        <w:tc>
          <w:tcPr>
            <w:tcW w:w="3780" w:type="dxa"/>
            <w:vAlign w:val="bottom"/>
          </w:tcPr>
          <w:p>
            <w:pPr>
              <w:ind w:left="1260"/>
              <w:spacing w:after="0"/>
              <w:rPr>
                <w:sz w:val="20"/>
                <w:szCs w:val="20"/>
                <w:color w:val="auto"/>
              </w:rPr>
            </w:pPr>
            <w:r>
              <w:rPr>
                <w:rFonts w:ascii="Arial" w:cs="Arial" w:eastAsia="Arial" w:hAnsi="Arial"/>
                <w:sz w:val="18"/>
                <w:szCs w:val="18"/>
                <w:color w:val="auto"/>
              </w:rPr>
              <w:t>+852 5819 4851</w:t>
            </w:r>
          </w:p>
        </w:tc>
        <w:tc>
          <w:tcPr>
            <w:tcW w:w="2520" w:type="dxa"/>
            <w:vAlign w:val="bottom"/>
          </w:tcPr>
          <w:p>
            <w:pPr>
              <w:ind w:left="1160"/>
              <w:spacing w:after="0"/>
              <w:rPr>
                <w:sz w:val="20"/>
                <w:szCs w:val="20"/>
                <w:color w:val="auto"/>
              </w:rPr>
            </w:pPr>
            <w:r>
              <w:rPr>
                <w:rFonts w:ascii="Arial" w:cs="Arial" w:eastAsia="Arial" w:hAnsi="Arial"/>
                <w:sz w:val="18"/>
                <w:szCs w:val="18"/>
                <w:color w:val="auto"/>
                <w:w w:val="95"/>
              </w:rPr>
              <w:t>+852 8009 66253</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Mainland China</w:t>
            </w:r>
          </w:p>
        </w:tc>
        <w:tc>
          <w:tcPr>
            <w:tcW w:w="3780" w:type="dxa"/>
            <w:vAlign w:val="bottom"/>
          </w:tcPr>
          <w:p>
            <w:pPr>
              <w:ind w:left="1260"/>
              <w:spacing w:after="0"/>
              <w:rPr>
                <w:sz w:val="20"/>
                <w:szCs w:val="20"/>
                <w:color w:val="auto"/>
              </w:rPr>
            </w:pPr>
            <w:r>
              <w:rPr>
                <w:rFonts w:ascii="Arial" w:cs="Arial" w:eastAsia="Arial" w:hAnsi="Arial"/>
                <w:sz w:val="18"/>
                <w:szCs w:val="18"/>
                <w:color w:val="auto"/>
              </w:rPr>
              <w:t>+86 8008700169</w:t>
            </w:r>
          </w:p>
        </w:tc>
        <w:tc>
          <w:tcPr>
            <w:tcW w:w="252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3780" w:type="dxa"/>
            <w:vAlign w:val="bottom"/>
          </w:tcPr>
          <w:p>
            <w:pPr>
              <w:ind w:left="1260"/>
              <w:spacing w:after="0"/>
              <w:rPr>
                <w:sz w:val="20"/>
                <w:szCs w:val="20"/>
                <w:color w:val="auto"/>
              </w:rPr>
            </w:pPr>
            <w:r>
              <w:rPr>
                <w:rFonts w:ascii="Arial" w:cs="Arial" w:eastAsia="Arial" w:hAnsi="Arial"/>
                <w:sz w:val="18"/>
                <w:szCs w:val="18"/>
                <w:color w:val="auto"/>
              </w:rPr>
              <w:t>+86 4006828609</w:t>
            </w:r>
          </w:p>
        </w:tc>
        <w:tc>
          <w:tcPr>
            <w:tcW w:w="252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recording of the webcast will be available on the investor page of the ACM website at www.acmrcsh.com for one week following the call.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ACM presents non-GAAP gross margin, operating expenses, operating income, net income (loss)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EPS exclude non-cash change in fair value of financial assets and liabilities and unrealized gain on trading securities, which ACM also believes are not indicative of its core operating results. A reconciliation of each non-GAAP financial measure to the most directly comparable GAAP financial measure is provided below under “Reconciliation of Non-GAAP to GAAP Financial Measures.”</w:t>
      </w:r>
    </w:p>
    <w:p>
      <w:pPr>
        <w:spacing w:after="0" w:line="19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2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contained in the second, third and fourth paragraphs of this press release, under the heading “Outlook” above, and in the fifth bullet under “Operating Highlights and Recent Announcements” above are not historical facts and may be forward-looking statements within the meaning of the Private Securities Litigation Reform Act of 1995. Forward-looking statements include statements regarding the intent, belief and current expectations with respect to: the demand for ACM’s tools, including specifically in fiscal year 2022; the expansion in 2022 of ACM’s product offering, production capacity and base of major customers; and the timing and ability of ACM to secure orders from new customers. Those statement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adding additional production capacity and engaging additional major customers; volatile global economic, market, industry and other conditions could result in sharply lower demand for products containing semiconductors and for the Company's products and in disruption of capital and credit markets;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undertakes no obligation to publicly update these forward-looking statements to reflect events or circumstances that occur after the date hereof or to reflect any change in its expectations regarding these forward-looking statements or the occurrence of unanticipated events.</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214" w:lineRule="exact"/>
        <w:rPr>
          <w:sz w:val="20"/>
          <w:szCs w:val="20"/>
          <w:color w:val="auto"/>
        </w:rPr>
      </w:pPr>
    </w:p>
    <w:p>
      <w:pPr>
        <w:ind w:firstLine="8"/>
        <w:spacing w:after="0" w:line="263" w:lineRule="auto"/>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color w:val="auto"/>
        </w:rPr>
        <w:t>ACM Research, Inc. SAPS,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04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2500" w:type="dxa"/>
            <w:vAlign w:val="bottom"/>
          </w:tcPr>
          <w:p>
            <w:pPr>
              <w:ind w:left="560"/>
              <w:spacing w:after="0"/>
              <w:rPr>
                <w:sz w:val="20"/>
                <w:szCs w:val="20"/>
                <w:color w:val="auto"/>
              </w:rPr>
            </w:pPr>
            <w:r>
              <w:rPr>
                <w:rFonts w:ascii="Arial" w:cs="Arial" w:eastAsia="Arial" w:hAnsi="Arial"/>
                <w:sz w:val="18"/>
                <w:szCs w:val="18"/>
                <w:color w:val="auto"/>
              </w:rPr>
              <w:t>The Blueshirt Group</w:t>
            </w:r>
          </w:p>
        </w:tc>
      </w:tr>
      <w:tr>
        <w:trPr>
          <w:trHeight w:val="222"/>
        </w:trPr>
        <w:tc>
          <w:tcPr>
            <w:tcW w:w="6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Yujia Zhai</w:t>
            </w:r>
          </w:p>
        </w:tc>
      </w:tr>
      <w:tr>
        <w:trPr>
          <w:trHeight w:val="216"/>
        </w:trPr>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+1 (860) 214-0809</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00" w:type="dxa"/>
            <w:vAlign w:val="bottom"/>
          </w:tcPr>
          <w:p>
            <w:pPr>
              <w:ind w:left="560"/>
              <w:spacing w:after="0"/>
              <w:rPr>
                <w:sz w:val="20"/>
                <w:szCs w:val="20"/>
                <w:color w:val="auto"/>
              </w:rPr>
            </w:pPr>
            <w:r>
              <w:rPr>
                <w:rFonts w:ascii="Arial" w:cs="Arial" w:eastAsia="Arial" w:hAnsi="Arial"/>
                <w:sz w:val="18"/>
                <w:szCs w:val="18"/>
                <w:i w:val="1"/>
                <w:iCs w:val="1"/>
                <w:color w:val="auto"/>
                <w:w w:val="92"/>
              </w:rPr>
              <w:t>yujia@blueshirtgroup.com</w:t>
            </w:r>
          </w:p>
        </w:tc>
      </w:tr>
      <w:tr>
        <w:trPr>
          <w:trHeight w:val="392"/>
        </w:trPr>
        <w:tc>
          <w:tcPr>
            <w:tcW w:w="204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2500" w:type="dxa"/>
            <w:vAlign w:val="bottom"/>
          </w:tcPr>
          <w:p>
            <w:pPr>
              <w:ind w:left="560"/>
              <w:spacing w:after="0"/>
              <w:rPr>
                <w:sz w:val="20"/>
                <w:szCs w:val="20"/>
                <w:color w:val="auto"/>
              </w:rPr>
            </w:pPr>
            <w:r>
              <w:rPr>
                <w:rFonts w:ascii="Arial" w:cs="Arial" w:eastAsia="Arial" w:hAnsi="Arial"/>
                <w:sz w:val="18"/>
                <w:szCs w:val="18"/>
                <w:color w:val="auto"/>
                <w:w w:val="95"/>
              </w:rPr>
              <w:t>The Blueshirt Group Asia</w:t>
            </w:r>
          </w:p>
        </w:tc>
      </w:tr>
      <w:tr>
        <w:trPr>
          <w:trHeight w:val="222"/>
        </w:trPr>
        <w:tc>
          <w:tcPr>
            <w:tcW w:w="64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Gary Dvorchak, CFA</w:t>
            </w:r>
          </w:p>
        </w:tc>
      </w:tr>
      <w:tr>
        <w:trPr>
          <w:trHeight w:val="216"/>
        </w:trPr>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500" w:type="dxa"/>
            <w:vAlign w:val="bottom"/>
          </w:tcPr>
          <w:p>
            <w:pPr>
              <w:ind w:left="560"/>
              <w:spacing w:after="0"/>
              <w:rPr>
                <w:sz w:val="20"/>
                <w:szCs w:val="20"/>
                <w:color w:val="auto"/>
              </w:rPr>
            </w:pPr>
            <w:r>
              <w:rPr>
                <w:rFonts w:ascii="Arial" w:cs="Arial" w:eastAsia="Arial" w:hAnsi="Arial"/>
                <w:sz w:val="18"/>
                <w:szCs w:val="18"/>
                <w:color w:val="auto"/>
              </w:rPr>
              <w:t>+86 (138) 1079-1480</w:t>
            </w:r>
          </w:p>
        </w:tc>
      </w:tr>
      <w:tr>
        <w:trPr>
          <w:trHeight w:val="230"/>
        </w:trPr>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500" w:type="dxa"/>
            <w:vAlign w:val="bottom"/>
          </w:tcPr>
          <w:p>
            <w:pPr>
              <w:ind w:left="560"/>
              <w:spacing w:after="0"/>
              <w:rPr>
                <w:sz w:val="20"/>
                <w:szCs w:val="20"/>
                <w:color w:val="auto"/>
              </w:rPr>
            </w:pPr>
            <w:r>
              <w:rPr>
                <w:rFonts w:ascii="Arial" w:cs="Arial" w:eastAsia="Arial" w:hAnsi="Arial"/>
                <w:sz w:val="18"/>
                <w:szCs w:val="18"/>
                <w:i w:val="1"/>
                <w:iCs w:val="1"/>
                <w:color w:val="auto"/>
                <w:w w:val="93"/>
              </w:rPr>
              <w:t>gary@blueshirtgroup.com</w:t>
            </w:r>
          </w:p>
        </w:tc>
      </w:tr>
    </w:tbl>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8020" w:type="dxa"/>
            <w:vAlign w:val="bottom"/>
          </w:tcPr>
          <w:p>
            <w:pPr>
              <w:jc w:val="center"/>
              <w:ind w:left="3150"/>
              <w:spacing w:after="0"/>
              <w:rPr>
                <w:sz w:val="20"/>
                <w:szCs w:val="20"/>
                <w:color w:val="auto"/>
              </w:rPr>
            </w:pPr>
            <w:r>
              <w:rPr>
                <w:rFonts w:ascii="Arial" w:cs="Arial" w:eastAsia="Arial" w:hAnsi="Arial"/>
                <w:sz w:val="18"/>
                <w:szCs w:val="18"/>
                <w:b w:val="1"/>
                <w:bCs w:val="1"/>
                <w:color w:val="auto"/>
              </w:rPr>
              <w:t>ACM RESEARCH, INC.</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20" w:type="dxa"/>
            <w:vAlign w:val="bottom"/>
          </w:tcPr>
          <w:p>
            <w:pPr>
              <w:jc w:val="center"/>
              <w:ind w:left="31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5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December 31, 2021</w:t>
            </w:r>
          </w:p>
        </w:tc>
        <w:tc>
          <w:tcPr>
            <w:tcW w:w="16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16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0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4"/>
          </w:tcPr>
          <w:p>
            <w:pPr>
              <w:jc w:val="center"/>
              <w:ind w:left="350"/>
              <w:spacing w:after="0" w:line="201" w:lineRule="exact"/>
              <w:rPr>
                <w:sz w:val="20"/>
                <w:szCs w:val="20"/>
                <w:color w:val="auto"/>
              </w:rPr>
            </w:pPr>
            <w:r>
              <w:rPr>
                <w:rFonts w:ascii="Arial" w:cs="Arial" w:eastAsia="Arial" w:hAnsi="Arial"/>
                <w:sz w:val="18"/>
                <w:szCs w:val="18"/>
                <w:i w:val="1"/>
                <w:iCs w:val="1"/>
                <w:color w:val="auto"/>
                <w:w w:val="93"/>
              </w:rPr>
              <w:t>(Unaudited)</w:t>
            </w: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8"/>
              </w:rPr>
              <w:t>(In thousands, except share and per share</w:t>
            </w:r>
          </w:p>
        </w:tc>
        <w:tc>
          <w:tcPr>
            <w:tcW w:w="0" w:type="dxa"/>
            <w:vAlign w:val="bottom"/>
          </w:tcPr>
          <w:p>
            <w:pPr>
              <w:spacing w:after="0"/>
              <w:rPr>
                <w:sz w:val="1"/>
                <w:szCs w:val="1"/>
                <w:color w:val="auto"/>
              </w:rPr>
            </w:pPr>
          </w:p>
        </w:tc>
      </w:tr>
      <w:tr>
        <w:trPr>
          <w:trHeight w:val="230"/>
        </w:trPr>
        <w:tc>
          <w:tcPr>
            <w:tcW w:w="80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20"/>
                <w:szCs w:val="20"/>
                <w:color w:val="auto"/>
              </w:rPr>
            </w:pPr>
          </w:p>
        </w:tc>
        <w:tc>
          <w:tcPr>
            <w:tcW w:w="1840" w:type="dxa"/>
            <w:vAlign w:val="bottom"/>
            <w:gridSpan w:val="4"/>
          </w:tcPr>
          <w:p>
            <w:pPr>
              <w:jc w:val="center"/>
              <w:ind w:left="330"/>
              <w:spacing w:after="0"/>
              <w:rPr>
                <w:sz w:val="20"/>
                <w:szCs w:val="20"/>
                <w:color w:val="auto"/>
              </w:rPr>
            </w:pPr>
            <w:r>
              <w:rPr>
                <w:rFonts w:ascii="Arial" w:cs="Arial" w:eastAsia="Arial" w:hAnsi="Arial"/>
                <w:sz w:val="18"/>
                <w:szCs w:val="18"/>
                <w:i w:val="1"/>
                <w:iCs w:val="1"/>
                <w:color w:val="auto"/>
                <w:w w:val="92"/>
              </w:rPr>
              <w:t>data)</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Trading securities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28,239</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Accounts receivable, less allowance for doubtful accounts of $0 as of December 31, 2021 and December 31,</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 recoverable</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9,679</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88,639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260,656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Land use right, net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9,646</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Intangible assets, net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Long-term investments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341,257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580"/>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Current portion of long-term borrowings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35,603</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Advances from customers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52,824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17,888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FIN-48 payable</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Other payables and accrued expenses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18,805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205,939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102,908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borrowings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Long-term operating lease liability</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240,514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20" w:type="dxa"/>
            <w:vAlign w:val="bottom"/>
          </w:tcPr>
          <w:p>
            <w:pPr>
              <w:spacing w:after="0" w:line="201" w:lineRule="exact"/>
              <w:rPr>
                <w:sz w:val="20"/>
                <w:szCs w:val="20"/>
                <w:color w:val="auto"/>
              </w:rPr>
            </w:pPr>
            <w:r>
              <w:rPr>
                <w:rFonts w:ascii="Arial" w:cs="Arial" w:eastAsia="Arial" w:hAnsi="Arial"/>
                <w:sz w:val="18"/>
                <w:szCs w:val="18"/>
                <w:color w:val="auto"/>
                <w:w w:val="93"/>
              </w:rPr>
              <w:t>Common stock – Class A, par value $0.0001: 150,000,000 shares authorized as of December 31, 2021 and</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w w:val="93"/>
              </w:rPr>
              <w:t>50,000,000 shares authorized as of December 31, 2020; 17,869,643 shares issued and outstanding as of</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December 31, 2021 and 16,896,693 shares issued and outstanding as of December 31, 2020</w:t>
            </w: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stock–Class B, par value $0.0001: 5,307,816 shares authorized as of December 31, 2021 and</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2,409,738 shares authorized as of December 31, 2020; 1,695,938 shares issued and outstanding as of</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2021 and 1,802,606 shares issued and outstanding as of December 31, 2020</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595,049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102,004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surplus</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34,287</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4,857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676,204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135,461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67,020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811,665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1,052,179</w:t>
            </w:r>
          </w:p>
        </w:tc>
        <w:tc>
          <w:tcPr>
            <w:tcW w:w="100" w:type="dxa"/>
            <w:vAlign w:val="bottom"/>
          </w:tcPr>
          <w:p>
            <w:pPr>
              <w:spacing w:after="0"/>
              <w:rPr>
                <w:sz w:val="18"/>
                <w:szCs w:val="18"/>
                <w:color w:val="auto"/>
              </w:rPr>
            </w:pP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341,257</w:t>
            </w:r>
          </w:p>
        </w:tc>
        <w:tc>
          <w:tcPr>
            <w:tcW w:w="0" w:type="dxa"/>
            <w:vAlign w:val="bottom"/>
          </w:tcPr>
          <w:p>
            <w:pPr>
              <w:spacing w:after="0"/>
              <w:rPr>
                <w:sz w:val="1"/>
                <w:szCs w:val="1"/>
                <w:color w:val="auto"/>
              </w:rPr>
            </w:pPr>
          </w:p>
        </w:tc>
      </w:tr>
      <w:tr>
        <w:trPr>
          <w:trHeight w:val="20"/>
        </w:trPr>
        <w:tc>
          <w:tcPr>
            <w:tcW w:w="8020" w:type="dxa"/>
            <w:vAlign w:val="bottom"/>
            <w:vMerge w:val="restart"/>
          </w:tcPr>
          <w:p>
            <w:pPr>
              <w:jc w:val="center"/>
              <w:ind w:left="3130"/>
              <w:spacing w:after="0"/>
              <w:rPr>
                <w:sz w:val="20"/>
                <w:szCs w:val="20"/>
                <w:color w:val="auto"/>
              </w:rPr>
            </w:pPr>
            <w:r>
              <w:rPr>
                <w:rFonts w:ascii="Arial" w:cs="Arial" w:eastAsia="Arial" w:hAnsi="Arial"/>
                <w:sz w:val="14"/>
                <w:szCs w:val="14"/>
                <w:color w:val="auto"/>
                <w:w w:val="96"/>
              </w:rPr>
              <w:t>- 6 -</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80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80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0" w:type="dxa"/>
            <w:vAlign w:val="bottom"/>
          </w:tcPr>
          <w:p>
            <w:pPr>
              <w:spacing w:after="0"/>
              <w:rPr>
                <w:sz w:val="20"/>
                <w:szCs w:val="20"/>
                <w:color w:val="auto"/>
              </w:rPr>
            </w:pPr>
          </w:p>
        </w:tc>
        <w:tc>
          <w:tcPr>
            <w:tcW w:w="286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5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r>
      <w:tr>
        <w:trPr>
          <w:trHeight w:val="202"/>
        </w:trPr>
        <w:tc>
          <w:tcPr>
            <w:tcW w:w="5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4"/>
          </w:tcPr>
          <w:p>
            <w:pPr>
              <w:jc w:val="center"/>
              <w:ind w:left="510"/>
              <w:spacing w:after="0" w:line="201" w:lineRule="exact"/>
              <w:rPr>
                <w:sz w:val="20"/>
                <w:szCs w:val="20"/>
                <w:color w:val="auto"/>
              </w:rPr>
            </w:pPr>
            <w:r>
              <w:rPr>
                <w:rFonts w:ascii="Arial" w:cs="Arial" w:eastAsia="Arial" w:hAnsi="Arial"/>
                <w:sz w:val="18"/>
                <w:szCs w:val="18"/>
                <w:i w:val="1"/>
                <w:iCs w:val="1"/>
                <w:color w:val="auto"/>
                <w:w w:val="93"/>
              </w:rPr>
              <w:t>(Unaudited)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tcPr>
          <w:p>
            <w:pPr>
              <w:jc w:val="center"/>
              <w:ind w:left="510"/>
              <w:spacing w:after="0" w:line="201" w:lineRule="exact"/>
              <w:rPr>
                <w:sz w:val="20"/>
                <w:szCs w:val="20"/>
                <w:color w:val="auto"/>
              </w:rPr>
            </w:pPr>
            <w:r>
              <w:rPr>
                <w:rFonts w:ascii="Arial" w:cs="Arial" w:eastAsia="Arial" w:hAnsi="Arial"/>
                <w:sz w:val="18"/>
                <w:szCs w:val="18"/>
                <w:i w:val="1"/>
                <w:iCs w:val="1"/>
                <w:color w:val="auto"/>
                <w:w w:val="93"/>
              </w:rPr>
              <w:t>(Unaudited)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00" w:type="dxa"/>
            <w:vAlign w:val="bottom"/>
          </w:tcPr>
          <w:p>
            <w:pPr>
              <w:spacing w:after="0"/>
              <w:rPr>
                <w:sz w:val="18"/>
                <w:szCs w:val="18"/>
                <w:color w:val="auto"/>
              </w:rPr>
            </w:pPr>
          </w:p>
        </w:tc>
        <w:tc>
          <w:tcPr>
            <w:tcW w:w="2860" w:type="dxa"/>
            <w:vAlign w:val="bottom"/>
            <w:gridSpan w:val="7"/>
          </w:tcPr>
          <w:p>
            <w:pPr>
              <w:jc w:val="center"/>
              <w:ind w:right="140"/>
              <w:spacing w:after="0"/>
              <w:rPr>
                <w:sz w:val="20"/>
                <w:szCs w:val="20"/>
                <w:color w:val="auto"/>
              </w:rPr>
            </w:pPr>
            <w:r>
              <w:rPr>
                <w:rFonts w:ascii="Arial" w:cs="Arial" w:eastAsia="Arial" w:hAnsi="Arial"/>
                <w:sz w:val="18"/>
                <w:szCs w:val="18"/>
                <w:i w:val="1"/>
                <w:iCs w:val="1"/>
                <w:color w:val="auto"/>
                <w:w w:val="88"/>
              </w:rPr>
              <w:t>(In thousands, except share and per</w:t>
            </w:r>
          </w:p>
        </w:tc>
        <w:tc>
          <w:tcPr>
            <w:tcW w:w="80" w:type="dxa"/>
            <w:vAlign w:val="bottom"/>
          </w:tcPr>
          <w:p>
            <w:pPr>
              <w:spacing w:after="0"/>
              <w:rPr>
                <w:sz w:val="18"/>
                <w:szCs w:val="18"/>
                <w:color w:val="auto"/>
              </w:rPr>
            </w:pPr>
          </w:p>
        </w:tc>
        <w:tc>
          <w:tcPr>
            <w:tcW w:w="250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8"/>
              </w:rPr>
              <w:t>(In thousands, except share and</w:t>
            </w:r>
          </w:p>
        </w:tc>
      </w:tr>
      <w:tr>
        <w:trPr>
          <w:trHeight w:val="230"/>
        </w:trPr>
        <w:tc>
          <w:tcPr>
            <w:tcW w:w="5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4"/>
          </w:tcPr>
          <w:p>
            <w:pPr>
              <w:jc w:val="center"/>
              <w:ind w:left="530"/>
              <w:spacing w:after="0"/>
              <w:rPr>
                <w:sz w:val="20"/>
                <w:szCs w:val="20"/>
                <w:color w:val="auto"/>
              </w:rPr>
            </w:pPr>
            <w:r>
              <w:rPr>
                <w:rFonts w:ascii="Arial" w:cs="Arial" w:eastAsia="Arial" w:hAnsi="Arial"/>
                <w:sz w:val="18"/>
                <w:szCs w:val="18"/>
                <w:i w:val="1"/>
                <w:iCs w:val="1"/>
                <w:color w:val="auto"/>
                <w:w w:val="90"/>
              </w:rPr>
              <w:t>share data)</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i w:val="1"/>
                <w:iCs w:val="1"/>
                <w:color w:val="auto"/>
                <w:w w:val="90"/>
              </w:rPr>
              <w:t>per share data)</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95,142</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259,751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156,624</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49,696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25,888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144,895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87,025</w:t>
            </w:r>
          </w:p>
        </w:tc>
      </w:tr>
      <w:tr>
        <w:trPr>
          <w:trHeight w:val="223"/>
        </w:trPr>
        <w:tc>
          <w:tcPr>
            <w:tcW w:w="5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45,446</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114,856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16,773</w:t>
            </w: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5,878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34,207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19,119</w:t>
            </w: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12,215</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 net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14,242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76,154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48,107</w:t>
            </w:r>
          </w:p>
        </w:tc>
      </w:tr>
      <w:tr>
        <w:trPr>
          <w:trHeight w:val="216"/>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(982)</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Change in fair value of financial liability</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(11,964)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trading securities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12,574</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(3,377)</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43,055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19,295</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2,382</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42,921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21,677</w:t>
            </w:r>
          </w:p>
        </w:tc>
      </w:tr>
      <w:tr>
        <w:trPr>
          <w:trHeight w:val="202"/>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Less: Net income attributable to non-controlling interests and redeemable non-</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controlling interests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8,529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37,757</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18,780</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9,198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42,921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21,677</w:t>
            </w: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10,493</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15,592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47,616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32,170</w:t>
            </w:r>
          </w:p>
        </w:tc>
      </w:tr>
      <w:tr>
        <w:trPr>
          <w:trHeight w:val="202"/>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Less: Comprehensive income attributable to non-controlling interests and</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5,607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340"/>
              <w:spacing w:after="0"/>
              <w:rPr>
                <w:sz w:val="20"/>
                <w:szCs w:val="20"/>
                <w:color w:val="auto"/>
              </w:rPr>
            </w:pPr>
            <w:r>
              <w:rPr>
                <w:rFonts w:ascii="Arial" w:cs="Arial" w:eastAsia="Arial" w:hAnsi="Arial"/>
                <w:sz w:val="18"/>
                <w:szCs w:val="18"/>
                <w:b w:val="1"/>
                <w:bCs w:val="1"/>
                <w:color w:val="auto"/>
              </w:rPr>
              <w:t>Comprehensive income attributable to ACM Research, Inc.</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12,348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42,009</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25,312</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7"/>
        </w:trPr>
        <w:tc>
          <w:tcPr>
            <w:tcW w:w="5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r>
      <w:tr>
        <w:trPr>
          <w:trHeight w:val="20"/>
        </w:trPr>
        <w:tc>
          <w:tcPr>
            <w:tcW w:w="5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7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19,529,462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18,557,085</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19,218,236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18,233,361</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70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22,108,607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21,794,203</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21,785,572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21,183,469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700" w:type="dxa"/>
            <w:vAlign w:val="bottom"/>
            <w:vMerge w:val="restart"/>
          </w:tcPr>
          <w:p>
            <w:pPr>
              <w:jc w:val="right"/>
              <w:spacing w:after="0"/>
              <w:rPr>
                <w:sz w:val="20"/>
                <w:szCs w:val="20"/>
                <w:color w:val="auto"/>
              </w:rPr>
            </w:pPr>
            <w:r>
              <w:rPr>
                <w:rFonts w:ascii="Arial" w:cs="Arial" w:eastAsia="Arial" w:hAnsi="Arial"/>
                <w:sz w:val="14"/>
                <w:szCs w:val="14"/>
                <w:color w:val="auto"/>
              </w:rPr>
              <w:t>- 7 -</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5"/>
        </w:trPr>
        <w:tc>
          <w:tcPr>
            <w:tcW w:w="31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10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 by Product Category, by Equipment Type and by Region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vMerge w:val="restart"/>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14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gridSpan w:val="5"/>
            <w:vMerge w:val="restart"/>
          </w:tcPr>
          <w:p>
            <w:pPr>
              <w:jc w:val="center"/>
              <w:ind w:right="46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0"/>
                <w:szCs w:val="10"/>
                <w:color w:val="auto"/>
              </w:rPr>
            </w:pPr>
          </w:p>
        </w:tc>
        <w:tc>
          <w:tcPr>
            <w:tcW w:w="2300" w:type="dxa"/>
            <w:vAlign w:val="bottom"/>
            <w:gridSpan w:val="5"/>
            <w:vMerge w:val="restart"/>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15"/>
        </w:trPr>
        <w:tc>
          <w:tcPr>
            <w:tcW w:w="5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gridSpan w:val="5"/>
            <w:vMerge w:val="continue"/>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Revenue By Product Category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Single wafer cleaning, Tahoe and semi-critical cleaning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0D0D0D"/>
                <w:w w:val="83"/>
              </w:rPr>
              <w:t>61,886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36,780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D0D0D"/>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189,208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D0D0D"/>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131,248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ECP (front-end and packaging), furnace and other technologies</w:t>
            </w:r>
          </w:p>
        </w:tc>
        <w:tc>
          <w:tcPr>
            <w:tcW w:w="24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0D0D0D"/>
              </w:rPr>
              <w:t>19,460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D0D0D"/>
              </w:rPr>
              <w:t>4,003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0D0D0D"/>
              </w:rPr>
              <w:t>33,210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0D0D0D"/>
              </w:rPr>
              <w:t>13,343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Advanced packaging (excluding ECP), services &amp; spares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0D0D0D"/>
              </w:rPr>
              <w:t>13,796</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4,779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D0D0D"/>
              </w:rPr>
              <w:t>37,333</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0D0D0D"/>
              </w:rPr>
              <w:t>12,033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0D0D0D"/>
                <w:w w:val="71"/>
              </w:rPr>
              <w:t>$</w:t>
            </w:r>
          </w:p>
        </w:tc>
        <w:tc>
          <w:tcPr>
            <w:tcW w:w="1140" w:type="dxa"/>
            <w:vAlign w:val="bottom"/>
            <w:gridSpan w:val="2"/>
          </w:tcPr>
          <w:p>
            <w:pPr>
              <w:ind w:left="400"/>
              <w:spacing w:after="0"/>
              <w:rPr>
                <w:sz w:val="20"/>
                <w:szCs w:val="20"/>
                <w:color w:val="auto"/>
              </w:rPr>
            </w:pPr>
            <w:r>
              <w:rPr>
                <w:rFonts w:ascii="Arial" w:cs="Arial" w:eastAsia="Arial" w:hAnsi="Arial"/>
                <w:sz w:val="18"/>
                <w:szCs w:val="18"/>
                <w:b w:val="1"/>
                <w:bCs w:val="1"/>
                <w:color w:val="0D0D0D"/>
              </w:rPr>
              <w:t>95,142</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0D0D0D"/>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0D0D0D"/>
              </w:rPr>
              <w:t>45,562</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0D0D0D"/>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0D0D0D"/>
              </w:rPr>
              <w:t>259,751</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0D0D0D"/>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0D0D0D"/>
              </w:rPr>
              <w:t>156,624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3"/>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14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Revenue Front-end and Back-End</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Wet cleaning and other front-end processing tools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0D0D0D"/>
                <w:w w:val="83"/>
              </w:rPr>
              <w:t>74,946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37,358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D0D0D"/>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202,268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D0D0D"/>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136,317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Advanced packaging, other processing tools, services and spares</w:t>
            </w:r>
          </w:p>
        </w:tc>
        <w:tc>
          <w:tcPr>
            <w:tcW w:w="240" w:type="dxa"/>
            <w:vAlign w:val="bottom"/>
          </w:tcPr>
          <w:p>
            <w:pPr>
              <w:spacing w:after="0"/>
              <w:rPr>
                <w:sz w:val="19"/>
                <w:szCs w:val="19"/>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0D0D0D"/>
              </w:rPr>
              <w:t>20,196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D0D0D"/>
              </w:rPr>
              <w:t>8,204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0D0D0D"/>
              </w:rPr>
              <w:t>57,483</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0D0D0D"/>
              </w:rPr>
              <w:t>20,307</w:t>
            </w: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0D0D0D"/>
                <w:w w:val="71"/>
              </w:rPr>
              <w:t>$</w:t>
            </w:r>
          </w:p>
        </w:tc>
        <w:tc>
          <w:tcPr>
            <w:tcW w:w="114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b w:val="1"/>
                <w:bCs w:val="1"/>
                <w:color w:val="0D0D0D"/>
              </w:rPr>
              <w:t>95,142</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0D0D0D"/>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D0D0D"/>
              </w:rPr>
              <w:t>45,562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0D0D0D"/>
                <w:w w:val="79"/>
              </w:rPr>
              <w:t>$</w:t>
            </w:r>
          </w:p>
        </w:tc>
        <w:tc>
          <w:tcPr>
            <w:tcW w:w="108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0D0D0D"/>
              </w:rPr>
              <w:t>259,751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0D0D0D"/>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D0D0D"/>
              </w:rPr>
              <w:t>156,624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 w:lineRule="exact"/>
        <w:rPr>
          <w:sz w:val="20"/>
          <w:szCs w:val="20"/>
          <w:color w:val="auto"/>
        </w:rPr>
      </w:pPr>
    </w:p>
    <w:p>
      <w:pPr>
        <w:jc w:val="center"/>
        <w:ind w:left="578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5"/>
          <w:szCs w:val="15"/>
          <w:b w:val="1"/>
          <w:bCs w:val="1"/>
          <w:color w:val="auto"/>
        </w:rPr>
        <w:t>December 31,</w:t>
      </w:r>
    </w:p>
    <w:p>
      <w:pPr>
        <w:spacing w:after="0" w:line="43" w:lineRule="exact"/>
        <w:rPr>
          <w:sz w:val="20"/>
          <w:szCs w:val="20"/>
          <w:color w:val="auto"/>
        </w:rPr>
      </w:pPr>
    </w:p>
    <w:p>
      <w:pPr>
        <w:sectPr>
          <w:pgSz w:w="11900" w:h="16838" w:orient="portrait"/>
          <w:cols w:equalWidth="0" w:num="2">
            <w:col w:w="8680" w:space="720"/>
            <w:col w:w="1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b w:val="1"/>
                <w:bCs w:val="1"/>
                <w:color w:val="auto"/>
              </w:rPr>
              <w:t>Total Revenue By Region</w:t>
            </w:r>
          </w:p>
        </w:tc>
        <w:tc>
          <w:tcPr>
            <w:tcW w:w="2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94,296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0D0D0D"/>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44,185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D0D0D"/>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258,615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D0D0D"/>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0D0D0D"/>
              </w:rPr>
              <w:t>154,359</w:t>
            </w:r>
          </w:p>
        </w:tc>
        <w:tc>
          <w:tcPr>
            <w:tcW w:w="100" w:type="dxa"/>
            <w:vAlign w:val="bottom"/>
            <w:shd w:val="clear" w:color="auto" w:fill="CCEEFF"/>
          </w:tcPr>
          <w:p>
            <w:pPr>
              <w:spacing w:after="0"/>
              <w:rPr>
                <w:sz w:val="18"/>
                <w:szCs w:val="18"/>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Other Regions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0D0D0D"/>
              </w:rPr>
              <w:t>846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D0D0D"/>
              </w:rPr>
              <w:t>1,377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0D0D0D"/>
              </w:rPr>
              <w:t>1,136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0D0D0D"/>
              </w:rPr>
              <w:t>2,265</w:t>
            </w:r>
          </w:p>
        </w:tc>
      </w:tr>
      <w:tr>
        <w:trPr>
          <w:trHeight w:val="257"/>
        </w:trPr>
        <w:tc>
          <w:tcPr>
            <w:tcW w:w="372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0D0D0D"/>
                <w:w w:val="71"/>
              </w:rPr>
              <w:t>$</w:t>
            </w:r>
          </w:p>
        </w:tc>
        <w:tc>
          <w:tcPr>
            <w:tcW w:w="114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0D0D0D"/>
              </w:rPr>
              <w:t>95,142</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0D0D0D"/>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D0D0D"/>
              </w:rPr>
              <w:t>45,562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0D0D0D"/>
                <w:w w:val="79"/>
              </w:rPr>
              <w:t>$</w:t>
            </w:r>
          </w:p>
        </w:tc>
        <w:tc>
          <w:tcPr>
            <w:tcW w:w="108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0D0D0D"/>
              </w:rPr>
              <w:t>259,751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0D0D0D"/>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0D0D0D"/>
              </w:rPr>
              <w:t>156,624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5"/>
        </w:trPr>
        <w:tc>
          <w:tcPr>
            <w:tcW w:w="3720" w:type="dxa"/>
            <w:vAlign w:val="bottom"/>
          </w:tcPr>
          <w:p>
            <w:pPr>
              <w:spacing w:after="0"/>
              <w:rPr>
                <w:sz w:val="24"/>
                <w:szCs w:val="24"/>
                <w:color w:val="auto"/>
              </w:rPr>
            </w:pPr>
          </w:p>
        </w:tc>
        <w:tc>
          <w:tcPr>
            <w:tcW w:w="2260" w:type="dxa"/>
            <w:vAlign w:val="bottom"/>
          </w:tcPr>
          <w:p>
            <w:pPr>
              <w:jc w:val="right"/>
              <w:ind w:right="168"/>
              <w:spacing w:after="0"/>
              <w:rPr>
                <w:sz w:val="20"/>
                <w:szCs w:val="20"/>
                <w:color w:val="auto"/>
              </w:rPr>
            </w:pPr>
            <w:r>
              <w:rPr>
                <w:rFonts w:ascii="Arial" w:cs="Arial" w:eastAsia="Arial" w:hAnsi="Arial"/>
                <w:sz w:val="14"/>
                <w:szCs w:val="14"/>
                <w:color w:val="auto"/>
              </w:rPr>
              <w:t>- 8 -</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7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3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non-cash change in fair value of financial liabilities and unrealized gain on trading securities. The following table reconciles gross margin, operating expenses, operating income, net income attributable to ACM Research, Inc., and basic and diluted earnings per share to the related non-GAAP financial measures:</w:t>
      </w:r>
    </w:p>
    <w:p>
      <w:pPr>
        <w:spacing w:after="0" w:line="187" w:lineRule="exact"/>
        <w:rPr>
          <w:sz w:val="20"/>
          <w:szCs w:val="20"/>
          <w:color w:val="auto"/>
        </w:rPr>
      </w:pPr>
    </w:p>
    <w:p>
      <w:pPr>
        <w:jc w:val="center"/>
        <w:ind w:left="2820"/>
        <w:spacing w:after="0"/>
        <w:rPr>
          <w:sz w:val="20"/>
          <w:szCs w:val="20"/>
          <w:color w:val="auto"/>
        </w:rPr>
      </w:pPr>
      <w:r>
        <w:rPr>
          <w:rFonts w:ascii="Arial" w:cs="Arial" w:eastAsia="Arial" w:hAnsi="Arial"/>
          <w:sz w:val="18"/>
          <w:szCs w:val="18"/>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17145</wp:posOffset>
            </wp:positionV>
            <wp:extent cx="518604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86045" cy="17145"/>
                    </a:xfrm>
                    <a:prstGeom prst="rect">
                      <a:avLst/>
                    </a:prstGeom>
                    <a:noFill/>
                  </pic:spPr>
                </pic:pic>
              </a:graphicData>
            </a:graphic>
          </wp:anchor>
        </w:drawing>
      </w:r>
    </w:p>
    <w:p>
      <w:pPr>
        <w:spacing w:after="0" w:line="16" w:lineRule="exact"/>
        <w:rPr>
          <w:sz w:val="20"/>
          <w:szCs w:val="20"/>
          <w:color w:val="auto"/>
        </w:rPr>
      </w:pPr>
    </w:p>
    <w:p>
      <w:pPr>
        <w:ind w:left="4760"/>
        <w:spacing w:after="0"/>
        <w:tabs>
          <w:tab w:leader="none" w:pos="89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ectPr>
          <w:pgSz w:w="11900" w:h="16838" w:orient="portrait"/>
          <w:cols w:equalWidth="0" w:num="1">
            <w:col w:w="11240"/>
          </w:cols>
          <w:pgMar w:left="320" w:top="121" w:right="339" w:bottom="1440" w:gutter="0" w:footer="0" w:header="0"/>
        </w:sectPr>
      </w:pPr>
    </w:p>
    <w:p>
      <w:pPr>
        <w:spacing w:after="0" w:line="27" w:lineRule="exact"/>
        <w:rPr>
          <w:sz w:val="20"/>
          <w:szCs w:val="20"/>
          <w:color w:val="auto"/>
        </w:rPr>
      </w:pPr>
    </w:p>
    <w:tbl>
      <w:tblPr>
        <w:tblLayout w:type="fixed"/>
        <w:tblInd w:w="2960" w:type="dxa"/>
        <w:tblCellMar>
          <w:top w:w="0" w:type="dxa"/>
          <w:left w:w="0" w:type="dxa"/>
          <w:bottom w:w="0" w:type="dxa"/>
          <w:right w:w="0" w:type="dxa"/>
        </w:tblCellMar>
      </w:tblPr>
      <w:tr>
        <w:trPr>
          <w:trHeight w:val="205"/>
        </w:trPr>
        <w:tc>
          <w:tcPr>
            <w:tcW w:w="980" w:type="dxa"/>
            <w:vAlign w:val="bottom"/>
            <w:tcBorders>
              <w:top w:val="single" w:sz="8" w:color="auto"/>
            </w:tcBorders>
          </w:tcPr>
          <w:p>
            <w:pPr>
              <w:jc w:val="center"/>
              <w:ind w:right="70"/>
              <w:spacing w:after="0" w:line="205" w:lineRule="exact"/>
              <w:rPr>
                <w:sz w:val="20"/>
                <w:szCs w:val="20"/>
                <w:color w:val="auto"/>
              </w:rPr>
            </w:pPr>
            <w:r>
              <w:rPr>
                <w:rFonts w:ascii="Arial" w:cs="Arial" w:eastAsia="Arial" w:hAnsi="Arial"/>
                <w:sz w:val="18"/>
                <w:szCs w:val="18"/>
                <w:b w:val="1"/>
                <w:bCs w:val="1"/>
                <w:color w:val="auto"/>
                <w:w w:val="90"/>
              </w:rPr>
              <w:t>Actual</w:t>
            </w:r>
          </w:p>
        </w:tc>
        <w:tc>
          <w:tcPr>
            <w:tcW w:w="8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3"/>
              </w:rPr>
              <w:t>Other non-</w:t>
            </w:r>
          </w:p>
        </w:tc>
        <w:tc>
          <w:tcPr>
            <w:tcW w:w="88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98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6"/>
              </w:rPr>
              <w:t>(GAAP)</w:t>
            </w:r>
          </w:p>
        </w:tc>
        <w:tc>
          <w:tcPr>
            <w:tcW w:w="800" w:type="dxa"/>
            <w:vAlign w:val="bottom"/>
          </w:tcPr>
          <w:p>
            <w:pPr>
              <w:ind w:left="240"/>
              <w:spacing w:after="0"/>
              <w:rPr>
                <w:sz w:val="20"/>
                <w:szCs w:val="20"/>
                <w:color w:val="auto"/>
              </w:rPr>
            </w:pPr>
            <w:r>
              <w:rPr>
                <w:rFonts w:ascii="Arial" w:cs="Arial" w:eastAsia="Arial" w:hAnsi="Arial"/>
                <w:sz w:val="18"/>
                <w:szCs w:val="18"/>
                <w:b w:val="1"/>
                <w:bCs w:val="1"/>
                <w:color w:val="auto"/>
              </w:rPr>
              <w:t>SBC</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operating</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26"/>
        </w:trPr>
        <w:tc>
          <w:tcPr>
            <w:tcW w:w="9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GAAP)</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1020" w:type="dxa"/>
            <w:vAlign w:val="bottom"/>
            <w:tcBorders>
              <w:top w:val="single" w:sz="8" w:color="auto"/>
            </w:tcBorders>
          </w:tcPr>
          <w:p>
            <w:pPr>
              <w:jc w:val="center"/>
              <w:ind w:right="70"/>
              <w:spacing w:after="0" w:line="205" w:lineRule="exact"/>
              <w:rPr>
                <w:sz w:val="20"/>
                <w:szCs w:val="20"/>
                <w:color w:val="auto"/>
              </w:rPr>
            </w:pPr>
            <w:r>
              <w:rPr>
                <w:rFonts w:ascii="Arial" w:cs="Arial" w:eastAsia="Arial" w:hAnsi="Arial"/>
                <w:sz w:val="18"/>
                <w:szCs w:val="18"/>
                <w:b w:val="1"/>
                <w:bCs w:val="1"/>
                <w:color w:val="auto"/>
                <w:w w:val="90"/>
              </w:rPr>
              <w:t>Actual</w:t>
            </w:r>
          </w:p>
        </w:tc>
        <w:tc>
          <w:tcPr>
            <w:tcW w:w="8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left="10"/>
              <w:spacing w:after="0" w:line="205" w:lineRule="exact"/>
              <w:rPr>
                <w:sz w:val="20"/>
                <w:szCs w:val="20"/>
                <w:color w:val="auto"/>
              </w:rPr>
            </w:pPr>
            <w:r>
              <w:rPr>
                <w:rFonts w:ascii="Arial" w:cs="Arial" w:eastAsia="Arial" w:hAnsi="Arial"/>
                <w:sz w:val="18"/>
                <w:szCs w:val="18"/>
                <w:b w:val="1"/>
                <w:bCs w:val="1"/>
                <w:color w:val="auto"/>
                <w:w w:val="93"/>
              </w:rPr>
              <w:t>Other non-</w:t>
            </w:r>
          </w:p>
        </w:tc>
        <w:tc>
          <w:tcPr>
            <w:tcW w:w="9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Adjusted</w:t>
            </w:r>
          </w:p>
        </w:tc>
        <w:tc>
          <w:tcPr>
            <w:tcW w:w="0" w:type="dxa"/>
            <w:vAlign w:val="bottom"/>
          </w:tcPr>
          <w:p>
            <w:pPr>
              <w:spacing w:after="0"/>
              <w:rPr>
                <w:sz w:val="1"/>
                <w:szCs w:val="1"/>
                <w:color w:val="auto"/>
              </w:rPr>
            </w:pPr>
          </w:p>
        </w:tc>
      </w:tr>
      <w:tr>
        <w:trPr>
          <w:trHeight w:val="216"/>
        </w:trPr>
        <w:tc>
          <w:tcPr>
            <w:tcW w:w="102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6"/>
              </w:rPr>
              <w:t>(GAAP)</w:t>
            </w:r>
          </w:p>
        </w:tc>
        <w:tc>
          <w:tcPr>
            <w:tcW w:w="820" w:type="dxa"/>
            <w:vAlign w:val="bottom"/>
          </w:tcPr>
          <w:p>
            <w:pPr>
              <w:ind w:left="260"/>
              <w:spacing w:after="0"/>
              <w:rPr>
                <w:sz w:val="20"/>
                <w:szCs w:val="20"/>
                <w:color w:val="auto"/>
              </w:rPr>
            </w:pPr>
            <w:r>
              <w:rPr>
                <w:rFonts w:ascii="Arial" w:cs="Arial" w:eastAsia="Arial" w:hAnsi="Arial"/>
                <w:sz w:val="18"/>
                <w:szCs w:val="18"/>
                <w:b w:val="1"/>
                <w:bCs w:val="1"/>
                <w:color w:val="auto"/>
              </w:rPr>
              <w:t>SBC</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operating</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26"/>
        </w:trPr>
        <w:tc>
          <w:tcPr>
            <w:tcW w:w="10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88"/>
              </w:rPr>
              <w:t>adjustments</w:t>
            </w: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GAAP)</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900" w:space="200"/>
            <w:col w:w="4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00" w:type="dxa"/>
            <w:vAlign w:val="bottom"/>
            <w:gridSpan w:val="6"/>
          </w:tcPr>
          <w:p>
            <w:pPr>
              <w:ind w:left="80"/>
              <w:spacing w:after="0"/>
              <w:rPr>
                <w:sz w:val="20"/>
                <w:szCs w:val="20"/>
                <w:color w:val="auto"/>
              </w:rPr>
            </w:pPr>
            <w:r>
              <w:rPr>
                <w:rFonts w:ascii="Arial" w:cs="Arial" w:eastAsia="Arial" w:hAnsi="Arial"/>
                <w:sz w:val="18"/>
                <w:szCs w:val="18"/>
                <w:i w:val="1"/>
                <w:iCs w:val="1"/>
                <w:color w:val="auto"/>
                <w:w w:val="91"/>
              </w:rPr>
              <w:t>(In thousands, except EPS)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95,142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45,562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(49,696)</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(49,588)</w:t>
            </w:r>
          </w:p>
        </w:tc>
        <w:tc>
          <w:tcPr>
            <w:tcW w:w="1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(25,888)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(25,845)</w:t>
            </w: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45,446</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45,554</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19,674</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(8,871)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16"/>
        </w:trPr>
        <w:tc>
          <w:tcPr>
            <w:tcW w:w="2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(12,914)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(5,878)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7"/>
        </w:trPr>
        <w:tc>
          <w:tcPr>
            <w:tcW w:w="29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19,126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(1,294)</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20,420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5,432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(1,305)</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80" w:type="dxa"/>
            <w:vAlign w:val="bottom"/>
            <w:tcBorders>
              <w:right w:val="single" w:sz="8" w:color="CCEEFF"/>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Unrealized gain (loss) on trading</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3,604</w:t>
            </w:r>
          </w:p>
        </w:tc>
        <w:tc>
          <w:tcPr>
            <w:tcW w:w="2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3,604</w:t>
            </w: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60" w:type="dxa"/>
            <w:vAlign w:val="bottom"/>
            <w:gridSpan w:val="2"/>
          </w:tcPr>
          <w:p>
            <w:pPr>
              <w:ind w:left="180"/>
              <w:spacing w:after="0"/>
              <w:rPr>
                <w:sz w:val="20"/>
                <w:szCs w:val="20"/>
                <w:color w:val="auto"/>
              </w:rPr>
            </w:pPr>
            <w:r>
              <w:rPr>
                <w:rFonts w:ascii="Arial" w:cs="Arial" w:eastAsia="Arial" w:hAnsi="Arial"/>
                <w:sz w:val="18"/>
                <w:szCs w:val="18"/>
                <w:b w:val="1"/>
                <w:bCs w:val="1"/>
                <w:color w:val="auto"/>
                <w:w w:val="92"/>
              </w:rPr>
              <w:t>attributable to ACM Research, Inc. $</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15,565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(1,294)</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(1,210)</w:t>
            </w:r>
          </w:p>
        </w:tc>
        <w:tc>
          <w:tcPr>
            <w:tcW w:w="180" w:type="dxa"/>
            <w:vAlign w:val="bottom"/>
          </w:tcPr>
          <w:p>
            <w:pPr>
              <w:ind w:left="6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18,069</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8,529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(1,305)</w:t>
            </w:r>
          </w:p>
        </w:tc>
        <w:tc>
          <w:tcPr>
            <w:tcW w:w="3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3,604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Diluted EPS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0.70</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0.81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1"/>
              </w:rPr>
              <w:t>Year Ended December 31,</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91"/>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Actual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rPr>
              <w:t>Other non-</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Actual</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Other non-</w:t>
            </w: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Adjusted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6"/>
              </w:rPr>
              <w:t>(GAAP)</w:t>
            </w:r>
          </w:p>
        </w:tc>
        <w:tc>
          <w:tcPr>
            <w:tcW w:w="22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SBC</w:t>
            </w:r>
          </w:p>
        </w:tc>
        <w:tc>
          <w:tcPr>
            <w:tcW w:w="160" w:type="dxa"/>
            <w:vAlign w:val="bottom"/>
          </w:tcPr>
          <w:p>
            <w:pPr>
              <w:spacing w:after="0"/>
              <w:rPr>
                <w:sz w:val="18"/>
                <w:szCs w:val="18"/>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w w:val="87"/>
              </w:rPr>
              <w:t>operating</w:t>
            </w:r>
          </w:p>
        </w:tc>
        <w:tc>
          <w:tcPr>
            <w:tcW w:w="180" w:type="dxa"/>
            <w:vAlign w:val="bottom"/>
          </w:tcPr>
          <w:p>
            <w:pPr>
              <w:spacing w:after="0"/>
              <w:rPr>
                <w:sz w:val="18"/>
                <w:szCs w:val="18"/>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(Non-</w:t>
            </w:r>
          </w:p>
        </w:tc>
        <w:tc>
          <w:tcPr>
            <w:tcW w:w="100" w:type="dxa"/>
            <w:vAlign w:val="bottom"/>
          </w:tcPr>
          <w:p>
            <w:pPr>
              <w:spacing w:after="0"/>
              <w:rPr>
                <w:sz w:val="18"/>
                <w:szCs w:val="18"/>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96"/>
              </w:rPr>
              <w:t>(GAAP)</w:t>
            </w:r>
          </w:p>
        </w:tc>
        <w:tc>
          <w:tcPr>
            <w:tcW w:w="20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rPr>
              <w:t>SBC</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(Non-</w:t>
            </w:r>
          </w:p>
        </w:tc>
        <w:tc>
          <w:tcPr>
            <w:tcW w:w="0" w:type="dxa"/>
            <w:vAlign w:val="bottom"/>
          </w:tcPr>
          <w:p>
            <w:pPr>
              <w:spacing w:after="0"/>
              <w:rPr>
                <w:sz w:val="1"/>
                <w:szCs w:val="1"/>
                <w:color w:val="auto"/>
              </w:rPr>
            </w:pPr>
          </w:p>
        </w:tc>
      </w:tr>
      <w:tr>
        <w:trPr>
          <w:trHeight w:val="140"/>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8"/>
              </w:rPr>
              <w:t>adjustments</w:t>
            </w:r>
          </w:p>
        </w:tc>
        <w:tc>
          <w:tcPr>
            <w:tcW w:w="180" w:type="dxa"/>
            <w:vAlign w:val="bottom"/>
          </w:tcPr>
          <w:p>
            <w:pPr>
              <w:spacing w:after="0"/>
              <w:rPr>
                <w:sz w:val="12"/>
                <w:szCs w:val="12"/>
                <w:color w:val="auto"/>
              </w:rPr>
            </w:pPr>
          </w:p>
        </w:tc>
        <w:tc>
          <w:tcPr>
            <w:tcW w:w="920" w:type="dxa"/>
            <w:vAlign w:val="bottom"/>
            <w:gridSpan w:val="3"/>
            <w:vMerge w:val="restart"/>
          </w:tcPr>
          <w:p>
            <w:pPr>
              <w:jc w:val="center"/>
              <w:ind w:right="280"/>
              <w:spacing w:after="0"/>
              <w:rPr>
                <w:sz w:val="20"/>
                <w:szCs w:val="20"/>
                <w:color w:val="auto"/>
              </w:rPr>
            </w:pPr>
            <w:r>
              <w:rPr>
                <w:rFonts w:ascii="Arial" w:cs="Arial" w:eastAsia="Arial" w:hAnsi="Arial"/>
                <w:sz w:val="18"/>
                <w:szCs w:val="18"/>
                <w:b w:val="1"/>
                <w:bCs w:val="1"/>
                <w:color w:val="auto"/>
                <w:w w:val="96"/>
              </w:rPr>
              <w:t>GAAP)</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9"/>
              </w:rPr>
              <w:t>adjustments</w:t>
            </w:r>
          </w:p>
        </w:tc>
        <w:tc>
          <w:tcPr>
            <w:tcW w:w="18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GAAP)</w:t>
            </w:r>
          </w:p>
        </w:tc>
        <w:tc>
          <w:tcPr>
            <w:tcW w:w="0" w:type="dxa"/>
            <w:vAlign w:val="bottom"/>
          </w:tcPr>
          <w:p>
            <w:pPr>
              <w:spacing w:after="0"/>
              <w:rPr>
                <w:sz w:val="1"/>
                <w:szCs w:val="1"/>
                <w:color w:val="auto"/>
              </w:rPr>
            </w:pPr>
          </w:p>
        </w:tc>
      </w:tr>
      <w:tr>
        <w:trPr>
          <w:trHeight w:val="115"/>
        </w:trPr>
        <w:tc>
          <w:tcPr>
            <w:tcW w:w="2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6"/>
          </w:tcPr>
          <w:p>
            <w:pPr>
              <w:ind w:left="80"/>
              <w:spacing w:after="0"/>
              <w:rPr>
                <w:sz w:val="20"/>
                <w:szCs w:val="20"/>
                <w:color w:val="auto"/>
              </w:rPr>
            </w:pPr>
            <w:r>
              <w:rPr>
                <w:rFonts w:ascii="Arial" w:cs="Arial" w:eastAsia="Arial" w:hAnsi="Arial"/>
                <w:sz w:val="18"/>
                <w:szCs w:val="18"/>
                <w:i w:val="1"/>
                <w:iCs w:val="1"/>
                <w:color w:val="auto"/>
                <w:w w:val="91"/>
              </w:rPr>
              <w:t>(In thousands, except EPS)</w:t>
            </w: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259,751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259,751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156,624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(144,895)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(144,498)</w:t>
            </w:r>
          </w:p>
        </w:tc>
        <w:tc>
          <w:tcPr>
            <w:tcW w:w="1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(87,025)</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(86,850)</w:t>
            </w: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114,856</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115,253</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69,599</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(24,931)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(16,773)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16"/>
        </w:trPr>
        <w:tc>
          <w:tcPr>
            <w:tcW w:w="2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(34,207)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(33,092)</w:t>
            </w: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(19,119)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(763)</w:t>
            </w:r>
          </w:p>
        </w:tc>
        <w:tc>
          <w:tcPr>
            <w:tcW w:w="340" w:type="dxa"/>
            <w:vAlign w:val="bottom"/>
          </w:tcPr>
          <w:p>
            <w:pPr>
              <w:spacing w:after="0"/>
              <w:rPr>
                <w:sz w:val="18"/>
                <w:szCs w:val="18"/>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(18,356)</w:t>
            </w: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(13,411)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(12,215)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7"/>
        </w:trPr>
        <w:tc>
          <w:tcPr>
            <w:tcW w:w="29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38,702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(5,117)</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43,819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21,492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(5,628)</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80" w:type="dxa"/>
            <w:vAlign w:val="bottom"/>
            <w:tcBorders>
              <w:right w:val="single" w:sz="8" w:color="CCEEFF"/>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Change in fair value of financial</w:t>
            </w: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8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liability</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(11,964)</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80" w:type="dxa"/>
            <w:vAlign w:val="bottom"/>
          </w:tcPr>
          <w:p>
            <w:pPr>
              <w:ind w:left="340"/>
              <w:spacing w:after="0" w:line="201" w:lineRule="exact"/>
              <w:rPr>
                <w:sz w:val="20"/>
                <w:szCs w:val="20"/>
                <w:color w:val="auto"/>
              </w:rPr>
            </w:pPr>
            <w:r>
              <w:rPr>
                <w:rFonts w:ascii="Arial" w:cs="Arial" w:eastAsia="Arial" w:hAnsi="Arial"/>
                <w:sz w:val="18"/>
                <w:szCs w:val="18"/>
                <w:color w:val="auto"/>
              </w:rPr>
              <w:t>Unrealized gain on trading</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607</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12,574</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12,574</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8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2"/>
              </w:rPr>
              <w:t>attributable to ACM Research, Inc. $</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37,757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(5,117)</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607</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42,267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18,780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(5,628)</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23,798</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Pr>
          <w:p>
            <w:pPr>
              <w:ind w:left="180"/>
              <w:spacing w:after="0"/>
              <w:rPr>
                <w:sz w:val="20"/>
                <w:szCs w:val="20"/>
                <w:color w:val="auto"/>
              </w:rPr>
            </w:pPr>
            <w:r>
              <w:rPr>
                <w:rFonts w:ascii="Arial" w:cs="Arial" w:eastAsia="Arial" w:hAnsi="Arial"/>
                <w:sz w:val="18"/>
                <w:szCs w:val="18"/>
                <w:color w:val="auto"/>
              </w:rPr>
              <w:t>Basic EPS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EPS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9"/>
        </w:trPr>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color w:val="auto"/>
              </w:rPr>
              <w:t>- 9 -</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2022-02-25T06:34:33Z</dcterms:created>
  <dcterms:modified xsi:type="dcterms:W3CDTF">2022-02-25T06:34:33Z</dcterms:modified>
</cp:coreProperties>
</file>