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26,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40" w:space="720"/>
            <w:col w:w="2800" w:space="720"/>
            <w:col w:w="306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9"/>
        </w:trPr>
        <w:tc>
          <w:tcPr>
            <w:tcW w:w="5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2025, we issued a press release announcing financial results for the fourth quarter and fiscal year ended December 31, 2024. The full text of the press release is furnished as Exhibit 99.1 hereto and is incorporated herein by reference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9"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ACM Research, Inc. dated February 26, 2025</w:t>
      </w:r>
    </w:p>
    <w:p>
      <w:pPr>
        <w:spacing w:after="0" w:line="225"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156845</wp:posOffset>
            </wp:positionV>
            <wp:extent cx="71120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2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Fourth Quarter and Fiscal Year 2024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FREMONT, Calif., February 26, 2025 (Globe Newswire) – ACM Research, Inc. (“ACM”) (NASDAQ: ACMR), a leading supplier of wafer processing solutions for semiconductor and advanced packaging applications, today reported financial results for its fourth quarter and fiscal year ended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“2024 was a year of strong execution for ACM. We expanded our product portfolio and broadened the addressable markets we serve,” said ACM’s President and Chief Executive Officer, Dr. David Wang. “We grew revenue by 40% and total shipments by 63%. We gained additional market share by capitalizing on product cycles and deepening engagements with key customers, demonstrating the strength of our multi-product portfolio. Our operating profit increased by 57.6%, and we generated $152 million in cash flow from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Wang continued, “In the fourth quarter, we achieved two major operational milestones. First, we achieved process qualification of our Thermal and Plasma-Enhanced ALD furnace tools at two semiconductor customers in mainland China. Second, we commenced initial operations at our Lingang production facility, and we are on track to transition additional capacity to Lingang as we progress through the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Wang concluded, “Looking ahead to 2025, we remain focused on expanding our business with incremental revenue contribution from Tahoe, SPM, and Furnace, additional customer evaluations for both Track and PECVD, increasing localization in China, and contributions from our expanding global footprint. Regarding the addition of our subsidiaries to the U.S. Entity List, we believe the impact on the ability of ACM Research (Shanghai) to produce tools will be manageable, and that we can continue to support our global customer base.”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223,471</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170,321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223,471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170,321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43,989</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23,374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52,773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36,046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31,080</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37,740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28,681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0.49</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0.43</w:t>
            </w:r>
          </w:p>
        </w:tc>
      </w:tr>
      <w:tr>
        <w:trPr>
          <w:trHeight w:val="380"/>
        </w:trPr>
        <w:tc>
          <w:tcPr>
            <w:tcW w:w="5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tc>
      </w:tr>
      <w:tr>
        <w:trPr>
          <w:trHeight w:val="398"/>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782,118</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557,723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782,118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557,723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150,998</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95,839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200,574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123,177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103,627</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77,349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152,230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107,424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79" w:lineRule="exact"/>
        <w:rPr>
          <w:sz w:val="20"/>
          <w:szCs w:val="20"/>
          <w:color w:val="auto"/>
        </w:rPr>
      </w:pPr>
    </w:p>
    <w:p>
      <w:pPr>
        <w:ind w:left="340" w:right="26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gain (loss) on short-term investments.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is maintaining its revenue guidance range of $850 million to $950 million for fiscal year 2025.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 We have updated our long-term business model to a gross margin target range of 42% to 48%, versus the prior range of 40% to 45%.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2024 were $973 million, up 63.1%. Total shipments in the fourth quarter of 2024 were $264 million, versus $140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fourth quarter of 2023. Total shipments include deliveries for revenue in the quarter and deliveries of first tool systems awaiting customer acceptance for potential revenue in future quarters.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Thermal and Plasma-Enhanced ALD furnace tools achieved process qualification. </w:t>
      </w:r>
      <w:r>
        <w:rPr>
          <w:rFonts w:ascii="Times New Roman" w:cs="Times New Roman" w:eastAsia="Times New Roman" w:hAnsi="Times New Roman"/>
          <w:sz w:val="18"/>
          <w:szCs w:val="18"/>
          <w:color w:val="auto"/>
        </w:rPr>
        <w:t>ACM announced the achievement of process qualification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Ultra Fn A Plasma-Enhanced Atomic Layer Deposition (PEALD) and Thermal Atomic Layer Deposition (Thermal ALD) Furnace tools at two mainland China semiconductor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2024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full year of 2024 and comparisons are with the full year of 2023.</w:t>
      </w:r>
    </w:p>
    <w:p>
      <w:pPr>
        <w:spacing w:after="0" w:line="223" w:lineRule="exact"/>
        <w:rPr>
          <w:sz w:val="20"/>
          <w:szCs w:val="20"/>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$782.1 million, up 40.2%, reflecting higher sales of single wafer cleaning, Tahoe and semi-critical cleaning equipment and ECP (front-end and packaging), furnace and other technologies, along with steady growth of advanced packaging (excluding ECP), services &amp; spares.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50.1% versus 49.5%. Non-GAAP gross margin, which excludes stock-based compensation, was 50.4% versus 49.8%.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ACM’s updated long-term business model target range of 42% to 48%. ACM expects gross margin to vary from period to period due to a variety of factors, such as product mix, currency impacts and sales volume.</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$240.6 million, an increase of 33.4%. Operating expenses as a percentage of revenue decreased to 30.8% from 32.3%. Non-GAAP operating expenses, which exclude the effect of stock-based compensation, were $193.4 million, up 25.2%. Non-GAAP operating expenses as a percentage of revenue were 24.7% compared to 27.7%.</w:t>
      </w:r>
    </w:p>
    <w:p>
      <w:pPr>
        <w:spacing w:after="0" w:line="359"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185" w:lineRule="exact"/>
        <w:rPr>
          <w:sz w:val="20"/>
          <w:szCs w:val="20"/>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$151.0 million, up 57.6% compared to $95.8 million. Operating margin increased from 17.2% to 19.3%. Non-GAAP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which excludes the effect of stock-based compensation, was $200.6 million, up 62.8% compared to 123.2 million. Non-GAAP operating margin, which excludes stock-based compensation, was 25.6% compared to 22.1%.</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gain (loss) on short-term investments </w:t>
      </w:r>
      <w:r>
        <w:rPr>
          <w:rFonts w:ascii="Times New Roman" w:cs="Times New Roman" w:eastAsia="Times New Roman" w:hAnsi="Times New Roman"/>
          <w:sz w:val="18"/>
          <w:szCs w:val="18"/>
          <w:color w:val="auto"/>
        </w:rPr>
        <w:t>was $1.0 million, compared to an unrealized gain (loss) of $(2.7) million. Unrealized gain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reflects the change in market value of the investments by ACM’s principal operating subsidiary, ACM Research (Shanghai), Inc. The value is marked-to-market quarterly and is excluded in the non-GAAP financial metrics.</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$35.0 million, compared to $19.4 million.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$103.6 million, compared to $77.3 million. Non-GAAP net income attributable to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Inc., which excludes the effect of stock-based compensation and unrealized gain (loss) on short-term investments, was $152.2 million, compared to $107.4 million.</w:t>
      </w:r>
    </w:p>
    <w:p>
      <w:pPr>
        <w:spacing w:after="0" w:line="170"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$1.53, compared to $1.16.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gain (loss) on short-term investments, was $2.26, compared to $1.63.</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plus restricted cash and short-term and long-term time deposits were $441.9 million at December 31, 2024,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$369.1 million at September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2024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fourth quarter of 2024 and comparisons are with the fourth quarter of 2023.</w:t>
      </w:r>
    </w:p>
    <w:p>
      <w:pPr>
        <w:spacing w:after="0" w:line="223" w:lineRule="exact"/>
        <w:rPr>
          <w:sz w:val="20"/>
          <w:szCs w:val="20"/>
          <w:color w:val="auto"/>
        </w:rPr>
      </w:pPr>
    </w:p>
    <w:p>
      <w:pPr>
        <w:ind w:left="340" w:hanging="332"/>
        <w:spacing w:after="0" w:line="28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$223.5 million, up 31.2%, reflecting higher sales of single wafer cleaning, Tahoe and semi-critical cleaning equipment and ECP (front-end and packaging), furnace and other technologies, along with steady sales growth of advanced packaging (excluding ECP), services &amp; spares.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49.6% versus 46.4%. Non-GAAP gross margin, which excludes stock-based compensation, was 49.8% versus 46.8%.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was at the upper end of ACM’s updated long-term business model target range of 42% to 48%. ACM expects gross margin to vary from period to period due to a variety of factors, such as product mix, currency impacts and sales volume.</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$66.8 million, an increase of 20.0%. Operating expenses as a percentage of revenue decreased to 29.9% from 32.7%. Non-GAAP operating expenses, which exclude the effect of stock-based compensation, were $58.4 million, up 34.0%. Non-GAAP operating expenses as a percentage of revenue increased to 26.1% from 25.6%.</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$44.0 million, up 88.2% compared to $23.4 million. Operating margin was 19.7% compared to 13.7%. Non-GAAP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which excludes the effect of stock-based compensation, was $52.8 million, up 46.4% compared to $36.0 million. Non-GAAP operating margin, which excludes stock-based compensation, was 23.6% compared to 21.2%.</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gain on short-term investments </w:t>
      </w:r>
      <w:r>
        <w:rPr>
          <w:rFonts w:ascii="Times New Roman" w:cs="Times New Roman" w:eastAsia="Times New Roman" w:hAnsi="Times New Roman"/>
          <w:sz w:val="18"/>
          <w:szCs w:val="18"/>
          <w:color w:val="auto"/>
        </w:rPr>
        <w:t>was $2.1 million, compared to an unrealized gain of $1.7 million. Unrealized gain reflects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 of the investments by ACM’s principal operating subsidiary, ACM Research (Shanghai), Inc. The value is marked-to-market quarterly and is excluded in the non-GAAP financial metrics.</w:t>
      </w:r>
    </w:p>
    <w:p>
      <w:pPr>
        <w:spacing w:after="0" w:line="359"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18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$17.3 million, compared to $8.1 million.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$31.1 million, compared to $17.7 million. Non-GAAP net income attributable to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Inc., which excludes the effect of stock-based compensation and unrealized gain on short-term investments, was $37.7 million, compared to $28.7 million.</w:t>
      </w:r>
    </w:p>
    <w:p>
      <w:pPr>
        <w:spacing w:after="0" w:line="170"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$0.46, compared to $0.26.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gain on short-term investments, was $0.56, compared to $0.43.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conference call to discuss results will be held on Wednesday, February 26, 2025, at 8:00 a.m. Eastern Time (9:00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https://register.vevent.com/register/BI70ae79d80e0348a880269ad7a9dec2f9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Participants who have not pre-registered may join the webcast by accessing the link at </w:t>
      </w:r>
      <w:r>
        <w:rPr>
          <w:rFonts w:ascii="Times New Roman" w:cs="Times New Roman" w:eastAsia="Times New Roman" w:hAnsi="Times New Roman"/>
          <w:sz w:val="18"/>
          <w:szCs w:val="18"/>
          <w:u w:val="single" w:color="auto"/>
          <w:color w:val="auto"/>
        </w:rPr>
        <w:t>ir.acmrcsh.com/events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www.acmrcsh.com.</w:t>
      </w:r>
    </w:p>
    <w:p>
      <w:pPr>
        <w:spacing w:after="0" w:line="180" w:lineRule="exact"/>
        <w:rPr>
          <w:sz w:val="20"/>
          <w:szCs w:val="20"/>
          <w:color w:val="auto"/>
        </w:rPr>
      </w:pPr>
    </w:p>
    <w:p>
      <w:pPr>
        <w:ind w:right="220" w:firstLine="8"/>
        <w:spacing w:after="0" w:line="266" w:lineRule="auto"/>
        <w:tabs>
          <w:tab w:leader="none" w:pos="1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Fn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3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4"/>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(360)808-5154</w:t>
            </w:r>
          </w:p>
        </w:tc>
      </w:tr>
      <w:tr>
        <w:trPr>
          <w:trHeight w:val="236"/>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i w:val="1"/>
                <w:iCs w:val="1"/>
                <w:color w:val="auto"/>
              </w:rPr>
              <w:t>steven@blueshirtgroup.co</w:t>
            </w:r>
          </w:p>
        </w:tc>
      </w:tr>
      <w:tr>
        <w:trPr>
          <w:trHeight w:val="391"/>
        </w:trPr>
        <w:tc>
          <w:tcPr>
            <w:tcW w:w="340" w:type="dxa"/>
            <w:vAlign w:val="bottom"/>
          </w:tcPr>
          <w:p>
            <w:pPr>
              <w:spacing w:after="0"/>
              <w:rPr>
                <w:sz w:val="24"/>
                <w:szCs w:val="24"/>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3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20" w:type="dxa"/>
            <w:vAlign w:val="bottom"/>
          </w:tcPr>
          <w:p>
            <w:pPr>
              <w:ind w:left="92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r>
        <w:trPr>
          <w:trHeight w:val="570"/>
        </w:trPr>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52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- 5 -</w:t>
            </w:r>
          </w:p>
        </w:tc>
      </w:tr>
      <w:tr>
        <w:trPr>
          <w:trHeight w:val="44"/>
        </w:trPr>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5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tc>
        <w:tc>
          <w:tcPr>
            <w:tcW w:w="0" w:type="dxa"/>
            <w:vAlign w:val="bottom"/>
          </w:tcPr>
          <w:p>
            <w:pPr>
              <w:spacing w:after="0"/>
              <w:rPr>
                <w:sz w:val="1"/>
                <w:szCs w:val="1"/>
                <w:color w:val="auto"/>
              </w:rPr>
            </w:pPr>
          </w:p>
        </w:tc>
      </w:tr>
      <w:tr>
        <w:trPr>
          <w:trHeight w:val="369"/>
        </w:trPr>
        <w:tc>
          <w:tcPr>
            <w:tcW w:w="80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ACM RESEARCH, INC.</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2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02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10"/>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2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0"/>
                <w:szCs w:val="20"/>
                <w:color w:val="auto"/>
              </w:rPr>
            </w:pPr>
          </w:p>
        </w:tc>
        <w:tc>
          <w:tcPr>
            <w:tcW w:w="1940" w:type="dxa"/>
            <w:vAlign w:val="bottom"/>
            <w:gridSpan w:val="5"/>
          </w:tcPr>
          <w:p>
            <w:pPr>
              <w:ind w:left="8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407,445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182,090</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80,524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387,045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283,186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40,065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597,984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545,395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Advances to related party</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1,483,379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1,176,110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269,272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201,848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40,818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27,880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1,855,721</w:t>
            </w:r>
          </w:p>
        </w:tc>
        <w:tc>
          <w:tcPr>
            <w:tcW w:w="1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1,490,908</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11,407</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141,814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243,949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181,368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FIN-48 payable</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102,951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641,233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borrowings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105,525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53,952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759,815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564,746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677,476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629,845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156,827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surplus reserve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30,060</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(63,372)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(49,349)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ACM Research, Inc. 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904,625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191,281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158,772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1,095,906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1,855,721</w:t>
            </w:r>
          </w:p>
        </w:tc>
        <w:tc>
          <w:tcPr>
            <w:tcW w:w="10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1,490,908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tc>
      </w:tr>
      <w:tr>
        <w:trPr>
          <w:trHeight w:val="369"/>
        </w:trPr>
        <w:tc>
          <w:tcPr>
            <w:tcW w:w="6980" w:type="dxa"/>
            <w:vAlign w:val="bottom"/>
            <w:gridSpan w:val="5"/>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ACM RESEARCH, INC.</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20" w:type="dxa"/>
            <w:vAlign w:val="bottom"/>
            <w:gridSpan w:val="10"/>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 December 31,</w:t>
            </w:r>
          </w:p>
        </w:tc>
        <w:tc>
          <w:tcPr>
            <w:tcW w:w="300" w:type="dxa"/>
            <w:vAlign w:val="bottom"/>
          </w:tcPr>
          <w:p>
            <w:pPr>
              <w:spacing w:after="0"/>
              <w:rPr>
                <w:sz w:val="21"/>
                <w:szCs w:val="21"/>
                <w:color w:val="auto"/>
              </w:rPr>
            </w:pPr>
          </w:p>
        </w:tc>
        <w:tc>
          <w:tcPr>
            <w:tcW w:w="242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23"/>
        </w:trPr>
        <w:tc>
          <w:tcPr>
            <w:tcW w:w="5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gridSpan w:val="11"/>
          </w:tcPr>
          <w:p>
            <w:pPr>
              <w:jc w:val="right"/>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170,321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782,118</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557,723</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91,245</w:t>
            </w: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390,564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281,508</w:t>
            </w:r>
          </w:p>
        </w:tc>
      </w:tr>
      <w:tr>
        <w:trPr>
          <w:trHeight w:val="223"/>
        </w:trPr>
        <w:tc>
          <w:tcPr>
            <w:tcW w:w="5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65,447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47,019</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32,465</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105,473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92,709</w:t>
            </w:r>
          </w:p>
        </w:tc>
      </w:tr>
      <w:tr>
        <w:trPr>
          <w:trHeight w:val="223"/>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55,702</w:t>
            </w: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240,556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180,376</w:t>
            </w: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95,839</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8,354</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from sale of short-term investments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9,047</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(1,714)</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(1,558)</w:t>
            </w: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31,427</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116,216</w:t>
            </w:r>
          </w:p>
        </w:tc>
      </w:tr>
      <w:tr>
        <w:trPr>
          <w:trHeight w:val="22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(8,129)</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(19,364)</w:t>
            </w:r>
          </w:p>
        </w:tc>
      </w:tr>
      <w:tr>
        <w:trPr>
          <w:trHeight w:val="216"/>
        </w:trPr>
        <w:tc>
          <w:tcPr>
            <w:tcW w:w="546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96,852</w:t>
            </w:r>
          </w:p>
        </w:tc>
        <w:tc>
          <w:tcPr>
            <w:tcW w:w="100" w:type="dxa"/>
            <w:vAlign w:val="bottom"/>
            <w:tcBorders>
              <w:top w:val="single" w:sz="8" w:color="CCEEFF"/>
            </w:tcBorders>
          </w:tcPr>
          <w:p>
            <w:pPr>
              <w:spacing w:after="0"/>
              <w:rPr>
                <w:sz w:val="18"/>
                <w:szCs w:val="18"/>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14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17,700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103,627</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77,349</w:t>
            </w: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23,298</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131,269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96,852</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(10,617)</w:t>
            </w:r>
          </w:p>
        </w:tc>
      </w:tr>
      <w:tr>
        <w:trPr>
          <w:trHeight w:val="22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available-for-sale investments, net of tax</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26,365</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17,689</w:t>
            </w:r>
          </w:p>
        </w:tc>
      </w:tr>
      <w:tr>
        <w:trPr>
          <w:trHeight w:val="25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ACM   Research Inc.</w:t>
            </w:r>
          </w:p>
        </w:tc>
        <w:tc>
          <w:tcPr>
            <w:tcW w:w="140" w:type="dxa"/>
            <w:vAlign w:val="bottom"/>
            <w:tcBorders>
              <w:right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28,705</w:t>
            </w:r>
          </w:p>
        </w:tc>
        <w:tc>
          <w:tcPr>
            <w:tcW w:w="220" w:type="dxa"/>
            <w:vAlign w:val="bottom"/>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89,604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68,546</w:t>
            </w:r>
          </w:p>
        </w:tc>
        <w:tc>
          <w:tcPr>
            <w:tcW w:w="100" w:type="dxa"/>
            <w:vAlign w:val="bottom"/>
            <w:shd w:val="clear" w:color="auto" w:fill="CCEEFF"/>
          </w:tcPr>
          <w:p>
            <w:pPr>
              <w:spacing w:after="0"/>
              <w:rPr>
                <w:sz w:val="22"/>
                <w:szCs w:val="22"/>
                <w:color w:val="auto"/>
              </w:rPr>
            </w:pPr>
          </w:p>
        </w:tc>
      </w:tr>
      <w:tr>
        <w:trPr>
          <w:trHeight w:val="210"/>
        </w:trPr>
        <w:tc>
          <w:tcPr>
            <w:tcW w:w="5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 computing per share</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62,794,259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60,792,349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62,212,569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60,164,670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66,518,704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65,911,901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66,237,424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64,870,543</w:t>
            </w:r>
          </w:p>
        </w:tc>
        <w:tc>
          <w:tcPr>
            <w:tcW w:w="100" w:type="dxa"/>
            <w:vAlign w:val="bottom"/>
          </w:tcPr>
          <w:p>
            <w:pPr>
              <w:spacing w:after="0"/>
              <w:rPr>
                <w:sz w:val="18"/>
                <w:szCs w:val="18"/>
                <w:color w:val="auto"/>
              </w:rPr>
            </w:pPr>
          </w:p>
        </w:tc>
      </w:tr>
      <w:tr>
        <w:trPr>
          <w:trHeight w:val="570"/>
        </w:trPr>
        <w:tc>
          <w:tcPr>
            <w:tcW w:w="5460" w:type="dxa"/>
            <w:vAlign w:val="bottom"/>
          </w:tcPr>
          <w:p>
            <w:pPr>
              <w:spacing w:after="0"/>
              <w:rPr>
                <w:sz w:val="24"/>
                <w:szCs w:val="24"/>
                <w:color w:val="auto"/>
              </w:rPr>
            </w:pPr>
          </w:p>
        </w:tc>
        <w:tc>
          <w:tcPr>
            <w:tcW w:w="42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- 7 -</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ind w:left="10220"/>
        <w:spacing w:after="0"/>
        <w:rPr>
          <w:sz w:val="20"/>
          <w:szCs w:val="20"/>
          <w:color w:val="auto"/>
        </w:rPr>
      </w:pPr>
      <w:r>
        <w:rPr>
          <w:rFonts w:ascii="Times New Roman" w:cs="Times New Roman" w:eastAsia="Times New Roman" w:hAnsi="Times New Roman"/>
          <w:sz w:val="17"/>
          <w:szCs w:val="17"/>
          <w:b w:val="1"/>
          <w:bCs w:val="1"/>
          <w:color w:val="auto"/>
        </w:rPr>
        <w:t>Exhibit 99.01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 and by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5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5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i w:val="1"/>
                <w:iCs w:val="1"/>
                <w:color w:val="auto"/>
              </w:rPr>
              <w:t>($ in thousand)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88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155,211</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122,292</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578,887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403,851</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103,356</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50,516</w:t>
            </w:r>
          </w:p>
        </w:tc>
      </w:tr>
      <w:tr>
        <w:trPr>
          <w:trHeight w:val="27"/>
        </w:trPr>
        <w:tc>
          <w:tcPr>
            <w:tcW w:w="516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88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223,471</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170,321</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782,118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557,723</w:t>
            </w:r>
          </w:p>
        </w:tc>
      </w:tr>
      <w:tr>
        <w:trPr>
          <w:trHeight w:val="21"/>
        </w:trPr>
        <w:tc>
          <w:tcPr>
            <w:tcW w:w="5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5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540,969</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16,754</w:t>
            </w:r>
          </w:p>
        </w:tc>
      </w:tr>
      <w:tr>
        <w:trPr>
          <w:trHeight w:val="22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By Region</w:t>
            </w:r>
          </w:p>
        </w:tc>
        <w:tc>
          <w:tcPr>
            <w:tcW w:w="64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223,471</w:t>
            </w:r>
          </w:p>
        </w:tc>
        <w:tc>
          <w:tcPr>
            <w:tcW w:w="2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782,118</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557,723</w:t>
            </w:r>
          </w:p>
        </w:tc>
        <w:tc>
          <w:tcPr>
            <w:tcW w:w="100" w:type="dxa"/>
            <w:vAlign w:val="bottom"/>
            <w:shd w:val="clear" w:color="auto" w:fill="CCEEFF"/>
          </w:tcPr>
          <w:p>
            <w:pPr>
              <w:spacing w:after="0"/>
              <w:rPr>
                <w:sz w:val="19"/>
                <w:szCs w:val="19"/>
                <w:color w:val="auto"/>
              </w:rPr>
            </w:pPr>
          </w:p>
        </w:tc>
      </w:tr>
      <w:tr>
        <w:trPr>
          <w:trHeight w:val="571"/>
        </w:trPr>
        <w:tc>
          <w:tcPr>
            <w:tcW w:w="51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- 8 -</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 gross margin, operating expenses, operating income, net income attributable to ACM Research, Inc., and basic and diluted earnings per share to the related non-GAAP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11"/>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3"/>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3"/>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SBC</w:t>
            </w:r>
          </w:p>
        </w:tc>
        <w:tc>
          <w:tcPr>
            <w:tcW w:w="100" w:type="dxa"/>
            <w:vAlign w:val="bottom"/>
          </w:tcPr>
          <w:p>
            <w:pPr>
              <w:spacing w:after="0"/>
              <w:rPr>
                <w:sz w:val="9"/>
                <w:szCs w:val="9"/>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SBC</w:t>
            </w:r>
          </w:p>
        </w:tc>
        <w:tc>
          <w:tcPr>
            <w:tcW w:w="80" w:type="dxa"/>
            <w:vAlign w:val="bottom"/>
          </w:tcPr>
          <w:p>
            <w:pPr>
              <w:spacing w:after="0"/>
              <w:rPr>
                <w:sz w:val="9"/>
                <w:szCs w:val="9"/>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w:t>
            </w:r>
          </w:p>
        </w:tc>
        <w:tc>
          <w:tcPr>
            <w:tcW w:w="116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i w:val="1"/>
                <w:iCs w:val="1"/>
                <w:color w:val="auto"/>
                <w:w w:val="86"/>
              </w:rPr>
              <w:t>thousands)</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223,471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223,471</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170,321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170,321</w:t>
            </w:r>
          </w:p>
        </w:tc>
        <w:tc>
          <w:tcPr>
            <w:tcW w:w="0" w:type="dxa"/>
            <w:vAlign w:val="bottom"/>
          </w:tcPr>
          <w:p>
            <w:pPr>
              <w:spacing w:after="0"/>
              <w:rPr>
                <w:sz w:val="1"/>
                <w:szCs w:val="1"/>
                <w:color w:val="auto"/>
              </w:rPr>
            </w:pPr>
          </w:p>
        </w:tc>
      </w:tr>
      <w:tr>
        <w:trPr>
          <w:trHeight w:val="223"/>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(112,656)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(112,291)</w:t>
            </w: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(91,245)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(90,677)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110,815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(18,380)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(16,473)</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(27,750)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(25,720)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(32,465)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(28,837)</w:t>
            </w:r>
          </w:p>
        </w:tc>
        <w:tc>
          <w:tcPr>
            <w:tcW w:w="0" w:type="dxa"/>
            <w:vAlign w:val="bottom"/>
          </w:tcPr>
          <w:p>
            <w:pPr>
              <w:spacing w:after="0"/>
              <w:rPr>
                <w:sz w:val="1"/>
                <w:szCs w:val="1"/>
                <w:color w:val="auto"/>
              </w:rPr>
            </w:pPr>
          </w:p>
        </w:tc>
      </w:tr>
      <w:tr>
        <w:trPr>
          <w:trHeight w:val="198"/>
        </w:trPr>
        <w:tc>
          <w:tcPr>
            <w:tcW w:w="22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(20,696)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(13,797)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(6,197)</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(66,826)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(58,407)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(55,702)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(12,104)</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(43,598)</w:t>
            </w:r>
          </w:p>
        </w:tc>
        <w:tc>
          <w:tcPr>
            <w:tcW w:w="0" w:type="dxa"/>
            <w:vAlign w:val="bottom"/>
          </w:tcPr>
          <w:p>
            <w:pPr>
              <w:spacing w:after="0"/>
              <w:rPr>
                <w:sz w:val="1"/>
                <w:szCs w:val="1"/>
                <w:color w:val="auto"/>
              </w:rPr>
            </w:pPr>
          </w:p>
        </w:tc>
      </w:tr>
      <w:tr>
        <w:trPr>
          <w:trHeight w:val="198"/>
        </w:trPr>
        <w:tc>
          <w:tcPr>
            <w:tcW w:w="2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43,989</w:t>
            </w:r>
          </w:p>
        </w:tc>
        <w:tc>
          <w:tcPr>
            <w:tcW w:w="1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52,773</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23,374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36,046</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on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2,124</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200" w:type="dxa"/>
            <w:vAlign w:val="bottom"/>
            <w:tcBorders>
              <w:top w:val="single" w:sz="8" w:color="CCEEFF"/>
            </w:tcBorders>
          </w:tcPr>
          <w:p>
            <w:pPr>
              <w:jc w:val="center"/>
              <w:ind w:right="79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attributable to ACM</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Research,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31,080</w:t>
            </w:r>
          </w:p>
        </w:tc>
        <w:tc>
          <w:tcPr>
            <w:tcW w:w="1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(8,784)</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37,740</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17,700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(12,672)</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1,691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28,681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552"/>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color w:val="auto"/>
              </w:rPr>
              <w:t>- 9 -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Exhibit 99.01</w:t>
            </w:r>
          </w:p>
        </w:tc>
        <w:tc>
          <w:tcPr>
            <w:tcW w:w="0" w:type="dxa"/>
            <w:vAlign w:val="bottom"/>
          </w:tcPr>
          <w:p>
            <w:pPr>
              <w:spacing w:after="0"/>
              <w:rPr>
                <w:sz w:val="1"/>
                <w:szCs w:val="1"/>
                <w:color w:val="auto"/>
              </w:rPr>
            </w:pPr>
          </w:p>
        </w:tc>
      </w:tr>
      <w:tr>
        <w:trPr>
          <w:trHeight w:val="398"/>
        </w:trPr>
        <w:tc>
          <w:tcPr>
            <w:tcW w:w="2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SBC</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00" w:type="dxa"/>
            <w:vAlign w:val="bottom"/>
          </w:tcPr>
          <w:p>
            <w:pPr>
              <w:spacing w:after="0"/>
              <w:rPr>
                <w:sz w:val="9"/>
                <w:szCs w:val="9"/>
                <w:color w:val="auto"/>
              </w:rPr>
            </w:pPr>
          </w:p>
        </w:tc>
        <w:tc>
          <w:tcPr>
            <w:tcW w:w="100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SBC</w:t>
            </w:r>
          </w:p>
        </w:tc>
        <w:tc>
          <w:tcPr>
            <w:tcW w:w="80" w:type="dxa"/>
            <w:vAlign w:val="bottom"/>
          </w:tcPr>
          <w:p>
            <w:pPr>
              <w:spacing w:after="0"/>
              <w:rPr>
                <w:sz w:val="9"/>
                <w:szCs w:val="9"/>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11"/>
                <w:szCs w:val="11"/>
                <w:color w:val="auto"/>
              </w:rPr>
            </w:pPr>
          </w:p>
        </w:tc>
        <w:tc>
          <w:tcPr>
            <w:tcW w:w="100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28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782,118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782,118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557,723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557,723</w:t>
            </w:r>
          </w:p>
        </w:tc>
        <w:tc>
          <w:tcPr>
            <w:tcW w:w="0" w:type="dxa"/>
            <w:vAlign w:val="bottom"/>
          </w:tcPr>
          <w:p>
            <w:pPr>
              <w:spacing w:after="0"/>
              <w:rPr>
                <w:sz w:val="1"/>
                <w:szCs w:val="1"/>
                <w:color w:val="auto"/>
              </w:rPr>
            </w:pPr>
          </w:p>
        </w:tc>
      </w:tr>
      <w:tr>
        <w:trPr>
          <w:trHeight w:val="223"/>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(390,564)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(388,179)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(281,508)</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(280,102)</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391,554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393,939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276,215</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(65,447)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(54,895)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(47,019)</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(5,684)</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(41,335)</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(105,473)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(14,112)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(91,361)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(92,709)</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(8,459)</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(84,250)</w:t>
            </w:r>
          </w:p>
        </w:tc>
        <w:tc>
          <w:tcPr>
            <w:tcW w:w="0" w:type="dxa"/>
            <w:vAlign w:val="bottom"/>
          </w:tcPr>
          <w:p>
            <w:pPr>
              <w:spacing w:after="0"/>
              <w:rPr>
                <w:sz w:val="1"/>
                <w:szCs w:val="1"/>
                <w:color w:val="auto"/>
              </w:rPr>
            </w:pPr>
          </w:p>
        </w:tc>
      </w:tr>
      <w:tr>
        <w:trPr>
          <w:trHeight w:val="198"/>
        </w:trPr>
        <w:tc>
          <w:tcPr>
            <w:tcW w:w="22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(69,636)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(22,527)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(47,109)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(40,648)</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(11,789)</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(28,859)</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(240,556)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(47,191)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(193,365)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(180,376)</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(25,932)</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(154,444)</w:t>
            </w:r>
          </w:p>
        </w:tc>
        <w:tc>
          <w:tcPr>
            <w:tcW w:w="0" w:type="dxa"/>
            <w:vAlign w:val="bottom"/>
          </w:tcPr>
          <w:p>
            <w:pPr>
              <w:spacing w:after="0"/>
              <w:rPr>
                <w:sz w:val="1"/>
                <w:szCs w:val="1"/>
                <w:color w:val="auto"/>
              </w:rPr>
            </w:pPr>
          </w:p>
        </w:tc>
      </w:tr>
      <w:tr>
        <w:trPr>
          <w:trHeight w:val="198"/>
        </w:trPr>
        <w:tc>
          <w:tcPr>
            <w:tcW w:w="2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8"/>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150,998</w:t>
            </w:r>
          </w:p>
        </w:tc>
        <w:tc>
          <w:tcPr>
            <w:tcW w:w="1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(49,576)</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200,574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95,839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(27,338)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123,177</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(loss)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on short-term</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(2,737)</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200" w:type="dxa"/>
            <w:vAlign w:val="bottom"/>
            <w:tcBorders>
              <w:top w:val="single" w:sz="8" w:color="CCEEFF"/>
            </w:tcBorders>
          </w:tcPr>
          <w:p>
            <w:pPr>
              <w:jc w:val="center"/>
              <w:ind w:right="79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attributable to ACM</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Research,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103,627</w:t>
            </w:r>
          </w:p>
        </w:tc>
        <w:tc>
          <w:tcPr>
            <w:tcW w:w="1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(49,576)</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152,230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77,349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(27,338)</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(2,737)</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107,424</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2025-02-26T05:37:54Z</dcterms:created>
  <dcterms:modified xsi:type="dcterms:W3CDTF">2025-02-26T05:37:54Z</dcterms:modified>
</cp:coreProperties>
</file>