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4652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652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Xing Xiao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ACM Research,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ACMR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42307 OSGOOD ROAD, SUITE I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FREEMONT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16.83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06/29/2032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-2009775</wp:posOffset>
            </wp:positionV>
            <wp:extent cx="29210" cy="20148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will vest and become exercisable immediately prior to the 2023 annual meeting of stockholders of the issuer, subject to continued service through the vesting date.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Bella Zaslavsky, Attorney-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07/13/2022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Xiao Xing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37836" TargetMode="External"/><Relationship Id="rId13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2022-07-13T17:02:25Z</dcterms:created>
  <dcterms:modified xsi:type="dcterms:W3CDTF">2022-07-13T17:02:25Z</dcterms:modified>
</cp:coreProperties>
</file>