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29, 2025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29, 2025, we issued a press release entitled “ACM Research’s Operating Subsidiary ACM Research (Shanghai) Provides Backlog Data.” The full text of the press release is furnished as Exhibit 99.1 hereto and is incorporated herein by reference.</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44"/>
        </w:trPr>
        <w:tc>
          <w:tcPr>
            <w:tcW w:w="8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September 29, 2025</w:t>
            </w:r>
          </w:p>
        </w:tc>
      </w:tr>
    </w:tbl>
    <w:p>
      <w:pPr>
        <w:spacing w:after="0" w:line="76" w:lineRule="exact"/>
        <w:rPr>
          <w:sz w:val="20"/>
          <w:szCs w:val="20"/>
          <w:color w:val="auto"/>
        </w:rPr>
      </w:pPr>
    </w:p>
    <w:p>
      <w:pPr>
        <w:ind w:left="1220" w:hanging="92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8"/>
          <w:szCs w:val="28"/>
          <w:b w:val="1"/>
          <w:bCs w:val="1"/>
          <w:color w:val="auto"/>
        </w:rPr>
        <w:t>ACM Research’s Operating Subsidiary ACM Research (Shanghai) Provides Backlog Data</w:t>
      </w:r>
    </w:p>
    <w:p>
      <w:pPr>
        <w:spacing w:after="0" w:line="144"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Fremont, Calif., September 29, 2025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ACM Research,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(“ACM”) (NASDAQ: ACMR), a leading supplier of wafer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panel processing solutions for semiconductor and advanced packaging applications, today announced that its operating subsidiary, ACM Research (Shanghai), Inc. (“ACM Shanghai”) posted backlog figure for ACM Shanghai as of September 29, 2025 on the Shanghai Stock Exchange website [link to China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Backlog</w:t>
      </w:r>
    </w:p>
    <w:p>
      <w:pPr>
        <w:spacing w:after="0" w:line="2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2"/>
          <w:szCs w:val="22"/>
          <w:color w:val="auto"/>
        </w:rPr>
        <w:t>As of September 29, 2025, ACM Shanghai’s total backlog amounted to RMB 9,071.5 million (USD $1,271.6 million), a 34.1% year-over-year increase compared with the prior year’s disclosed backlog. The total backlog figures include a mix of orders for tools that have been shipped but not yet recognized as revenue under Chinese generally accepted accounting principles (“Chinese GAAP”), and orders for tools expected to be shipped at a future date.</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2"/>
          <w:szCs w:val="22"/>
          <w:color w:val="auto"/>
        </w:rPr>
        <w:t>Backlog is not a financial measure that is defined or recognized by Chinese GAAP or U.S. generally accepted accounting principles, and ACM Shanghai’s method for determining and calculating backlog, and the underlying assumptions, may not be comparable to the methodologies and assumptions used by other companies. Orders included in backlog may not actually generate the amounts of revenue estimated above.</w:t>
      </w:r>
    </w:p>
    <w:p>
      <w:pPr>
        <w:spacing w:after="0" w:line="202"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22"/>
          <w:szCs w:val="22"/>
          <w:color w:val="auto"/>
        </w:rPr>
        <w:t>All USD amounts above are for reference only and are translated using the September 26, 2025 Wall Street Journal closing exchange 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Reporting Dates</w:t>
      </w:r>
    </w:p>
    <w:p>
      <w:pPr>
        <w:spacing w:after="0" w:line="278"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22"/>
          <w:szCs w:val="22"/>
          <w:color w:val="auto"/>
        </w:rPr>
        <w:t>ACM Shanghai will release its full financial results for the nine months ended September 30, 2025 on October 29, 2025 after the market close in China, and on the same day ACM will report preliminary financial results for the nine months ended September 30, 2025 before the market open in the U.S.</w:t>
      </w:r>
    </w:p>
    <w:p>
      <w:pPr>
        <w:spacing w:after="0" w:line="193" w:lineRule="exact"/>
        <w:rPr>
          <w:sz w:val="20"/>
          <w:szCs w:val="20"/>
          <w:color w:val="auto"/>
        </w:rPr>
      </w:pPr>
    </w:p>
    <w:p>
      <w:pPr>
        <w:ind w:right="60"/>
        <w:spacing w:after="0" w:line="322" w:lineRule="auto"/>
        <w:rPr>
          <w:sz w:val="20"/>
          <w:szCs w:val="20"/>
          <w:color w:val="auto"/>
        </w:rPr>
      </w:pPr>
      <w:r>
        <w:rPr>
          <w:rFonts w:ascii="Times New Roman" w:cs="Times New Roman" w:eastAsia="Times New Roman" w:hAnsi="Times New Roman"/>
          <w:sz w:val="21"/>
          <w:szCs w:val="21"/>
          <w:color w:val="auto"/>
        </w:rPr>
        <w:t>ACM will release its full financial results for the third quarter of 2025 and conduct a corresponding conference call to discuss the results in early November 2025. The specific reporting date and details of the conference call will be released at a later date.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1602181259.2</w:t>
      </w:r>
    </w:p>
    <w:p>
      <w:pPr>
        <w:sectPr>
          <w:pgSz w:w="11900" w:h="16838" w:orient="portrait"/>
          <w:cols w:equalWidth="0" w:num="1">
            <w:col w:w="11240"/>
          </w:cols>
          <w:pgMar w:left="320" w:top="12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2"/>
          <w:szCs w:val="22"/>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ACM Research, Inc.</w:t>
      </w:r>
    </w:p>
    <w:p>
      <w:pPr>
        <w:spacing w:after="0" w:line="2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22"/>
          <w:szCs w:val="22"/>
          <w:u w:val="single" w:color="auto"/>
          <w:color w:val="auto"/>
        </w:rPr>
        <w:t>www.acmr.com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40" w:firstLine="8"/>
        <w:spacing w:after="0" w:line="263" w:lineRule="auto"/>
        <w:tabs>
          <w:tab w:leader="none" w:pos="2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ACM Research, Inc. ACM Research logo is a trademark of ACM Research, Inc. For convenience, these trademarks appear in this press release without ™ symbols, but that practice does not mean ACM will not assert, to the fullest extent under applicable law, its rights to such trademarks. All other trademarks are the property of their respective owners.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55555"/>
        </w:rPr>
        <w:t>For investor and media inquiries, please contact:</w:t>
      </w:r>
    </w:p>
    <w:p>
      <w:pPr>
        <w:spacing w:after="0" w:line="349"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the United States:</w:t>
            </w: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The Blueshirt Group</w:t>
            </w:r>
          </w:p>
        </w:tc>
      </w:tr>
      <w:tr>
        <w:trPr>
          <w:trHeight w:val="263"/>
        </w:trPr>
        <w:tc>
          <w:tcPr>
            <w:tcW w:w="7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Steven C. Pelayo, CFA</w:t>
            </w:r>
          </w:p>
        </w:tc>
      </w:tr>
      <w:tr>
        <w:trPr>
          <w:trHeight w:val="253"/>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(360) 808-5154</w:t>
            </w:r>
          </w:p>
        </w:tc>
      </w:tr>
      <w:tr>
        <w:trPr>
          <w:trHeight w:val="28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w w:val="96"/>
              </w:rPr>
              <w:t>steven@blueshirtgroup.co</w:t>
            </w:r>
          </w:p>
        </w:tc>
      </w:tr>
      <w:tr>
        <w:trPr>
          <w:trHeight w:val="595"/>
        </w:trPr>
        <w:tc>
          <w:tcPr>
            <w:tcW w:w="2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China:</w:t>
            </w: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The Blueshirt Group Asia</w:t>
            </w:r>
          </w:p>
        </w:tc>
      </w:tr>
      <w:tr>
        <w:trPr>
          <w:trHeight w:val="259"/>
        </w:trPr>
        <w:tc>
          <w:tcPr>
            <w:tcW w:w="76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Gary Dvorchak, CFA</w:t>
            </w:r>
          </w:p>
        </w:tc>
      </w:tr>
      <w:tr>
        <w:trPr>
          <w:trHeight w:val="28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gary@blueshirtgroup.co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1602181259.2</w:t>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1602181259.2</w:t>
      </w:r>
    </w:p>
    <w:sectPr>
      <w:pgSz w:w="11900" w:h="16838" w:orient="portrait"/>
      <w:cols w:equalWidth="0" w:num="1">
        <w:col w:w="11220"/>
      </w:cols>
      <w:pgMar w:left="34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2025-09-29T07:26:24Z</dcterms:created>
  <dcterms:modified xsi:type="dcterms:W3CDTF">2025-09-29T07:26:24Z</dcterms:modified>
</cp:coreProperties>
</file>